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Capstone Front‑Matter Insert (v3)</w:t>
      </w:r>
    </w:p>
    <w:p>
      <w:pPr>
        <w:spacing w:after="120"/>
      </w:pPr>
      <w:r>
        <w:t>This page unifies symbols across The Hyperion Compendium and the Coherence Field and prints the minimal Formula of Record plus the Realness Gate.</w:t>
      </w:r>
    </w:p>
    <w:p>
      <w:pPr>
        <w:pStyle w:val="Heading2"/>
      </w:pPr>
      <w:r>
        <w:t>Formula of Record</w:t>
      </w:r>
    </w:p>
    <w:p>
      <w:pPr>
        <w:spacing w:after="120"/>
      </w:pPr>
      <w:r>
        <w:t>dC/dt = α(C* − C) + β·G − γ·S_eff + η·A + κ·Σ_j w_ij (C_j − C_i) − δ</w:t>
      </w:r>
    </w:p>
    <w:p>
      <w:pPr>
        <w:pStyle w:val="Heading2"/>
      </w:pPr>
      <w:r>
        <w:t>Realness Gate</w:t>
      </w:r>
    </w:p>
    <w:p>
      <w:pPr>
        <w:spacing w:after="120"/>
      </w:pPr>
      <w:r>
        <w:t>Commit an action/publish an update iff (i) Z_A ≥ 1 and (ii) the lower‑5% CI of E[ΔC | action] &gt; 0. Interpersonal thresholds (K, M, CC, HP) apply for multi‑party commitments.</w:t>
      </w:r>
    </w:p>
    <w:p>
      <w:pPr>
        <w:pStyle w:val="Heading2"/>
      </w:pPr>
      <w:r>
        <w:t>Falsifiability (See Appendix)</w:t>
      </w:r>
    </w:p>
    <w:p>
      <w:pPr>
        <w:spacing w:after="120"/>
      </w:pPr>
      <w:r>
        <w:t>Three preregistered tests: (1) Closed‑World Choice Amplification, (2) Cross‑Dyad Synchrony, (3) Chaotic Pendulum Bias. Each includes a kill‑shot criterion.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