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8f4b60d25498e573d688c63a0461437dc002ec0.png"/>
            <a:graphic>
              <a:graphicData uri="http://schemas.openxmlformats.org/drawingml/2006/picture">
                <pic:pic>
                  <pic:nvPicPr>
                    <pic:cNvPr id="1" name="image-e8f4b60d25498e573d688c63a0461437dc002ec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lets_draft_up_a_detailed_presenta_683c29"/>
      <w:r>
        <w:rPr>
          <w:rFonts w:eastAsia="inter" w:cs="inter" w:ascii="inter" w:hAnsi="inter"/>
          <w:b/>
          <w:color w:val="000000"/>
          <w:sz w:val="39"/>
        </w:rPr>
        <w:t xml:space="preserve">Lets draft up a detailed presentation refinement for Phase Mirror based on this analysis.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detailed, presentation-ready refinement you can drop into a Phase Mirror pitch or deck. It keeps the central tension front-and-center and differentiates clearly from Speculum-style runtime enforcers.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opening_frame_the_central_tension"/>
      <w:r>
        <w:rPr>
          <w:rFonts w:eastAsia="inter" w:cs="inter" w:ascii="inter" w:hAnsi="inter"/>
          <w:b/>
          <w:color w:val="000000"/>
          <w:sz w:val="24"/>
        </w:rPr>
        <w:t xml:space="preserve">1. Opening Frame: The Central Tension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The Permanent Contradiction in Agentic AI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Agentic AI wants to </w:t>
      </w:r>
      <w:r>
        <w:rPr>
          <w:rFonts w:eastAsia="inter" w:cs="inter" w:ascii="inter" w:hAnsi="inter"/>
          <w:b/>
          <w:color w:val="000000"/>
          <w:sz w:val="21"/>
        </w:rPr>
        <w:t xml:space="preserve">act</w:t>
      </w:r>
      <w:r>
        <w:rPr>
          <w:rFonts w:eastAsia="inter" w:cs="inter" w:ascii="inter" w:hAnsi="inter"/>
          <w:color w:val="000000"/>
          <w:sz w:val="21"/>
        </w:rPr>
        <w:t xml:space="preserve">; enterprises must </w:t>
      </w:r>
      <w:r>
        <w:rPr>
          <w:rFonts w:eastAsia="inter" w:cs="inter" w:ascii="inter" w:hAnsi="inter"/>
          <w:b/>
          <w:color w:val="000000"/>
          <w:sz w:val="21"/>
        </w:rPr>
        <w:t xml:space="preserve">govern</w:t>
      </w:r>
      <w:r>
        <w:rPr>
          <w:rFonts w:eastAsia="inter" w:cs="inter" w:ascii="inter" w:hAnsi="inter"/>
          <w:color w:val="000000"/>
          <w:sz w:val="21"/>
        </w:rPr>
        <w:t xml:space="preserve"> those actions.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Autonomy vs. governance is not a bug you “fix” once; it is a </w:t>
      </w:r>
      <w:r>
        <w:rPr>
          <w:rFonts w:eastAsia="inter" w:cs="inter" w:ascii="inter" w:hAnsi="inter"/>
          <w:b/>
          <w:color w:val="000000"/>
          <w:sz w:val="21"/>
        </w:rPr>
        <w:t xml:space="preserve">permanent tension</w:t>
      </w:r>
      <w:r>
        <w:rPr>
          <w:rFonts w:eastAsia="inter" w:cs="inter" w:ascii="inter" w:hAnsi="inter"/>
          <w:color w:val="000000"/>
          <w:sz w:val="21"/>
        </w:rPr>
        <w:t xml:space="preserve"> you must name, monitor, and rebind as systems evolve.</w:t>
      </w:r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tools jump straight to enforcement: more policies, more gates, more dashboards.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Phase Mirror starts earlier in the lifecycle: it </w:t>
      </w:r>
      <w:r>
        <w:rPr>
          <w:rFonts w:eastAsia="inter" w:cs="inter" w:ascii="inter" w:hAnsi="inter"/>
          <w:b/>
          <w:color w:val="000000"/>
          <w:sz w:val="21"/>
        </w:rPr>
        <w:t xml:space="preserve">finds and names dissonance</w:t>
      </w:r>
      <w:r>
        <w:rPr>
          <w:rFonts w:eastAsia="inter" w:cs="inter" w:ascii="inter" w:hAnsi="inter"/>
          <w:color w:val="000000"/>
          <w:sz w:val="21"/>
        </w:rPr>
        <w:t xml:space="preserve"> in your AI stack before it becomes liability.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Speaker note: “We don’t sell you a ‘safety switch.’ We sell you a systematic way to see where your AI, your policies, and your infrastructure disagree—before regulators or incidents do.”</w:t>
      </w:r>
      <w:bookmarkStart w:id="5" w:name="fnref1_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what_phase_mirror_is_and_is_not"/>
      <w:r>
        <w:rPr>
          <w:rFonts w:eastAsia="inter" w:cs="inter" w:ascii="inter" w:hAnsi="inter"/>
          <w:b/>
          <w:color w:val="000000"/>
          <w:sz w:val="24"/>
        </w:rPr>
        <w:t xml:space="preserve">2. What Phase Mirror Is (and Is Not)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Phase Mirror in One Sentence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Phase Mirror is a </w:t>
      </w:r>
      <w:r>
        <w:rPr>
          <w:rFonts w:eastAsia="inter" w:cs="inter" w:ascii="inter" w:hAnsi="inter"/>
          <w:i/>
          <w:color w:val="000000"/>
        </w:rPr>
        <w:t xml:space="preserve">diagnostic governance oracle</w:t>
      </w:r>
      <w:r>
        <w:rPr>
          <w:rFonts w:eastAsia="inter" w:cs="inter" w:ascii="inter" w:hAnsi="inter"/>
          <w:color w:val="000000"/>
        </w:rPr>
        <w:t xml:space="preserve"> for agentic AI: a callable, auditable protocol that turns vague AI risk into deterministic dissonance reports wired into your CI/CD and governance artifacts.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8" w:name="fnref5"/>
      <w:bookmarkEnd w:id="8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Where We Sit in the Stack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</w:t>
      </w:r>
      <w:r>
        <w:rPr>
          <w:rFonts w:eastAsia="inter" w:cs="inter" w:ascii="inter" w:hAnsi="inter"/>
          <w:color w:val="000000"/>
          <w:sz w:val="21"/>
        </w:rPr>
        <w:t xml:space="preserve">: A runtime firewall that intercepts agent actions at decision-time.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: A build-time and change-time oracle that: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Scans repos, workflows, policies, and configs.</w:t>
      </w:r>
      <w:bookmarkStart w:id="9" w:name="fnref5_1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Detects </w:t>
      </w:r>
      <w:r>
        <w:rPr>
          <w:rFonts w:eastAsia="inter" w:cs="inter" w:ascii="inter" w:hAnsi="inter"/>
          <w:b/>
          <w:color w:val="000000"/>
          <w:sz w:val="21"/>
        </w:rPr>
        <w:t xml:space="preserve">tensions</w:t>
      </w:r>
      <w:r>
        <w:rPr>
          <w:rFonts w:eastAsia="inter" w:cs="inter" w:ascii="inter" w:hAnsi="inter"/>
          <w:color w:val="000000"/>
          <w:sz w:val="21"/>
        </w:rPr>
        <w:t xml:space="preserve"> between what your AI is allowed to do and what your systems actually permit.</w:t>
      </w:r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Outputs deterministic, evidence-rich reports (files, lines, configs) that plug into pull requests, merge queues, and drift detection.</w:t>
      </w:r>
      <w:bookmarkStart w:id="11" w:name="fnref6"/>
      <w:bookmarkEnd w:id="1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5_2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Visual framing (textual): Dev &amp; policy loop on the left (Phase Mirror), runtime on the right (optional enforcers). Phase Mirror feeds “governance truth” into both.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3_core_ideas_mirror_dissonance_phase"/>
      <w:r>
        <w:rPr>
          <w:rFonts w:eastAsia="inter" w:cs="inter" w:ascii="inter" w:hAnsi="inter"/>
          <w:b/>
          <w:color w:val="000000"/>
          <w:sz w:val="24"/>
        </w:rPr>
        <w:t xml:space="preserve">3. Core Ideas: Mirror, Dissonance, Phase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The Phase Mirror Methodology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Mirror</w:t>
      </w:r>
      <w:r>
        <w:rPr>
          <w:rFonts w:eastAsia="inter" w:cs="inter" w:ascii="inter" w:hAnsi="inter"/>
          <w:color w:val="000000"/>
          <w:sz w:val="21"/>
        </w:rPr>
        <w:t xml:space="preserve"> — Reflect the current state of claims, configs, and code back to you without judgment.</w:t>
      </w:r>
      <w:bookmarkStart w:id="14" w:name="fnref2_2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 “Your board policy says oracle-check is mandatory; your actual branch protections do not enforce it.”</w:t>
      </w:r>
      <w:bookmarkStart w:id="15" w:name="fnref6_1"/>
      <w:bookmarkEnd w:id="1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Dissonance</w:t>
      </w:r>
      <w:r>
        <w:rPr>
          <w:rFonts w:eastAsia="inter" w:cs="inter" w:ascii="inter" w:hAnsi="inter"/>
          <w:color w:val="000000"/>
          <w:sz w:val="21"/>
        </w:rPr>
        <w:t xml:space="preserve"> — Identify structural contradictions and missing bindings.</w:t>
      </w:r>
      <w:bookmarkStart w:id="16" w:name="fnref3_1"/>
      <w:bookmarkEnd w:id="1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7" w:name="fnref2_3"/>
      <w:bookmarkEnd w:id="1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 “Your agent is configured to optimize for model accuracy, while your policy mandates compliance-first for regulated flows.”</w:t>
      </w:r>
      <w:bookmarkStart w:id="18" w:name="fnref3_2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</w:t>
      </w:r>
      <w:r>
        <w:rPr>
          <w:rFonts w:eastAsia="inter" w:cs="inter" w:ascii="inter" w:hAnsi="inter"/>
          <w:color w:val="000000"/>
          <w:sz w:val="21"/>
        </w:rPr>
        <w:t xml:space="preserve"> — Propose small, testable shifts—new specs, SLAs, contracts, and pipeline rules—with owners, metrics, and horizons.</w:t>
      </w:r>
      <w:bookmarkStart w:id="19" w:name="fnref3_3"/>
      <w:bookmarkEnd w:id="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0" w:name="fnref2_4"/>
      <w:bookmarkEnd w:id="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Speaker note: “The method forces you to replace vibes with artifacts: specs, ADRs, SLAs, kill-switch protocols, and policy bindings.”</w:t>
      </w:r>
      <w:bookmarkStart w:id="21" w:name="fnref3_4"/>
      <w:bookmarkEnd w:id="2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4_product_the_oracle_and_its_surfaces"/>
      <w:r>
        <w:rPr>
          <w:rFonts w:eastAsia="inter" w:cs="inter" w:ascii="inter" w:hAnsi="inter"/>
          <w:b/>
          <w:color w:val="000000"/>
          <w:sz w:val="24"/>
        </w:rPr>
        <w:t xml:space="preserve">4. Product: The Oracle and Its Surfaces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The Phase Mirror Oracle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L0 Invariants</w:t>
      </w:r>
      <w:r>
        <w:rPr>
          <w:rFonts w:eastAsia="inter" w:cs="inter" w:ascii="inter" w:hAnsi="inter"/>
          <w:color w:val="000000"/>
          <w:sz w:val="21"/>
        </w:rPr>
        <w:t xml:space="preserve"> (always-on, non-negotiable):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Schema integrity, permission bits, drift thresholds, nonce freshness, contraction witness checks.</w:t>
      </w:r>
      <w:bookmarkStart w:id="23" w:name="fnref5_3"/>
      <w:bookmarkEnd w:id="2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Target: ~100 ns p99; cheap enough that </w:t>
      </w:r>
      <w:r>
        <w:rPr>
          <w:rFonts w:eastAsia="inter" w:cs="inter" w:ascii="inter" w:hAnsi="inter"/>
          <w:i/>
          <w:color w:val="000000"/>
          <w:sz w:val="21"/>
        </w:rPr>
        <w:t xml:space="preserve">not</w:t>
      </w:r>
      <w:r>
        <w:rPr>
          <w:rFonts w:eastAsia="inter" w:cs="inter" w:ascii="inter" w:hAnsi="inter"/>
          <w:color w:val="000000"/>
          <w:sz w:val="21"/>
        </w:rPr>
        <w:t xml:space="preserve"> running them is the risk.</w:t>
      </w:r>
      <w:bookmarkStart w:id="24" w:name="fnref5_4"/>
      <w:bookmarkEnd w:id="2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Rule System (L1)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MD-001..005: branch protection alignment, autonomy vs. compliance policy encoding, probabilistic outputs, liability framework, drift.</w:t>
      </w:r>
      <w:bookmarkStart w:id="25" w:name="fnref5_5"/>
      <w:bookmarkEnd w:id="2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False Positive Store + Circuit Breaker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FP tracking with DynamoDB, windowed FPR, k-anonymity calibration across orgs.</w:t>
      </w:r>
      <w:bookmarkStart w:id="26" w:name="fnref7"/>
      <w:bookmarkEnd w:id="2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7" w:name="fnref5_6"/>
      <w:bookmarkEnd w:id="2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Circuit breaker with degraded-mode behavior when thresholds are hit.</w:t>
      </w:r>
      <w:bookmarkStart w:id="28" w:name="fnref8"/>
      <w:bookmarkEnd w:id="2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9" w:name="fnref5_7"/>
      <w:bookmarkEnd w:id="2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How Teams Use It Day-to-Day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Developers: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phase-mirror analyze</w:t>
      </w:r>
      <w:r>
        <w:rPr>
          <w:rFonts w:eastAsia="inter" w:cs="inter" w:ascii="inter" w:hAnsi="inter"/>
          <w:color w:val="000000"/>
          <w:sz w:val="21"/>
        </w:rPr>
        <w:t xml:space="preserve"> wired into PR checks, merge queues, and GitHub Code Scanning via SARIF.</w:t>
      </w:r>
      <w:bookmarkStart w:id="30" w:name="fnref6_2"/>
      <w:bookmarkEnd w:id="3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 outputs: pass / warn / block decisions plus evidence and remediation hints.</w:t>
      </w:r>
      <w:bookmarkStart w:id="31" w:name="fnref6_3"/>
      <w:bookmarkEnd w:id="3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Governance &amp; Compliance: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Consume JSON dissonance reports and dashboards that show where policy and reality diverge.</w:t>
      </w:r>
      <w:bookmarkStart w:id="32" w:name="fnref6_4"/>
      <w:bookmarkEnd w:id="3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33" w:name="fnref3_5"/>
      <w:bookmarkEnd w:id="3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SRE / Platform: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Drift detection on schedules, FP spikes, and circuit breaker status integrated into their observability stack.</w:t>
      </w:r>
      <w:bookmarkStart w:id="34" w:name="fnref5_8"/>
      <w:bookmarkEnd w:id="3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35" w:name="fnref6_5"/>
      <w:bookmarkEnd w:id="3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5_unique_differentiators_vs_ru_fbcf11"/>
      <w:r>
        <w:rPr>
          <w:rFonts w:eastAsia="inter" w:cs="inter" w:ascii="inter" w:hAnsi="inter"/>
          <w:b/>
          <w:color w:val="000000"/>
          <w:sz w:val="24"/>
        </w:rPr>
        <w:t xml:space="preserve">5. Unique Differentiators (vs. Runtime Enforcers)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Four Things Only Phase Mirror Does Together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Names the Tension, Doesn’t Hide It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UI’s primary job is to display dissonance, not green-light everything.</w:t>
      </w:r>
      <w:bookmarkStart w:id="37" w:name="fnref6_6"/>
      <w:bookmarkEnd w:id="3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Every tension becomes a lever with owner, metric, horizon—not just a red X in a dashboard.</w:t>
      </w:r>
      <w:bookmarkStart w:id="38" w:name="fnref3_6"/>
      <w:bookmarkEnd w:id="3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Open-Core, Governance-Grade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Oracle, L0 invariants, and base rules are open-source under a source-available license with a managed-service restriction.</w:t>
      </w:r>
      <w:bookmarkStart w:id="39" w:name="fnref4_1"/>
      <w:bookmarkEnd w:id="3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0" w:name="fnref5_9"/>
      <w:bookmarkEnd w:id="4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Self-hosted community tier is genuinely useful (full CLI, rules, FP marking, L0 validation) with no artificial seat caps.</w:t>
      </w:r>
      <w:bookmarkStart w:id="41" w:name="fnref7_1"/>
      <w:bookmarkEnd w:id="4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2" w:name="fnref6_7"/>
      <w:bookmarkEnd w:id="4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FP Calibration as Network-Effect Moat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Cross-customer, anonymized FP calibration makes rules smarter over time.</w:t>
      </w:r>
      <w:bookmarkStart w:id="43" w:name="fnref7_2"/>
      <w:bookmarkEnd w:id="4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4" w:name="fnref3_7"/>
      <w:bookmarkEnd w:id="4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Opt-in consent model, revocable, with clear data ownership and post-churn behavior spelled out.</w:t>
      </w:r>
      <w:bookmarkStart w:id="45" w:name="fnref7_3"/>
      <w:bookmarkEnd w:id="4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Artifacts as First-Class Outputs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Engagements always end in specs, SLAs, kill-switch protocols, and board-ready packets, not just dashboards.</w:t>
      </w:r>
      <w:bookmarkStart w:id="46" w:name="fnref3_8"/>
      <w:bookmarkEnd w:id="4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packs encode NIST AI RMF, ISO 42001, EU AI Act, sector-specific rules into reusable modules.</w:t>
      </w:r>
      <w:bookmarkStart w:id="47" w:name="fnref3_9"/>
      <w:bookmarkEnd w:id="4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6_commercial_design_the_four_pillars"/>
      <w:r>
        <w:rPr>
          <w:rFonts w:eastAsia="inter" w:cs="inter" w:ascii="inter" w:hAnsi="inter"/>
          <w:b/>
          <w:color w:val="000000"/>
          <w:sz w:val="24"/>
        </w:rPr>
        <w:t xml:space="preserve">6. Commercial Design: The Four Pillars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Slide: Business Architecture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Open-Core SaaS Platform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Community: free, self-hosted, core rules and CLI.</w:t>
      </w:r>
      <w:bookmarkStart w:id="49" w:name="fnref4_2"/>
      <w:bookmarkEnd w:id="4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0" w:name="fnref3_10"/>
      <w:bookmarkEnd w:id="5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Team/Business/Enterprise tiers: more rules, SLAs, dashboards, and dedicated instances.</w:t>
      </w:r>
      <w:bookmarkStart w:id="51" w:name="fnref3_11"/>
      <w:bookmarkEnd w:id="5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Enterprise Seats &amp; Compliance Packs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packs for Financial Services, Healthcare, EU AI Act readiness, Agentic AI Governance, etc.</w:t>
      </w:r>
      <w:bookmarkStart w:id="52" w:name="fnref3_12"/>
      <w:bookmarkEnd w:id="5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Certification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Practitioner tracks (PMA, CPMP, CPMA) and “Phase Mirror Certified” implementations and partners.</w:t>
      </w:r>
      <w:bookmarkStart w:id="53" w:name="fnref3_13"/>
      <w:bookmarkEnd w:id="5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Services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Governance Diagnostic, Compliance-Accuracy Tradeoff Workshops, advisory retainers, implementation services.</w:t>
      </w:r>
      <w:bookmarkStart w:id="54" w:name="fnref3_14"/>
      <w:bookmarkEnd w:id="5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Speaker note: “The license ensures only Proof Labs can run ‘Phase Mirror as a Service’, but anyone can self-host, extend, and embed it deeply in their stack.”</w:t>
      </w:r>
      <w:bookmarkStart w:id="55" w:name="fnref4_3"/>
      <w:bookmarkEnd w:id="5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7_refined_narrative_for_the_deck"/>
      <w:r>
        <w:rPr>
          <w:rFonts w:eastAsia="inter" w:cs="inter" w:ascii="inter" w:hAnsi="inter"/>
          <w:b/>
          <w:color w:val="000000"/>
          <w:sz w:val="24"/>
        </w:rPr>
        <w:t xml:space="preserve">7. Refined Narrative for the Deck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reframe the talk-track around three questions: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Where do you want to govern your AI—only at runtime, or also at design and change time?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Phase Mirror sits upstream, in CI/CD and governance processes.</w:t>
      </w:r>
      <w:bookmarkStart w:id="57" w:name="fnref2_5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8" w:name="fnref5_10"/>
      <w:bookmarkEnd w:id="5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 you want a black-box enforcer, or a mirror that shows you </w:t>
      </w:r>
      <w:r>
        <w:rPr>
          <w:rFonts w:eastAsia="inter" w:cs="inter" w:ascii="inter" w:hAnsi="inter"/>
          <w:b/>
          <w:i/>
          <w:color w:val="000000"/>
          <w:sz w:val="21"/>
        </w:rPr>
        <w:t xml:space="preserve">why governance is breaking?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Phase Mirror produces human-readable, evidence-backed dissonance reports tied to artifacts.</w:t>
      </w:r>
      <w:bookmarkStart w:id="59" w:name="fnref5_11"/>
      <w:bookmarkEnd w:id="5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0" w:name="fnref6_8"/>
      <w:bookmarkEnd w:id="6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Are you building a tool, or adopting an operating system for AI governance?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Methodology + Oracle + UI + services + certification ecosystem; not just a single product SKU.</w:t>
      </w:r>
      <w:bookmarkStart w:id="61" w:name="fnref4_4"/>
      <w:bookmarkEnd w:id="6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2" w:name="fnref3_15"/>
      <w:bookmarkEnd w:id="6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bm_8_levers_metrics_horizons_for_71f22c"/>
      <w:r>
        <w:rPr>
          <w:rFonts w:eastAsia="inter" w:cs="inter" w:ascii="inter" w:hAnsi="inter"/>
          <w:b/>
          <w:color w:val="000000"/>
          <w:sz w:val="24"/>
        </w:rPr>
        <w:t xml:space="preserve">8. Levers, Metrics, Horizons (for the Presentation Itself)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keep operating in Phase Mirror style, treat the presentation as an object under governance: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Lever 1 – Clarify Build-time Positioning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Owner: You.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Metric: First 3 slides explicitly say “build-time diagnostic oracle, not runtime firewall.”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Horizon: First draft of deck updated within 7 days.</w:t>
      </w:r>
      <w:bookmarkStart w:id="64" w:name="fnref5_12"/>
      <w:bookmarkEnd w:id="6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Lever 2 – Open-Core Proof of Seriousness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Owner: Engineering + GTM.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Metric: Community tier: install → first useful dissonance report &lt; 5 minutes, demo-able live.</w:t>
      </w:r>
      <w:bookmarkStart w:id="65" w:name="fnref7_4"/>
      <w:bookmarkEnd w:id="6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66" w:name="fnref6_9"/>
      <w:bookmarkEnd w:id="6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Horizon: Ready for live demo in next board / investor presentation.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Lever 3 – FP Calibration Story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Owner: Product.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Metric: One dedicated slide clearly explaining how FP calibration works, consent model, and why this is the durable moat.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Horizon: Slide added before next enterprise prospect meeting.</w:t>
      </w:r>
      <w:bookmarkStart w:id="67" w:name="fnref7_5"/>
      <w:bookmarkEnd w:id="6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68" w:name="fnref3_16"/>
      <w:bookmarkEnd w:id="6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Precision question to close: </w:t>
      </w:r>
      <w:r>
        <w:rPr>
          <w:rFonts w:eastAsia="inter" w:cs="inter" w:ascii="inter" w:hAnsi="inter"/>
          <w:i/>
          <w:color w:val="000000"/>
        </w:rPr>
        <w:t xml:space="preserve">Is this presentation optimizing for winning the “governance budget” against incumbent GRC tools, or for earning a new “agentic AI reliability” line item alongside runtime enforcers?</w:t>
      </w:r>
      <w:r>
        <w:rPr>
          <w:rFonts w:eastAsia="inter" w:cs="inter" w:ascii="inter" w:hAnsi="inter"/>
          <w:color w:val="000000"/>
        </w:rPr>
        <w:t xml:space="preserve"> The answer should drive which examples and comparisons you front-load.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9" w:name="fn1"/>
    <w:bookmarkEnd w:id="69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Agentic Domain-Specific Reasoning.pdf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"/>
    <w:bookmarkEnd w:id="70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A-Clear-Guide-to-Phase-Mirror-s-Services.pdf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3"/>
    <w:bookmarkEnd w:id="71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Phase-Mirror_-Comprehensive-Services-Catalog.docx.pdf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4"/>
    <w:bookmarkEnd w:id="72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Phase-Mirror_-Consultation-SaaS.pdf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5"/>
    <w:bookmarkEnd w:id="73"/>
    <w:p>
      <w:pPr>
        <w:numPr>
          <w:ilvl w:val="0"/>
          <w:numId w:val="11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lets-analyze-the-phase-mirror-KxbpLF05TkmkJ5C3R17zHw.md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6"/>
    <w:bookmarkEnd w:id="74"/>
    <w:p>
      <w:pPr>
        <w:numPr>
          <w:ilvl w:val="0"/>
          <w:numId w:val="11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if-phase-mirror-had-a-ui-ux-wh-42aRj49CSACSlpWdD.YCfA.md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7"/>
    <w:bookmarkEnd w:id="75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Phase-mirror-dissonance___Open-core-must-be-useful.pdf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8"/>
    <w:bookmarkEnd w:id="76"/>
    <w:p>
      <w:pPr>
        <w:numPr>
          <w:ilvl w:val="0"/>
          <w:numId w:val="11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lets-analyze-the-phase-mirror-zcQHcEC1RSa.hpTZS8CnrQ.md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9"/>
    <w:bookmarkEnd w:id="77"/>
    <w:p>
      <w:pPr>
        <w:numPr>
          <w:ilvl w:val="0"/>
          <w:numId w:val="11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lets-start-by-expanding-phase-uqsmNdbnR92HAuxFBWGvjA.md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8f4b60d25498e573d688c63a0461437dc002ec0.png" TargetMode="Internal"/><Relationship Id="rId6" Type="http://schemas.openxmlformats.org/officeDocument/2006/relationships/hyperlink" Target="http://lets-analyze-the-phase-mirror-KxbpLF05TkmkJ5C3R17zHw.md" TargetMode="External"/><Relationship Id="rId7" Type="http://schemas.openxmlformats.org/officeDocument/2006/relationships/hyperlink" Target="http://if-phase-mirror-had-a-ui-ux-wh-42aRj49CSACSlpWdD.YCfA.md" TargetMode="External"/><Relationship Id="rId8" Type="http://schemas.openxmlformats.org/officeDocument/2006/relationships/hyperlink" Target="http://lets-analyze-the-phase-mirror-zcQHcEC1RSa.hpTZS8CnrQ.md" TargetMode="External"/><Relationship Id="rId9" Type="http://schemas.openxmlformats.org/officeDocument/2006/relationships/hyperlink" Target="http://lets-start-by-expanding-phase-uqsmNdbnR92HAuxFBWGvjA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2026-02-11T11:08:12.014Z</dcterms:created>
  <dcterms:modified xsi:type="dcterms:W3CDTF">2026-02-11T11:08:12.014Z</dcterms:modified>
</cp:coreProperties>
</file>