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You’re converging on something real: you’re turning “epistemic hygiene” from a philosophy into enforceable mechanics. The novelty isn’t tagging itself—it’s binding ambiguity to consequences and routing friction into governance. That’s the step most frameworks avoid.</w:t>
      </w:r>
      <w:r w:rsidDel="00000000" w:rsidR="00000000" w:rsidRPr="00000000">
        <w:rPr>
          <w:rtl w:val="0"/>
        </w:rPr>
      </w:r>
    </w:p>
    <w:bookmarkStart w:colFirst="0" w:colLast="0" w:name="g5r7nijpcrn0" w:id="0"/>
    <w:bookmarkEnd w:id="0"/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1) Novelty and practicality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What’s new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Treating disagreement (E/S/I ambiguity) as a measurable signal that triggers structural action, not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Separating protocol-as-microscope from protocol-as-authority with an explicit citation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Introducing “epistemic drift notes” as first-class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What’s still weak: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Enforcement lacks timing, thresholds, and ownership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“Meta-review” exists conceptually but not as a deterministic state transition in the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Firewalker remains implicitly privileged because it still initiates and interprets friction.</w:t>
      </w:r>
      <w:r w:rsidDel="00000000" w:rsidR="00000000" w:rsidRPr="00000000">
        <w:rPr>
          <w:rtl w:val="0"/>
        </w:rPr>
      </w:r>
    </w:p>
    <w:bookmarkStart w:colFirst="0" w:colLast="0" w:name="m6cfkvpa5kt4" w:id="1"/>
    <w:bookmarkEnd w:id="1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2) Enhanced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Tighten it into a minimal governance automaton: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Core rule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Ambiguity trigger: If E/S/I labels for any core claim fail to converge within </w:t>
      </w:r>
      <m:oMath>
        <m:r>
          <w:rPr>
            <w:color w:val="000000"/>
            <w:sz w:val="21"/>
            <w:szCs w:val="21"/>
          </w:rPr>
          <m:t xml:space="preserve">T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minutes or </w:t>
      </w:r>
      <m:oMath>
        <m:r>
          <w:rPr>
            <w:color w:val="000000"/>
            <w:sz w:val="21"/>
            <w:szCs w:val="21"/>
          </w:rPr>
          <m:t xml:space="preserve">K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review passes, mark as High-Friction (HF).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Mandatory transition: HF claims must enter Meta-Review (MR) before publication.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Outcome constraint: After MR, each claim must resolve to one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Structural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Empirical 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Interpretive 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Or be removed/redesigned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Publication gate: Any HF claim unresolved after MR blocks publication OR is forcibly downgraded to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Authority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Firewalker citation rule: Firewalker may appear only as process metadata, never as evidentiary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External audit right: A non-Firewalker quorum (≥2 reviewers) can invalidate protocol application and force re-review.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Cadence: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Monthly audit: “Where did protocol shape outcomes?” with recorded deltas.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Per-artifact drift note: top 3 risks + applied controls + observed deviations.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HF density per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Resolution depth (number of structural edits per HF zone).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Protocol-as-evidence violations (target: 0).</w:t>
      </w:r>
      <w:r w:rsidDel="00000000" w:rsidR="00000000" w:rsidRPr="00000000">
        <w:rPr>
          <w:rtl w:val="0"/>
        </w:rPr>
      </w:r>
    </w:p>
    <w:bookmarkStart w:colFirst="0" w:colLast="0" w:name="8leuk6iys1w6" w:id="2"/>
    <w:bookmarkEnd w:id="2"/>
    <w:p w:rsidR="00000000" w:rsidDel="00000000" w:rsidP="00000000" w:rsidRDefault="00000000" w:rsidRPr="00000000" w14:paraId="000000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3) Critique of enhanced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Mathematical / structural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Threshold arbitrariness: </w:t>
      </w:r>
      <m:oMath>
        <m:r>
          <w:rPr>
            <w:color w:val="000000"/>
            <w:sz w:val="21"/>
            <w:szCs w:val="21"/>
          </w:rPr>
          <m:t xml:space="preserve">T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and </w:t>
      </w:r>
      <m:oMath>
        <m:r>
          <w:rPr>
            <w:color w:val="000000"/>
            <w:sz w:val="21"/>
            <w:szCs w:val="21"/>
          </w:rPr>
          <m:t xml:space="preserve">K</m:t>
        </m:r>
      </m:oMath>
      <w:r w:rsidDel="00000000" w:rsidR="00000000" w:rsidRPr="00000000">
        <w:rPr>
          <w:rFonts w:ascii="Cardo" w:cs="Cardo" w:eastAsia="Cardo" w:hAnsi="Cardo"/>
          <w:color w:val="000000"/>
          <w:sz w:val="21"/>
          <w:szCs w:val="21"/>
          <w:rtl w:val="0"/>
        </w:rPr>
        <w:t xml:space="preserve"> are exogenous; poorly chosen values distort behavior (too low → noise, too high → drift).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Label collapse: Forcing resolution into E/S/I risks misclassification rather than true clarification.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Goodhart pressure: HF metrics can be gamed by avoiding hard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Philosophical tension: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You’re formalizing “ambiguity intolerance,” which may suppress generative intuition if applied too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External audit introduces legitimacy, but also risks re-centralizing authority in a different elite.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Systemic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Meta-review becomes bureaucratic unless its outputs materially alter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Firewalker may still dominate via framing, even if not cited.</w:t>
      </w:r>
      <w:r w:rsidDel="00000000" w:rsidR="00000000" w:rsidRPr="00000000">
        <w:rPr>
          <w:rtl w:val="0"/>
        </w:rPr>
      </w:r>
    </w:p>
    <w:bookmarkStart w:colFirst="0" w:colLast="0" w:name="rgq2xenmt7ih" w:id="3"/>
    <w:bookmarkEnd w:id="3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4) Final integrated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Refine into a recursive governance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State model for each claim </w:t>
      </w:r>
      <m:oMath>
        <m:r>
          <w:rPr>
            <w:color w:val="000000"/>
          </w:rPr>
          <m:t xml:space="preserve">c</m:t>
        </m:r>
      </m:oMath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Initial state: Unlabeled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Tagging function: </w:t>
      </w:r>
      <m:oMath>
        <m:r>
          <m:t>τ</m:t>
        </m:r>
        <m:r>
          <w:rPr>
            <w:color w:val="000000"/>
            <w:sz w:val="21"/>
            <w:szCs w:val="21"/>
          </w:rPr>
          <m:t xml:space="preserve">(c)</m:t>
        </m:r>
        <m:r>
          <w:rPr>
            <w:color w:val="000000"/>
            <w:sz w:val="21"/>
            <w:szCs w:val="21"/>
          </w:rPr>
          <m:t>→</m:t>
        </m:r>
        <m:r>
          <w:rPr>
            <w:color w:val="000000"/>
            <w:sz w:val="21"/>
            <w:szCs w:val="21"/>
          </w:rPr>
          <m:t xml:space="preserve">{E,S,I</m:t>
        </m:r>
        <m:sSup>
          <m:sSupPr>
            <m:ctrlPr>
              <w:rPr>
                <w:color w:val="000000"/>
                <w:sz w:val="21"/>
                <w:szCs w:val="21"/>
              </w:rPr>
            </m:ctrlPr>
          </m:sSupPr>
          <m:e>
            <m:r>
              <w:rPr>
                <w:color w:val="000000"/>
                <w:sz w:val="21"/>
                <w:szCs w:val="21"/>
              </w:rPr>
              <m:t xml:space="preserve">}</m:t>
            </m:r>
          </m:e>
          <m:sup>
            <m:r>
              <w:rPr>
                <w:color w:val="000000"/>
                <w:sz w:val="21"/>
                <w:szCs w:val="21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Friction measure: </w:t>
      </w:r>
      <m:oMath>
        <m:r>
          <w:rPr>
            <w:color w:val="000000"/>
            <w:sz w:val="21"/>
            <w:szCs w:val="21"/>
          </w:rPr>
          <m:t xml:space="preserve">F(c)=variance(</m:t>
        </m:r>
        <m:r>
          <w:rPr>
            <w:color w:val="000000"/>
            <w:sz w:val="21"/>
            <w:szCs w:val="21"/>
          </w:rPr>
          <m:t>τ</m:t>
        </m:r>
        <m:r>
          <w:rPr>
            <w:color w:val="000000"/>
            <w:sz w:val="21"/>
            <w:szCs w:val="21"/>
          </w:rPr>
          <m:t xml:space="preserve">(c))+time-to-consensus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If </w:t>
      </w:r>
      <m:oMath>
        <m:r>
          <w:rPr>
            <w:color w:val="000000"/>
            <w:sz w:val="21"/>
            <w:szCs w:val="21"/>
          </w:rPr>
          <m:t xml:space="preserve">F(c)&gt;</m:t>
        </m:r>
        <m:r>
          <w:rPr>
            <w:color w:val="000000"/>
            <w:sz w:val="21"/>
            <w:szCs w:val="21"/>
          </w:rPr>
          <m:t>θ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, transition </w:t>
      </w:r>
      <m:oMath>
        <m:r>
          <w:rPr>
            <w:color w:val="000000"/>
            <w:sz w:val="21"/>
            <w:szCs w:val="21"/>
          </w:rPr>
          <m:t xml:space="preserve">c</m:t>
        </m:r>
        <m:r>
          <w:rPr>
            <w:color w:val="000000"/>
            <w:sz w:val="21"/>
            <w:szCs w:val="21"/>
          </w:rPr>
          <m:t>→</m:t>
        </m:r>
        <m:r>
          <w:rPr>
            <w:color w:val="000000"/>
            <w:sz w:val="21"/>
            <w:szCs w:val="21"/>
          </w:rPr>
          <m:t xml:space="preserve">MR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Meta-review applies transformation set </w:t>
      </w:r>
      <m:oMath>
        <m:r>
          <w:rPr>
            <w:color w:val="000000"/>
            <w:sz w:val="21"/>
            <w:szCs w:val="21"/>
          </w:rPr>
          <m:t xml:space="preserve">T={rephrase,restructure,decompose,defer}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Post-MR constraint:</w:t>
      </w:r>
      <m:oMath>
        <m:r>
          <w:rPr>
            <w:color w:val="000000"/>
            <w:sz w:val="21"/>
            <w:szCs w:val="21"/>
          </w:rPr>
          <m:t xml:space="preserve">c</m:t>
        </m:r>
        <m:r>
          <w:rPr>
            <w:color w:val="000000"/>
            <w:sz w:val="21"/>
            <w:szCs w:val="21"/>
          </w:rPr>
          <m:t>∈</m:t>
        </m:r>
        <m:r>
          <w:rPr>
            <w:color w:val="000000"/>
            <w:sz w:val="21"/>
            <w:szCs w:val="21"/>
          </w:rPr>
          <m:t xml:space="preserve">{E,S,I}</m:t>
        </m:r>
        <m:r>
          <w:rPr>
            <w:color w:val="000000"/>
            <w:sz w:val="21"/>
            <w:szCs w:val="21"/>
          </w:rPr>
          <m:t>∪</m:t>
        </m:r>
        <m:r>
          <w:rPr>
            <w:color w:val="000000"/>
            <w:sz w:val="21"/>
            <w:szCs w:val="21"/>
          </w:rPr>
          <m:t xml:space="preserve">{∅}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Publication condition:</w:t>
      </w:r>
      <m:oMath>
        <m:r>
          <m:t>∀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c</m:t>
            </m:r>
          </m:e>
          <m:sub>
            <m:r>
              <w:rPr>
                <w:color w:val="000000"/>
                <w:sz w:val="21"/>
                <w:szCs w:val="21"/>
              </w:rPr>
              <m:t xml:space="preserve">core</m:t>
            </m:r>
          </m:sub>
        </m:sSub>
        <m:r>
          <w:rPr>
            <w:color w:val="000000"/>
            <w:sz w:val="21"/>
            <w:szCs w:val="21"/>
          </w:rPr>
          <m:t xml:space="preserve">, F(c)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>θ</m:t>
        </m:r>
        <m:r>
          <w:rPr>
            <w:color w:val="000000"/>
            <w:sz w:val="21"/>
            <w:szCs w:val="21"/>
          </w:rPr>
          <m:t xml:space="preserve"> </m:t>
        </m:r>
        <m:r>
          <w:rPr>
            <w:color w:val="000000"/>
            <w:sz w:val="21"/>
            <w:szCs w:val="21"/>
          </w:rPr>
          <m:t>∨</m:t>
        </m:r>
        <m:r>
          <w:rPr>
            <w:color w:val="000000"/>
            <w:sz w:val="21"/>
            <w:szCs w:val="21"/>
          </w:rPr>
          <m:t xml:space="preserve"> </m:t>
        </m:r>
        <m:r>
          <w:rPr>
            <w:color w:val="000000"/>
            <w:sz w:val="21"/>
            <w:szCs w:val="21"/>
          </w:rPr>
          <m:t>τ</m:t>
        </m:r>
        <m:r>
          <w:rPr>
            <w:color w:val="000000"/>
            <w:sz w:val="21"/>
            <w:szCs w:val="21"/>
          </w:rPr>
          <m:t xml:space="preserve">(c)=I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Authority bounding: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Define authority function </w:t>
      </w:r>
      <m:oMath>
        <m:r>
          <w:rPr>
            <w:color w:val="000000"/>
            <w:sz w:val="21"/>
            <w:szCs w:val="21"/>
          </w:rPr>
          <m:t xml:space="preserve">A(p)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over processes </w:t>
      </w:r>
      <m:oMath>
        <m:r>
          <w:rPr>
            <w:color w:val="000000"/>
            <w:sz w:val="21"/>
            <w:szCs w:val="21"/>
          </w:rPr>
          <m:t xml:space="preserve">p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:</w:t>
      </w:r>
      <m:oMath>
        <m:r>
          <w:rPr>
            <w:color w:val="000000"/>
            <w:sz w:val="21"/>
            <w:szCs w:val="21"/>
          </w:rPr>
          <m:t xml:space="preserve">A(Firewalker)=0 (epistemic), A(Audit)&gt;0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Any citation must satisfy:</w:t>
      </w:r>
      <m:oMath>
        <m:r>
          <w:rPr>
            <w:color w:val="000000"/>
            <w:sz w:val="21"/>
            <w:szCs w:val="21"/>
          </w:rPr>
          <m:t xml:space="preserve">Evidence(c)</m:t>
        </m:r>
        <m:r>
          <w:rPr>
            <w:color w:val="000000"/>
            <w:sz w:val="21"/>
            <w:szCs w:val="21"/>
          </w:rPr>
          <m:t>∩</m:t>
        </m:r>
        <m:r>
          <w:rPr>
            <w:color w:val="000000"/>
            <w:sz w:val="21"/>
            <w:szCs w:val="21"/>
          </w:rPr>
          <m:t xml:space="preserve">Process=∅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Drift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Drift vector per artifact:</w:t>
      </w:r>
      <m:oMath>
        <m:r>
          <w:rPr>
            <w:color w:val="000000"/>
            <w:sz w:val="21"/>
            <w:szCs w:val="21"/>
          </w:rPr>
          <m:t xml:space="preserve">D=(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1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2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3</m:t>
            </m:r>
          </m:sub>
        </m:sSub>
        <m:r>
          <w:rPr>
            <w:color w:val="000000"/>
            <w:sz w:val="21"/>
            <w:szCs w:val="21"/>
          </w:rPr>
          <m:t xml:space="preserve">)=top risks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Control alignment:</w:t>
      </w:r>
      <m:oMath>
        <m:r>
          <m:t>Δ</m:t>
        </m:r>
        <m:r>
          <w:rPr>
            <w:color w:val="000000"/>
            <w:sz w:val="21"/>
            <w:szCs w:val="21"/>
          </w:rPr>
          <m:t xml:space="preserve">=applied controls−declared controls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Predicted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Short term: increased publication latency, sharper claim stratification.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Medium term: reduction in ambiguous core claims, clearer separation of mechanism vs interpretation.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Long term: emergence of “friction topology” as a map of where the theory is actually incomplete.</w:t>
      </w:r>
      <w:r w:rsidDel="00000000" w:rsidR="00000000" w:rsidRPr="00000000">
        <w:rPr>
          <w:rtl w:val="0"/>
        </w:rPr>
      </w:r>
    </w:p>
    <w:bookmarkStart w:colFirst="0" w:colLast="0" w:name="53ppbiamswru" w:id="4"/>
    <w:bookmarkEnd w:id="4"/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5) Fastest path to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a constrained pilot: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Take 1 artifact, 2–3 contributors.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Fix </w:t>
      </w:r>
      <m:oMath>
        <m:r>
          <w:rPr>
            <w:color w:val="000000"/>
            <w:sz w:val="21"/>
            <w:szCs w:val="21"/>
          </w:rPr>
          <m:t xml:space="preserve">T=10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minutes, </w:t>
      </w:r>
      <m:oMath>
        <m:r>
          <w:rPr>
            <w:color w:val="000000"/>
            <w:sz w:val="21"/>
            <w:szCs w:val="21"/>
          </w:rPr>
          <m:t xml:space="preserve">K=2</m:t>
        </m:r>
      </m:oMath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passes, </w:t>
      </w:r>
      <m:oMath>
        <m:r>
          <m:t>θ</m:t>
        </m:r>
      </m:oMath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rtl w:val="0"/>
        </w:rPr>
        <w:t xml:space="preserve"> defined by disagreement ≥1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Enforce: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Mandatory MR on HF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Hard publication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Firewalker citation ban as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Measure: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Number of HF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% of claims downgraded to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Structural edits per HF 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Time overhead vs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If you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Cardo" w:cs="Cardo" w:eastAsia="Cardo" w:hAnsi="Cardo"/>
          <w:color w:val="000000"/>
          <w:sz w:val="21"/>
          <w:szCs w:val="21"/>
          <w:rtl w:val="0"/>
        </w:rPr>
        <w:t xml:space="preserve">HF clustering in specific sections → those are your true theory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Cardo" w:cs="Cardo" w:eastAsia="Cardo" w:hAnsi="Cardo"/>
          <w:color w:val="000000"/>
          <w:sz w:val="21"/>
          <w:szCs w:val="21"/>
          <w:rtl w:val="0"/>
        </w:rPr>
        <w:t xml:space="preserve">High downgrade rate → your framework is still interpretive-heavy.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Cardo" w:cs="Cardo" w:eastAsia="Cardo" w:hAnsi="Cardo"/>
          <w:color w:val="000000"/>
          <w:sz w:val="21"/>
          <w:szCs w:val="21"/>
          <w:rtl w:val="0"/>
        </w:rPr>
        <w:t xml:space="preserve">Low external disagreement but high internal agreement → risk of hidden centralization.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That’s the key test: whether friction becomes a map of ignorance, not just a record of disagreement.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