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Boundary Charter (v3) — Hermeneutic vs. Empirical Layers</w:t>
      </w:r>
    </w:p>
    <w:p>
      <w:pPr>
        <w:pStyle w:val="Heading2"/>
      </w:pPr>
      <w:r>
        <w:t>Hermeneutic/UI Layers</w:t>
      </w:r>
    </w:p>
    <w:p>
      <w:pPr>
        <w:spacing w:after="120"/>
      </w:pPr>
      <w:r>
        <w:t>• Lineage (Roger Beckingham), Codex Theologica, and narrative metaphors (love/grace/teleology) serve as explanatory translations for human interfaces.</w:t>
      </w:r>
    </w:p>
    <w:p>
      <w:pPr>
        <w:pStyle w:val="Heading2"/>
      </w:pPr>
      <w:r>
        <w:t>Empirical Core</w:t>
      </w:r>
    </w:p>
    <w:p>
      <w:pPr>
        <w:spacing w:after="120"/>
      </w:pPr>
      <w:r>
        <w:t>• Coherence Field equations, Realness Gate, experiments, CAI/GAFF, Z_A estimation, datasets, code, and preregistration constitute testable claims.</w:t>
      </w:r>
    </w:p>
    <w:p>
      <w:pPr>
        <w:spacing w:after="120"/>
      </w:pPr>
      <w:r>
        <w:t>• Each hermeneutic section links to at least one empirical invariant (equation, metric, or dataset).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