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57.5" w:before="157.5" w:line="270" w:lineRule="auto"/>
        <w:jc w:val="center"/>
        <w:rPr>
          <w:b w:val="1"/>
          <w:bCs w:val="1"/>
          <w:sz w:val="46"/>
          <w:szCs w:val="46"/>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43s3ucmelhkj" w:id="0"/>
      <w:bookmarkEnd w:id="0"/>
      <w:r w:rsidDel="00000000" w:rsidR="00000000" w:rsidRPr="00000000">
        <w:rPr>
          <w:b w:val="1"/>
          <w:bCs w:val="1"/>
          <w:sz w:val="46"/>
          <w:szCs w:val="46"/>
          <w:rtl w:val="0"/>
        </w:rPr>
        <w:t xml:space="preserve">Go-to-Market Strategy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nvt9qeys67p" w:id="1"/>
      <w:bookmarkEnd w:id="1"/>
      <w:r w:rsidDel="00000000" w:rsidR="00000000" w:rsidRPr="00000000">
        <w:rPr>
          <w:b w:val="1"/>
          <w:bCs w:val="1"/>
          <w:sz w:val="34"/>
          <w:szCs w:val="34"/>
          <w:rtl w:val="0"/>
        </w:rPr>
        <w:t xml:space="preserve">1.0 The Market Imperative: Seizing the AI Governance Gap</w:t>
      </w:r>
    </w:p>
    <w:p w:rsidR="00000000" w:rsidDel="00000000" w:rsidP="00000000" w:rsidRDefault="00000000" w:rsidRPr="00000000" w14:paraId="00000005">
      <w:pPr>
        <w:spacing w:after="240" w:before="240" w:lineRule="auto"/>
        <w:rPr/>
      </w:pPr>
      <w:r w:rsidDel="00000000" w:rsidR="00000000" w:rsidRPr="00000000">
        <w:rPr>
          <w:rtl w:val="0"/>
        </w:rPr>
        <w:t xml:space="preserve">The chasm between agentic AI adoption and legacy governance is not a market gap; it is a strategic vacuum that our methodology is purpose-built to capture and dominate. Enterprises are deploying autonomous systems at scale, operating without the necessary controls and exposing themselves to unmanaged liability and strategic failure. Phase Mirror is engineered to convert this chaos into order, capturing the substantial market opportunity this imperative represents.</w:t>
      </w:r>
    </w:p>
    <w:p w:rsidR="00000000" w:rsidDel="00000000" w:rsidP="00000000" w:rsidRDefault="00000000" w:rsidRPr="00000000" w14:paraId="00000006">
      <w:pPr>
        <w:spacing w:after="240" w:before="240" w:lineRule="auto"/>
        <w:rPr/>
      </w:pPr>
      <w:r w:rsidDel="00000000" w:rsidR="00000000" w:rsidRPr="00000000">
        <w:rPr>
          <w:rtl w:val="0"/>
        </w:rPr>
        <w:t xml:space="preserve">The market for AI governance and its adjacent sectors is not only large but also expanding at a remarkable pace. Our analysis identifies three core segments where Phase Mirror will establish a leadership position.</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ri0penm7pj9i" w:id="2"/>
      <w:bookmarkEnd w:id="2"/>
      <w:r w:rsidDel="00000000" w:rsidR="00000000" w:rsidRPr="00000000">
        <w:rPr>
          <w:b w:val="1"/>
          <w:bCs w:val="1"/>
          <w:color w:val="000000"/>
          <w:sz w:val="22"/>
          <w:szCs w:val="22"/>
          <w:rtl w:val="0"/>
        </w:rPr>
        <w:t xml:space="preserve">Target Market Opportunity Analysis</w:t>
      </w:r>
    </w:p>
    <w:tbl>
      <w:tblPr>
        <w:tblStyle w:val="Table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01.165549252192"/>
        <w:gridCol w:w="1684.7034553893761"/>
        <w:gridCol w:w="3639.7318205260444"/>
        <w:gridCol w:w="1134.3991748323879"/>
        <w:tblGridChange w:id="0">
          <w:tblGrid>
            <w:gridCol w:w="2901.165549252192"/>
            <w:gridCol w:w="1684.7034553893761"/>
            <w:gridCol w:w="3639.7318205260444"/>
            <w:gridCol w:w="1134.3991748323879"/>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Market Segment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2025 Value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Projected Value (and Year)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CAGR</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AI Compliance SaaS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$5.07B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$39.54B (2034)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22.8%</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AI Governance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$309M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$3.7B (2033)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~35%</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AI Consulting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$11.07B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$90.99B (2035)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26.2%</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The severity of this governance vacuum is underscored by the fact that </w:t>
      </w:r>
      <w:r w:rsidDel="00000000" w:rsidR="00000000" w:rsidRPr="00000000">
        <w:rPr>
          <w:b w:val="1"/>
          <w:bCs w:val="1"/>
          <w:rtl w:val="0"/>
        </w:rPr>
        <w:t xml:space="preserve">only 22% of enterprises in 2025 had prioritized AI governance policy with a visible, defined AI strategy.</w:t>
      </w:r>
      <w:r w:rsidDel="00000000" w:rsidR="00000000" w:rsidRPr="00000000">
        <w:rPr>
          <w:rtl w:val="0"/>
        </w:rPr>
        <w:t xml:space="preserve"> This inaction is no longer tenable. Fiduciary pressure on executives is mounting, with the Securities and Exchange Commission (SEC) increasing its scrutiny of how companies disclose material AI risks. Defensible governance architecture has become a fiduciary necessity, not an operational choice.</w:t>
      </w:r>
    </w:p>
    <w:p w:rsidR="00000000" w:rsidDel="00000000" w:rsidP="00000000" w:rsidRDefault="00000000" w:rsidRPr="00000000" w14:paraId="00000019">
      <w:pPr>
        <w:spacing w:after="240" w:before="240" w:lineRule="auto"/>
        <w:rPr/>
      </w:pPr>
      <w:r w:rsidDel="00000000" w:rsidR="00000000" w:rsidRPr="00000000">
        <w:rPr>
          <w:rtl w:val="0"/>
        </w:rPr>
        <w:t xml:space="preserve">Existing GRC tools are insufficient for this new paradigm. They were designed for a world of deterministic processes and are incapable of addressing the structural frictions unique to agentic AI. These legacy systems cannot manage the tension between probabilistic outputs and binary compliance frameworks, nor can they reconcile the conflict between an agent's required autonomy and the enterprise's need for deterministic governance.</w:t>
      </w:r>
    </w:p>
    <w:p w:rsidR="00000000" w:rsidDel="00000000" w:rsidP="00000000" w:rsidRDefault="00000000" w:rsidRPr="00000000" w14:paraId="0000001A">
      <w:pPr>
        <w:spacing w:after="240" w:before="240" w:lineRule="auto"/>
        <w:rPr/>
      </w:pPr>
      <w:r w:rsidDel="00000000" w:rsidR="00000000" w:rsidRPr="00000000">
        <w:rPr>
          <w:rtl w:val="0"/>
        </w:rPr>
        <w:t xml:space="preserve">Phase Mirror's methodology and platform are the purpose-built solution to navigate this complex and high-stakes environment, offering a clear path for enterprises to govern AI by design, not by accident.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b5mkddusv83d" w:id="3"/>
      <w:bookmarkEnd w:id="3"/>
      <w:r w:rsidDel="00000000" w:rsidR="00000000" w:rsidRPr="00000000">
        <w:rPr>
          <w:b w:val="1"/>
          <w:bCs w:val="1"/>
          <w:sz w:val="34"/>
          <w:szCs w:val="34"/>
          <w:rtl w:val="0"/>
        </w:rPr>
        <w:t xml:space="preserve">2.0 Core Value Proposition &amp; Strategic Positioning</w:t>
      </w:r>
    </w:p>
    <w:p w:rsidR="00000000" w:rsidDel="00000000" w:rsidP="00000000" w:rsidRDefault="00000000" w:rsidRPr="00000000" w14:paraId="0000001C">
      <w:pPr>
        <w:spacing w:after="240" w:before="240" w:lineRule="auto"/>
        <w:rPr/>
      </w:pPr>
      <w:r w:rsidDel="00000000" w:rsidR="00000000" w:rsidRPr="00000000">
        <w:rPr>
          <w:rtl w:val="0"/>
        </w:rPr>
        <w:t xml:space="preserve">Our strategic position is defined by our unique capability to move organizations beyond abstract principles and "vibe claims" to a state of deliberate, evidence-based governance. We do not sell a simple compliance tool; we deliver a diagnostic methodology that transforms the foundational contradictions of agentic AI into auditable, actionable mechanisms. We provide the indispensable framework to manage the permanent tensions of AI, converting them from unmanaged risks into sources of durable competitive advantage.</w:t>
      </w:r>
    </w:p>
    <w:p w:rsidR="00000000" w:rsidDel="00000000" w:rsidP="00000000" w:rsidRDefault="00000000" w:rsidRPr="00000000" w14:paraId="0000001D">
      <w:pPr>
        <w:spacing w:after="240" w:before="240" w:lineRule="auto"/>
        <w:rPr/>
      </w:pPr>
      <w:r w:rsidDel="00000000" w:rsidR="00000000" w:rsidRPr="00000000">
        <w:rPr>
          <w:rtl w:val="0"/>
        </w:rPr>
        <w:t xml:space="preserve">The core mission of the Phase Mirror methodology is to instill discipline and clarity into an organization's AI strategy through three primary objectives: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Expose Mismatches:</w:t>
      </w:r>
      <w:r w:rsidDel="00000000" w:rsidR="00000000" w:rsidRPr="00000000">
        <w:rPr>
          <w:rtl w:val="0"/>
        </w:rPr>
        <w:t xml:space="preserve"> Reveal the inherent conflicts and inconsistencies between an organization's stated intentions and its actual operating incentives.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Replace "Vibe Claims" with Mechanisms:</w:t>
      </w:r>
      <w:r w:rsidDel="00000000" w:rsidR="00000000" w:rsidRPr="00000000">
        <w:rPr>
          <w:rtl w:val="0"/>
        </w:rPr>
        <w:t xml:space="preserve"> Substitute abstract, impressionistic goals with concrete, binding artifacts such as technical specifications, legal contracts, and Service Level Agreements (SLAs).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Drive Actionable Outcomes:</w:t>
      </w:r>
      <w:r w:rsidDel="00000000" w:rsidR="00000000" w:rsidRPr="00000000">
        <w:rPr>
          <w:rtl w:val="0"/>
        </w:rPr>
        <w:t xml:space="preserve"> Ensure every diagnosis concludes with a set of specific "levers" for change, each assigned to a clear owner with a measurable metric and a defined time horizon.</w:t>
      </w:r>
    </w:p>
    <w:p w:rsidR="00000000" w:rsidDel="00000000" w:rsidP="00000000" w:rsidRDefault="00000000" w:rsidRPr="00000000" w14:paraId="00000021">
      <w:pPr>
        <w:spacing w:after="240" w:before="240" w:lineRule="auto"/>
        <w:rPr/>
      </w:pPr>
      <w:r w:rsidDel="00000000" w:rsidR="00000000" w:rsidRPr="00000000">
        <w:rPr>
          <w:rtl w:val="0"/>
        </w:rPr>
        <w:t xml:space="preserve">The central problem Phase Mirror solves for its clients is the challenge of managing the permanent, structural tension between </w:t>
      </w:r>
      <w:r w:rsidDel="00000000" w:rsidR="00000000" w:rsidRPr="00000000">
        <w:rPr>
          <w:b w:val="1"/>
          <w:bCs w:val="1"/>
          <w:rtl w:val="0"/>
        </w:rPr>
        <w:t xml:space="preserve">AI Autonomy vs. Enterprise Governance</w:t>
      </w:r>
      <w:r w:rsidDel="00000000" w:rsidR="00000000" w:rsidRPr="00000000">
        <w:rPr>
          <w:rtl w:val="0"/>
        </w:rPr>
        <w:t xml:space="preserve">. We operate from the understanding that this is not a solvable contradiction but a fundamental condition of working with agentic systems that must be explicitly managed through robust, auditable bindings.</w:t>
      </w:r>
    </w:p>
    <w:p w:rsidR="00000000" w:rsidDel="00000000" w:rsidP="00000000" w:rsidRDefault="00000000" w:rsidRPr="00000000" w14:paraId="00000022">
      <w:pPr>
        <w:spacing w:after="240" w:before="240" w:lineRule="auto"/>
        <w:rPr/>
      </w:pPr>
      <w:r w:rsidDel="00000000" w:rsidR="00000000" w:rsidRPr="00000000">
        <w:rPr>
          <w:rtl w:val="0"/>
        </w:rPr>
        <w:t xml:space="preserve">This philosophical stance is captured in our core conclusion:</w:t>
      </w:r>
    </w:p>
    <w:p w:rsidR="00000000" w:rsidDel="00000000" w:rsidP="00000000" w:rsidRDefault="00000000" w:rsidRPr="00000000" w14:paraId="00000023">
      <w:pPr>
        <w:spacing w:after="240" w:before="240" w:lineRule="auto"/>
        <w:rPr>
          <w:i w:val="1"/>
          <w:iCs w:val="1"/>
        </w:rPr>
      </w:pPr>
      <w:r w:rsidDel="00000000" w:rsidR="00000000" w:rsidRPr="00000000">
        <w:rPr>
          <w:i w:val="1"/>
          <w:iCs w:val="1"/>
          <w:rtl w:val="0"/>
        </w:rPr>
        <w:t xml:space="preserve">"The Phase Mirror does not resolve dissonance—it names it."</w:t>
      </w:r>
    </w:p>
    <w:p w:rsidR="00000000" w:rsidDel="00000000" w:rsidP="00000000" w:rsidRDefault="00000000" w:rsidRPr="00000000" w14:paraId="00000024">
      <w:pPr>
        <w:spacing w:after="240" w:before="240" w:lineRule="auto"/>
        <w:rPr/>
      </w:pPr>
      <w:r w:rsidDel="00000000" w:rsidR="00000000" w:rsidRPr="00000000">
        <w:rPr>
          <w:rtl w:val="0"/>
        </w:rPr>
        <w:t xml:space="preserve">This unique value proposition is delivered through a cohesive product and service architecture, designed to operationalize our methodology at enterprise scale.</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k2qp8qgvkvj" w:id="4"/>
      <w:bookmarkEnd w:id="4"/>
      <w:r w:rsidDel="00000000" w:rsidR="00000000" w:rsidRPr="00000000">
        <w:rPr>
          <w:b w:val="1"/>
          <w:bCs w:val="1"/>
          <w:sz w:val="34"/>
          <w:szCs w:val="34"/>
          <w:rtl w:val="0"/>
        </w:rPr>
        <w:t xml:space="preserve">3.0 Target Market &amp; Customer Segmentation</w:t>
      </w:r>
    </w:p>
    <w:p w:rsidR="00000000" w:rsidDel="00000000" w:rsidP="00000000" w:rsidRDefault="00000000" w:rsidRPr="00000000" w14:paraId="00000026">
      <w:pPr>
        <w:spacing w:after="240" w:before="240" w:lineRule="auto"/>
        <w:rPr/>
      </w:pPr>
      <w:r w:rsidDel="00000000" w:rsidR="00000000" w:rsidRPr="00000000">
        <w:rPr>
          <w:rtl w:val="0"/>
        </w:rPr>
        <w:t xml:space="preserve">Our go-to-market execution hinges on a multi-persona targeting strategy designed to engage the full spectrum of stakeholders. We will connect with executive decision-makers who own the risk, technical leaders who manage implementation, and compliance teams who demand auditability. This multi-threaded engagement model is architected to drive both strategic adoption and deep operational expansion.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utpyr17ajm3d" w:id="5"/>
      <w:bookmarkEnd w:id="5"/>
      <w:r w:rsidDel="00000000" w:rsidR="00000000" w:rsidRPr="00000000">
        <w:rPr>
          <w:b w:val="1"/>
          <w:bCs w:val="1"/>
          <w:color w:val="000000"/>
          <w:sz w:val="22"/>
          <w:szCs w:val="22"/>
          <w:rtl w:val="0"/>
        </w:rPr>
        <w:t xml:space="preserve">Ideal Customer Personas</w:t>
      </w:r>
    </w:p>
    <w:p w:rsidR="00000000" w:rsidDel="00000000" w:rsidP="00000000" w:rsidRDefault="00000000" w:rsidRPr="00000000" w14:paraId="00000028">
      <w:pPr>
        <w:spacing w:after="240" w:before="240" w:lineRule="auto"/>
        <w:rPr/>
      </w:pPr>
      <w:r w:rsidDel="00000000" w:rsidR="00000000" w:rsidRPr="00000000">
        <w:rPr>
          <w:rtl w:val="0"/>
        </w:rPr>
        <w:t xml:space="preserve">Our methodology and products are tailored to address the distinct concerns of key buyers within target organizations.</w:t>
      </w:r>
    </w:p>
    <w:tbl>
      <w:tblPr>
        <w:tblStyle w:val="Table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85.5696202531644"/>
        <w:gridCol w:w="2641.1392405063293"/>
        <w:gridCol w:w="4033.2911392405067"/>
        <w:tblGridChange w:id="0">
          <w:tblGrid>
            <w:gridCol w:w="2685.5696202531644"/>
            <w:gridCol w:w="2641.1392405063293"/>
            <w:gridCol w:w="4033.2911392405067"/>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Target Buyer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Organizational Role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Primary Concerns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C-Suite/Board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CEO, CIO, CRO, Board of Directors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Fiduciary duty, SEC disclosure requirements, enterprise liability, strategic risk mitigation, competitive advantage.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IT Leadership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CTO, VP of Engineering, Head of AI/ML</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Platform stability, integration with CI/CD pipelines, managing technical risk, developer productivity.</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Governance &amp; Compliance Teams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Chief Compliance Officer, Head of GRC, Internal Audit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Auditability, regulatory adherence, policy enforcement, creating defensible documentation and control surfaces.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Engineering/DevOps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AI/ML Engineers, DevOps Leads, Enterprise Architects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Deployment velocity, implementing safety guardrails, reducing operational friction, clear rules of engagement.</w:t>
            </w:r>
          </w:p>
        </w:tc>
      </w:tr>
    </w:tbl>
    <w:p w:rsidR="00000000" w:rsidDel="00000000" w:rsidP="00000000" w:rsidRDefault="00000000" w:rsidRPr="00000000" w14:paraId="00000038">
      <w:pPr>
        <w:spacing w:after="240" w:before="240" w:lineRule="auto"/>
        <w:rPr/>
      </w:pPr>
      <w:r w:rsidDel="00000000" w:rsidR="00000000" w:rsidRPr="00000000">
        <w:rPr>
          <w:rtl w:val="0"/>
        </w:rPr>
        <w:t xml:space="preserve">Our primary focus is on mid-market and enterprise organizations where the complexity of AI adoption and the scale of potential liability are most acute. We segment these organizations by size, aligning with the pricing model for our flagship </w:t>
      </w:r>
      <w:r w:rsidDel="00000000" w:rsidR="00000000" w:rsidRPr="00000000">
        <w:rPr>
          <w:rFonts w:ascii="Roboto Mono" w:cs="Roboto Mono" w:eastAsia="Roboto Mono" w:hAnsi="Roboto Mono"/>
          <w:color w:val="188038"/>
          <w:rtl w:val="0"/>
        </w:rPr>
        <w:t xml:space="preserve">AI Governance Diagnostic</w:t>
      </w:r>
      <w:r w:rsidDel="00000000" w:rsidR="00000000" w:rsidRPr="00000000">
        <w:rPr>
          <w:rtl w:val="0"/>
        </w:rPr>
        <w:t xml:space="preserve"> engagement.</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bCs w:val="1"/>
          <w:rtl w:val="0"/>
        </w:rPr>
        <w:t xml:space="preserve">Mid-Market:</w:t>
      </w:r>
      <w:r w:rsidDel="00000000" w:rsidR="00000000" w:rsidRPr="00000000">
        <w:rPr>
          <w:rtl w:val="0"/>
        </w:rPr>
        <w:t xml:space="preserve"> 500-2,000 employees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Enterprise:</w:t>
      </w:r>
      <w:r w:rsidDel="00000000" w:rsidR="00000000" w:rsidRPr="00000000">
        <w:rPr>
          <w:rtl w:val="0"/>
        </w:rPr>
        <w:t xml:space="preserve"> 2,000-10,000 employees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Global Enterprise:</w:t>
      </w:r>
      <w:r w:rsidDel="00000000" w:rsidR="00000000" w:rsidRPr="00000000">
        <w:rPr>
          <w:rtl w:val="0"/>
        </w:rPr>
        <w:t xml:space="preserve"> 10,000+ employees</w:t>
      </w:r>
    </w:p>
    <w:p w:rsidR="00000000" w:rsidDel="00000000" w:rsidP="00000000" w:rsidRDefault="00000000" w:rsidRPr="00000000" w14:paraId="0000003C">
      <w:pPr>
        <w:spacing w:after="240" w:before="240" w:lineRule="auto"/>
        <w:rPr/>
      </w:pPr>
      <w:r w:rsidDel="00000000" w:rsidR="00000000" w:rsidRPr="00000000">
        <w:rPr>
          <w:rtl w:val="0"/>
        </w:rPr>
        <w:t xml:space="preserve">We will strategically prioritize regulated industries where the cost of compliance failure is highest. Our specialized </w:t>
      </w:r>
      <w:r w:rsidDel="00000000" w:rsidR="00000000" w:rsidRPr="00000000">
        <w:rPr>
          <w:rFonts w:ascii="Roboto Mono" w:cs="Roboto Mono" w:eastAsia="Roboto Mono" w:hAnsi="Roboto Mono"/>
          <w:color w:val="188038"/>
          <w:rtl w:val="0"/>
        </w:rPr>
        <w:t xml:space="preserve">Compliance Packs</w:t>
      </w:r>
      <w:r w:rsidDel="00000000" w:rsidR="00000000" w:rsidRPr="00000000">
        <w:rPr>
          <w:rtl w:val="0"/>
        </w:rPr>
        <w:t xml:space="preserve"> for </w:t>
      </w:r>
      <w:r w:rsidDel="00000000" w:rsidR="00000000" w:rsidRPr="00000000">
        <w:rPr>
          <w:b w:val="1"/>
          <w:bCs w:val="1"/>
          <w:rtl w:val="0"/>
        </w:rPr>
        <w:t xml:space="preserve">Financial Services</w:t>
      </w:r>
      <w:r w:rsidDel="00000000" w:rsidR="00000000" w:rsidRPr="00000000">
        <w:rPr>
          <w:rtl w:val="0"/>
        </w:rPr>
        <w:t xml:space="preserve">, </w:t>
      </w:r>
      <w:r w:rsidDel="00000000" w:rsidR="00000000" w:rsidRPr="00000000">
        <w:rPr>
          <w:b w:val="1"/>
          <w:bCs w:val="1"/>
          <w:rtl w:val="0"/>
        </w:rPr>
        <w:t xml:space="preserve">Healthcare &amp; Life Sciences</w:t>
      </w:r>
      <w:r w:rsidDel="00000000" w:rsidR="00000000" w:rsidRPr="00000000">
        <w:rPr>
          <w:rtl w:val="0"/>
        </w:rPr>
        <w:t xml:space="preserve">, and </w:t>
      </w:r>
      <w:r w:rsidDel="00000000" w:rsidR="00000000" w:rsidRPr="00000000">
        <w:rPr>
          <w:b w:val="1"/>
          <w:bCs w:val="1"/>
          <w:rtl w:val="0"/>
        </w:rPr>
        <w:t xml:space="preserve">EU AI Act Readiness</w:t>
      </w:r>
      <w:r w:rsidDel="00000000" w:rsidR="00000000" w:rsidRPr="00000000">
        <w:rPr>
          <w:rtl w:val="0"/>
        </w:rPr>
        <w:t xml:space="preserve"> provide tailored, high-value solutions that directly address the specific regulatory pressures these organizations face.</w:t>
      </w:r>
    </w:p>
    <w:p w:rsidR="00000000" w:rsidDel="00000000" w:rsidP="00000000" w:rsidRDefault="00000000" w:rsidRPr="00000000" w14:paraId="0000003D">
      <w:pPr>
        <w:spacing w:after="240" w:before="240" w:lineRule="auto"/>
        <w:rPr/>
      </w:pPr>
      <w:r w:rsidDel="00000000" w:rsidR="00000000" w:rsidRPr="00000000">
        <w:rPr>
          <w:rtl w:val="0"/>
        </w:rPr>
        <w:t xml:space="preserve">This precise segmentation ensures our service portfolio is not merely offered, but surgically targeted to the specific liabilities and value drivers of each key buyer, maximizing adoption velocity and expansion potential.</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v8rasexjp1" w:id="6"/>
      <w:bookmarkEnd w:id="6"/>
      <w:r w:rsidDel="00000000" w:rsidR="00000000" w:rsidRPr="00000000">
        <w:rPr>
          <w:b w:val="1"/>
          <w:bCs w:val="1"/>
          <w:sz w:val="34"/>
          <w:szCs w:val="34"/>
          <w:rtl w:val="0"/>
        </w:rPr>
        <w:t xml:space="preserve">4.0 The Four-Pillar Service &amp; Product Architecture</w:t>
      </w:r>
    </w:p>
    <w:p w:rsidR="00000000" w:rsidDel="00000000" w:rsidP="00000000" w:rsidRDefault="00000000" w:rsidRPr="00000000" w14:paraId="0000003F">
      <w:pPr>
        <w:spacing w:after="240" w:before="240" w:lineRule="auto"/>
        <w:rPr/>
      </w:pPr>
      <w:r w:rsidDel="00000000" w:rsidR="00000000" w:rsidRPr="00000000">
        <w:rPr>
          <w:rtl w:val="0"/>
        </w:rPr>
        <w:t xml:space="preserve">Our portfolio is a cohesive, four-pillar architecture engineered to support the full lifecycle of a customer's AI governance maturity. These pillars are not a menu of options; they are an integrated system designed to guide clients from initial diagnosis and strategy to scaled operational enforcement and deep ecosystem entrenchment.</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l9xfyd3t8oa" w:id="7"/>
      <w:bookmarkEnd w:id="7"/>
      <w:r w:rsidDel="00000000" w:rsidR="00000000" w:rsidRPr="00000000">
        <w:rPr>
          <w:b w:val="1"/>
          <w:bCs w:val="1"/>
          <w:color w:val="000000"/>
          <w:sz w:val="26"/>
          <w:szCs w:val="26"/>
          <w:rtl w:val="0"/>
        </w:rPr>
        <w:t xml:space="preserve">Pillar 1: Strategic &amp; Implementation Services</w:t>
      </w:r>
    </w:p>
    <w:p w:rsidR="00000000" w:rsidDel="00000000" w:rsidP="00000000" w:rsidRDefault="00000000" w:rsidRPr="00000000" w14:paraId="00000041">
      <w:pPr>
        <w:spacing w:after="240" w:before="240" w:lineRule="auto"/>
        <w:rPr/>
      </w:pPr>
      <w:r w:rsidDel="00000000" w:rsidR="00000000" w:rsidRPr="00000000">
        <w:rPr>
          <w:rtl w:val="0"/>
        </w:rPr>
        <w:t xml:space="preserve">High-margin consulting and implementation services are the primary entry point for C-suite and senior leadership engagement. The flagship </w:t>
      </w:r>
      <w:r w:rsidDel="00000000" w:rsidR="00000000" w:rsidRPr="00000000">
        <w:rPr>
          <w:rFonts w:ascii="Roboto Mono" w:cs="Roboto Mono" w:eastAsia="Roboto Mono" w:hAnsi="Roboto Mono"/>
          <w:b w:val="1"/>
          <w:bCs w:val="1"/>
          <w:color w:val="188038"/>
          <w:rtl w:val="0"/>
        </w:rPr>
        <w:t xml:space="preserve">AI Governance Diagnostic</w:t>
      </w:r>
      <w:r w:rsidDel="00000000" w:rsidR="00000000" w:rsidRPr="00000000">
        <w:rPr>
          <w:rtl w:val="0"/>
        </w:rPr>
        <w:t xml:space="preserve"> establishes Phase Mirror's methodological authority by surfacing critical organizational tensions and producing concrete, actionable levers for change. The </w:t>
      </w:r>
      <w:r w:rsidDel="00000000" w:rsidR="00000000" w:rsidRPr="00000000">
        <w:rPr>
          <w:rFonts w:ascii="Roboto Mono" w:cs="Roboto Mono" w:eastAsia="Roboto Mono" w:hAnsi="Roboto Mono"/>
          <w:b w:val="1"/>
          <w:bCs w:val="1"/>
          <w:color w:val="188038"/>
          <w:rtl w:val="0"/>
        </w:rPr>
        <w:t xml:space="preserve">Compliance-Accuracy Tradeoff Workshop</w:t>
      </w:r>
      <w:r w:rsidDel="00000000" w:rsidR="00000000" w:rsidRPr="00000000">
        <w:rPr>
          <w:rtl w:val="0"/>
        </w:rPr>
        <w:t xml:space="preserve"> forces the foundational policy decisions that underpin a sound liability architecture. These services establish trust, diagnose core problems, and create the strategic mandate for broader platform adoption.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k5lq0flere" w:id="8"/>
      <w:bookmarkEnd w:id="8"/>
      <w:r w:rsidDel="00000000" w:rsidR="00000000" w:rsidRPr="00000000">
        <w:rPr>
          <w:b w:val="1"/>
          <w:bCs w:val="1"/>
          <w:color w:val="000000"/>
          <w:sz w:val="26"/>
          <w:szCs w:val="26"/>
          <w:rtl w:val="0"/>
        </w:rPr>
        <w:t xml:space="preserve">Pillar 2: Open-Core SaaS Platform (The Oracle)</w:t>
      </w:r>
    </w:p>
    <w:p w:rsidR="00000000" w:rsidDel="00000000" w:rsidP="00000000" w:rsidRDefault="00000000" w:rsidRPr="00000000" w14:paraId="00000043">
      <w:pPr>
        <w:spacing w:after="240" w:before="240" w:lineRule="auto"/>
        <w:rPr/>
      </w:pPr>
      <w:r w:rsidDel="00000000" w:rsidR="00000000" w:rsidRPr="00000000">
        <w:rPr>
          <w:rtl w:val="0"/>
        </w:rPr>
        <w:t xml:space="preserve">The technical core of our business is the </w:t>
      </w:r>
      <w:r w:rsidDel="00000000" w:rsidR="00000000" w:rsidRPr="00000000">
        <w:rPr>
          <w:b w:val="1"/>
          <w:bCs w:val="1"/>
          <w:rtl w:val="0"/>
        </w:rPr>
        <w:t xml:space="preserve">Phase Mirror Oracle</w:t>
      </w:r>
      <w:r w:rsidDel="00000000" w:rsidR="00000000" w:rsidRPr="00000000">
        <w:rPr>
          <w:rtl w:val="0"/>
        </w:rPr>
        <w:t xml:space="preserve">, a callable, auditable inconsistency-finding protocol. Offered as an open-core SaaS platform, it provides tiered access (Community, Team, Business, Enterprise) to drive broad adoption. The open-core license includes a managed service restriction, protecting our recurring revenue streams. The platform's primary economic moat is the network effect derived from the aggregate </w:t>
      </w:r>
      <w:r w:rsidDel="00000000" w:rsidR="00000000" w:rsidRPr="00000000">
        <w:rPr>
          <w:rFonts w:ascii="Roboto Mono" w:cs="Roboto Mono" w:eastAsia="Roboto Mono" w:hAnsi="Roboto Mono"/>
          <w:b w:val="1"/>
          <w:bCs w:val="1"/>
          <w:color w:val="188038"/>
          <w:rtl w:val="0"/>
        </w:rPr>
        <w:t xml:space="preserve">FP calibration service</w:t>
      </w:r>
      <w:r w:rsidDel="00000000" w:rsidR="00000000" w:rsidRPr="00000000">
        <w:rPr>
          <w:rtl w:val="0"/>
        </w:rPr>
        <w:t xml:space="preserve">. As more customers use the service, its false-positive detection becomes increasingly accurate, creating a proprietary data asset that self-hosted instances cannot replicate. This data-driven network effect is our most durable competitive advantage, directly fueling the long-term, high-margin Platform ARR outlined in our revenue architecture.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t419vdnfefl" w:id="9"/>
      <w:bookmarkEnd w:id="9"/>
      <w:r w:rsidDel="00000000" w:rsidR="00000000" w:rsidRPr="00000000">
        <w:rPr>
          <w:b w:val="1"/>
          <w:bCs w:val="1"/>
          <w:color w:val="000000"/>
          <w:sz w:val="26"/>
          <w:szCs w:val="26"/>
          <w:rtl w:val="0"/>
        </w:rPr>
        <w:t xml:space="preserve">Pillar 3: Enterprise Seats &amp; Compliance Packs</w:t>
      </w:r>
    </w:p>
    <w:p w:rsidR="00000000" w:rsidDel="00000000" w:rsidP="00000000" w:rsidRDefault="00000000" w:rsidRPr="00000000" w14:paraId="00000045">
      <w:pPr>
        <w:spacing w:after="240" w:before="240" w:lineRule="auto"/>
        <w:rPr/>
      </w:pPr>
      <w:r w:rsidDel="00000000" w:rsidR="00000000" w:rsidRPr="00000000">
        <w:rPr>
          <w:rtl w:val="0"/>
        </w:rPr>
        <w:t xml:space="preserve">This pillar is designed for mature, regulated customers and represents a key expansion pathway. We bundle platform access into </w:t>
      </w:r>
      <w:r w:rsidDel="00000000" w:rsidR="00000000" w:rsidRPr="00000000">
        <w:rPr>
          <w:b w:val="1"/>
          <w:bCs w:val="1"/>
          <w:rtl w:val="0"/>
        </w:rPr>
        <w:t xml:space="preserve">Enterprise Seats</w:t>
      </w:r>
      <w:r w:rsidDel="00000000" w:rsidR="00000000" w:rsidRPr="00000000">
        <w:rPr>
          <w:rtl w:val="0"/>
        </w:rPr>
        <w:t xml:space="preserve"> that include proprietary, high-value </w:t>
      </w:r>
      <w:r w:rsidDel="00000000" w:rsidR="00000000" w:rsidRPr="00000000">
        <w:rPr>
          <w:rFonts w:ascii="Roboto Mono" w:cs="Roboto Mono" w:eastAsia="Roboto Mono" w:hAnsi="Roboto Mono"/>
          <w:b w:val="1"/>
          <w:bCs w:val="1"/>
          <w:color w:val="188038"/>
          <w:rtl w:val="0"/>
        </w:rPr>
        <w:t xml:space="preserve">Compliance Packs</w:t>
      </w:r>
      <w:r w:rsidDel="00000000" w:rsidR="00000000" w:rsidRPr="00000000">
        <w:rPr>
          <w:rtl w:val="0"/>
        </w:rPr>
        <w:t xml:space="preserve">. These add-on modules contain industry-specific rules, pre-built governance templates, and regulatory mapping for frameworks like the EU AI Act or standards for Financial Services and Healthcare. Offerings such as the </w:t>
      </w:r>
      <w:r w:rsidDel="00000000" w:rsidR="00000000" w:rsidRPr="00000000">
        <w:rPr>
          <w:rFonts w:ascii="Roboto Mono" w:cs="Roboto Mono" w:eastAsia="Roboto Mono" w:hAnsi="Roboto Mono"/>
          <w:b w:val="1"/>
          <w:bCs w:val="1"/>
          <w:color w:val="188038"/>
          <w:rtl w:val="0"/>
        </w:rPr>
        <w:t xml:space="preserve">Agentic AI Governance</w:t>
      </w:r>
      <w:r w:rsidDel="00000000" w:rsidR="00000000" w:rsidRPr="00000000">
        <w:rPr>
          <w:rtl w:val="0"/>
        </w:rPr>
        <w:t xml:space="preserve"> pack cater directly to the most advanced AI adopters, providing specialized tooling to manage the unique risks of autonomous systems.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qj0xqgpkuzo0" w:id="10"/>
      <w:bookmarkEnd w:id="10"/>
      <w:r w:rsidDel="00000000" w:rsidR="00000000" w:rsidRPr="00000000">
        <w:rPr>
          <w:b w:val="1"/>
          <w:bCs w:val="1"/>
          <w:color w:val="000000"/>
          <w:sz w:val="26"/>
          <w:szCs w:val="26"/>
          <w:rtl w:val="0"/>
        </w:rPr>
        <w:t xml:space="preserve">Pillar 4: Certification &amp; Training Ecosystem</w:t>
      </w:r>
    </w:p>
    <w:p w:rsidR="00000000" w:rsidDel="00000000" w:rsidP="00000000" w:rsidRDefault="00000000" w:rsidRPr="00000000" w14:paraId="00000047">
      <w:pPr>
        <w:spacing w:after="240" w:before="240" w:lineRule="auto"/>
        <w:rPr/>
      </w:pPr>
      <w:r w:rsidDel="00000000" w:rsidR="00000000" w:rsidRPr="00000000">
        <w:rPr>
          <w:rtl w:val="0"/>
        </w:rPr>
        <w:t xml:space="preserve">Our certification and training programs serve a dual purpose. First, they generate direct, high-margin revenue. Second, and more importantly, they create durable ecosystem lock-in. By building a community of </w:t>
      </w:r>
      <w:r w:rsidDel="00000000" w:rsidR="00000000" w:rsidRPr="00000000">
        <w:rPr>
          <w:b w:val="1"/>
          <w:bCs w:val="1"/>
          <w:rtl w:val="0"/>
        </w:rPr>
        <w:t xml:space="preserve">Certified Phase Mirror Practitioners</w:t>
      </w:r>
      <w:r w:rsidDel="00000000" w:rsidR="00000000" w:rsidRPr="00000000">
        <w:rPr>
          <w:rtl w:val="0"/>
        </w:rPr>
        <w:t xml:space="preserve"> and </w:t>
      </w:r>
      <w:r w:rsidDel="00000000" w:rsidR="00000000" w:rsidRPr="00000000">
        <w:rPr>
          <w:b w:val="1"/>
          <w:bCs w:val="1"/>
          <w:rtl w:val="0"/>
        </w:rPr>
        <w:t xml:space="preserve">Architects</w:t>
      </w:r>
      <w:r w:rsidDel="00000000" w:rsidR="00000000" w:rsidRPr="00000000">
        <w:rPr>
          <w:rtl w:val="0"/>
        </w:rPr>
        <w:t xml:space="preserve">, we establish a quality standard for our partners and customers. This ensures successful implementations, drives deeper platform adoption, and reinforces Phase Mirror's position as the industry-defining methodology for AI governance.</w:t>
      </w:r>
    </w:p>
    <w:p w:rsidR="00000000" w:rsidDel="00000000" w:rsidP="00000000" w:rsidRDefault="00000000" w:rsidRPr="00000000" w14:paraId="00000048">
      <w:pPr>
        <w:spacing w:after="240" w:before="240" w:lineRule="auto"/>
        <w:rPr/>
      </w:pPr>
      <w:r w:rsidDel="00000000" w:rsidR="00000000" w:rsidRPr="00000000">
        <w:rPr>
          <w:rtl w:val="0"/>
        </w:rPr>
        <w:t xml:space="preserve">This multi-pillar architecture is the engine of our "land and expand" sales motion, creating multiple, interconnected pathways for customer acquisition and long-term value creation.</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dxtj0cf8bmag" w:id="11"/>
      <w:bookmarkEnd w:id="11"/>
      <w:r w:rsidDel="00000000" w:rsidR="00000000" w:rsidRPr="00000000">
        <w:rPr>
          <w:b w:val="1"/>
          <w:bCs w:val="1"/>
          <w:sz w:val="34"/>
          <w:szCs w:val="34"/>
          <w:rtl w:val="0"/>
        </w:rPr>
        <w:t xml:space="preserve">5.0 Revenue Architecture &amp; Pricing Strategy</w:t>
      </w:r>
    </w:p>
    <w:p w:rsidR="00000000" w:rsidDel="00000000" w:rsidP="00000000" w:rsidRDefault="00000000" w:rsidRPr="00000000" w14:paraId="0000004A">
      <w:pPr>
        <w:spacing w:after="240" w:before="240" w:lineRule="auto"/>
        <w:rPr/>
      </w:pPr>
      <w:r w:rsidDel="00000000" w:rsidR="00000000" w:rsidRPr="00000000">
        <w:rPr>
          <w:rtl w:val="0"/>
        </w:rPr>
        <w:t xml:space="preserve">Our revenue architecture is engineered to evolve with customer maturity, creating a durable and predictable financial model. We will initially leverage high-touch consulting to establish market credibility and secure foundational lighthouse accounts. This services-led entry point will deliberately transition the revenue mix toward a highly scalable, recurring base from our SaaS platform, enterprise seats, and support contracts, maximizing long-term enterprise value.</w:t>
      </w:r>
    </w:p>
    <w:p w:rsidR="00000000" w:rsidDel="00000000" w:rsidP="00000000" w:rsidRDefault="00000000" w:rsidRPr="00000000" w14:paraId="0000004B">
      <w:pPr>
        <w:spacing w:after="240" w:before="240" w:lineRule="auto"/>
        <w:rPr/>
      </w:pPr>
      <w:r w:rsidDel="00000000" w:rsidR="00000000" w:rsidRPr="00000000">
        <w:rPr>
          <w:rtl w:val="0"/>
        </w:rPr>
        <w:t xml:space="preserve">This progression is reflected in our three-year financial targets, which balance initial services-led growth with a deliberate transition to a platform-centric business model.</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fdrdll6ufuc9" w:id="12"/>
      <w:bookmarkEnd w:id="12"/>
      <w:r w:rsidDel="00000000" w:rsidR="00000000" w:rsidRPr="00000000">
        <w:rPr>
          <w:b w:val="1"/>
          <w:bCs w:val="1"/>
          <w:color w:val="000000"/>
          <w:sz w:val="22"/>
          <w:szCs w:val="22"/>
          <w:rtl w:val="0"/>
        </w:rPr>
        <w:t xml:space="preserve">Revenue Projections (Year 1-3)</w:t>
      </w:r>
    </w:p>
    <w:tbl>
      <w:tblPr>
        <w:tblStyle w:val="Table3"/>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166.735537190083"/>
        <w:gridCol w:w="2064.4214876033056"/>
        <w:gridCol w:w="2064.4214876033056"/>
        <w:gridCol w:w="2064.4214876033056"/>
        <w:tblGridChange w:id="0">
          <w:tblGrid>
            <w:gridCol w:w="3166.735537190083"/>
            <w:gridCol w:w="2064.4214876033056"/>
            <w:gridCol w:w="2064.4214876033056"/>
            <w:gridCol w:w="2064.4214876033056"/>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Revenue Stream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Year 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Year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Year 3</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Consulting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$600,000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$1,200,000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$1,875,000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Platform ARR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$150,000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$900,000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$2,625,000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Enterprise Seats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$100,000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$450,000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$1,500,000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Support Contracts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$50,000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$240,000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$750,000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Certification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$50,000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$120,000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$375,000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Training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$50,000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$90,000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$375,000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Total Revenue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$1,000,000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$3,000,000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$7,500,000</w:t>
            </w:r>
          </w:p>
        </w:tc>
      </w:tr>
    </w:tbl>
    <w:p w:rsidR="00000000" w:rsidDel="00000000" w:rsidP="00000000" w:rsidRDefault="00000000" w:rsidRPr="00000000" w14:paraId="0000006D">
      <w:pPr>
        <w:spacing w:after="240" w:before="240" w:lineRule="auto"/>
        <w:rPr/>
      </w:pPr>
      <w:r w:rsidDel="00000000" w:rsidR="00000000" w:rsidRPr="00000000">
        <w:rPr>
          <w:rtl w:val="0"/>
        </w:rPr>
        <w:t xml:space="preserve">The strategic shift from services to recurring revenue is a core tenet of our plan, ensuring long-term scalability and enterprise value.</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7w0875kvj3vh" w:id="13"/>
      <w:bookmarkEnd w:id="13"/>
      <w:r w:rsidDel="00000000" w:rsidR="00000000" w:rsidRPr="00000000">
        <w:rPr>
          <w:b w:val="1"/>
          <w:bCs w:val="1"/>
          <w:color w:val="000000"/>
          <w:sz w:val="22"/>
          <w:szCs w:val="22"/>
          <w:rtl w:val="0"/>
        </w:rPr>
        <w:t xml:space="preserve">Projected Revenue Mix by Stage</w:t>
      </w:r>
    </w:p>
    <w:tbl>
      <w:tblPr>
        <w:tblStyle w:val="Table4"/>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247.962867457452"/>
        <w:gridCol w:w="1699.1851469829812"/>
        <w:gridCol w:w="1699.1851469829812"/>
        <w:gridCol w:w="1713.6668385765859"/>
        <w:tblGridChange w:id="0">
          <w:tblGrid>
            <w:gridCol w:w="4247.962867457452"/>
            <w:gridCol w:w="1699.1851469829812"/>
            <w:gridCol w:w="1699.1851469829812"/>
            <w:gridCol w:w="1713.6668385765859"/>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Revenue Stream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Year 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Year 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Year 3</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Consulting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60%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40%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25%</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Platform ARR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30%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35%</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Enterprise Seats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10%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15%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20%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Support Contracts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10%</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Certification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Training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5%</w:t>
            </w:r>
          </w:p>
        </w:tc>
      </w:tr>
    </w:tbl>
    <w:p w:rsidR="00000000" w:rsidDel="00000000" w:rsidP="00000000" w:rsidRDefault="00000000" w:rsidRPr="00000000" w14:paraId="0000008B">
      <w:pPr>
        <w:spacing w:after="240" w:before="240" w:lineRule="auto"/>
        <w:rPr/>
      </w:pPr>
      <w:r w:rsidDel="00000000" w:rsidR="00000000" w:rsidRPr="00000000">
        <w:rPr>
          <w:rtl w:val="0"/>
        </w:rPr>
        <w:t xml:space="preserve">Our pricing model is designed to provide clear entry points and expansion paths. Key offerings have transparent pricing structures, such as the fixed-fee </w:t>
      </w:r>
      <w:r w:rsidDel="00000000" w:rsidR="00000000" w:rsidRPr="00000000">
        <w:rPr>
          <w:rFonts w:ascii="Roboto Mono" w:cs="Roboto Mono" w:eastAsia="Roboto Mono" w:hAnsi="Roboto Mono"/>
          <w:b w:val="1"/>
          <w:bCs w:val="1"/>
          <w:color w:val="188038"/>
          <w:rtl w:val="0"/>
        </w:rPr>
        <w:t xml:space="preserve">AI Governance Diagnostic</w:t>
      </w:r>
      <w:r w:rsidDel="00000000" w:rsidR="00000000" w:rsidRPr="00000000">
        <w:rPr>
          <w:rtl w:val="0"/>
        </w:rPr>
        <w:t xml:space="preserve"> which ranges from </w:t>
      </w:r>
      <w:r w:rsidDel="00000000" w:rsidR="00000000" w:rsidRPr="00000000">
        <w:rPr>
          <w:b w:val="1"/>
          <w:bCs w:val="1"/>
          <w:rtl w:val="0"/>
        </w:rPr>
        <w:t xml:space="preserve">150,000-250,000 for Enterprise</w:t>
      </w:r>
      <w:r w:rsidDel="00000000" w:rsidR="00000000" w:rsidRPr="00000000">
        <w:rPr>
          <w:rtl w:val="0"/>
        </w:rPr>
        <w:t xml:space="preserve"> clients. The SaaS Platform is priced as an annual subscription, with the </w:t>
      </w:r>
      <w:r w:rsidDel="00000000" w:rsidR="00000000" w:rsidRPr="00000000">
        <w:rPr>
          <w:b w:val="1"/>
          <w:bCs w:val="1"/>
          <w:rtl w:val="0"/>
        </w:rPr>
        <w:t xml:space="preserve">Business tier offered at $36,000 per year</w:t>
      </w:r>
      <w:r w:rsidDel="00000000" w:rsidR="00000000" w:rsidRPr="00000000">
        <w:rPr>
          <w:rtl w:val="0"/>
        </w:rPr>
        <w:t xml:space="preserve">, providing an accessible on-ramp for mid-market customers.</w:t>
      </w:r>
    </w:p>
    <w:p w:rsidR="00000000" w:rsidDel="00000000" w:rsidP="00000000" w:rsidRDefault="00000000" w:rsidRPr="00000000" w14:paraId="0000008C">
      <w:pPr>
        <w:spacing w:after="240" w:before="240" w:lineRule="auto"/>
        <w:rPr/>
      </w:pPr>
      <w:r w:rsidDel="00000000" w:rsidR="00000000" w:rsidRPr="00000000">
        <w:rPr>
          <w:rtl w:val="0"/>
        </w:rPr>
        <w:t xml:space="preserve">This revenue architecture is the financial blueprint for market capture, executed through the disciplined go-to-market motion detailed next.</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e8fw28fp2a95" w:id="14"/>
      <w:bookmarkEnd w:id="14"/>
      <w:r w:rsidDel="00000000" w:rsidR="00000000" w:rsidRPr="00000000">
        <w:rPr>
          <w:b w:val="1"/>
          <w:bCs w:val="1"/>
          <w:sz w:val="34"/>
          <w:szCs w:val="34"/>
          <w:rtl w:val="0"/>
        </w:rPr>
        <w:t xml:space="preserve">6.0 Go-to-Market Motion: The Land &amp; Expand Model</w:t>
      </w:r>
    </w:p>
    <w:p w:rsidR="00000000" w:rsidDel="00000000" w:rsidP="00000000" w:rsidRDefault="00000000" w:rsidRPr="00000000" w14:paraId="0000008E">
      <w:pPr>
        <w:spacing w:after="240" w:before="240" w:lineRule="auto"/>
        <w:rPr/>
      </w:pPr>
      <w:r w:rsidDel="00000000" w:rsidR="00000000" w:rsidRPr="00000000">
        <w:rPr>
          <w:rtl w:val="0"/>
        </w:rPr>
        <w:t xml:space="preserve">We will execute a "Land and Expand" go-to-market motion designed to acquire customers through multiple, low-friction entry points and systematically grow their lifetime value. We will meet customers where they are—whether exploring open-source tools or seeking board-level strategic advice—and guide them on an intentional journey toward comprehensive, enterprise-wide governance.</w:t>
      </w:r>
    </w:p>
    <w:p w:rsidR="00000000" w:rsidDel="00000000" w:rsidP="00000000" w:rsidRDefault="00000000" w:rsidRPr="00000000" w14:paraId="0000008F">
      <w:pPr>
        <w:spacing w:after="240" w:before="240" w:lineRule="auto"/>
        <w:rPr/>
      </w:pPr>
      <w:r w:rsidDel="00000000" w:rsidR="00000000" w:rsidRPr="00000000">
        <w:rPr>
          <w:rtl w:val="0"/>
        </w:rPr>
        <w:t xml:space="preserve">The path to purchase is structured across four distinct stages of the </w:t>
      </w:r>
      <w:r w:rsidDel="00000000" w:rsidR="00000000" w:rsidRPr="00000000">
        <w:rPr>
          <w:b w:val="1"/>
          <w:bCs w:val="1"/>
          <w:rtl w:val="0"/>
        </w:rPr>
        <w:t xml:space="preserve">Customer Journey</w:t>
      </w:r>
      <w:r w:rsidDel="00000000" w:rsidR="00000000" w:rsidRPr="00000000">
        <w:rPr>
          <w:rtl w:val="0"/>
        </w:rPr>
        <w:t xml:space="preserve">:</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We will build market awareness through high-value thought leadership content, including white papers on agentic AI risk, conference talks, and podcast appearances targeting our key personas.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We lower the barrier to entry with two primary evaluation paths. Technical teams can begin with the free </w:t>
      </w:r>
      <w:r w:rsidDel="00000000" w:rsidR="00000000" w:rsidRPr="00000000">
        <w:rPr>
          <w:b w:val="1"/>
          <w:bCs w:val="1"/>
          <w:rtl w:val="0"/>
        </w:rPr>
        <w:t xml:space="preserve">Community</w:t>
      </w:r>
      <w:r w:rsidDel="00000000" w:rsidR="00000000" w:rsidRPr="00000000">
        <w:rPr>
          <w:rtl w:val="0"/>
        </w:rPr>
        <w:t xml:space="preserve"> tier of our SaaS platform, while executive teams can engage with a paid </w:t>
      </w:r>
      <w:r w:rsidDel="00000000" w:rsidR="00000000" w:rsidRPr="00000000">
        <w:rPr>
          <w:rFonts w:ascii="Roboto Mono" w:cs="Roboto Mono" w:eastAsia="Roboto Mono" w:hAnsi="Roboto Mono"/>
          <w:b w:val="1"/>
          <w:bCs w:val="1"/>
          <w:color w:val="188038"/>
          <w:rtl w:val="0"/>
        </w:rPr>
        <w:t xml:space="preserve">AI Governance Diagnostic</w:t>
      </w:r>
      <w:r w:rsidDel="00000000" w:rsidR="00000000" w:rsidRPr="00000000">
        <w:rPr>
          <w:rtl w:val="0"/>
        </w:rPr>
        <w:t xml:space="preserve"> to address strategic-level concerns.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bCs w:val="1"/>
          <w:rtl w:val="0"/>
        </w:rPr>
        <w:t xml:space="preserve">Adoption:</w:t>
      </w:r>
      <w:r w:rsidDel="00000000" w:rsidR="00000000" w:rsidRPr="00000000">
        <w:rPr>
          <w:rtl w:val="0"/>
        </w:rPr>
        <w:t xml:space="preserve"> As organizations formalize their governance programs, they will adopt paid SaaS tiers (</w:t>
      </w:r>
      <w:r w:rsidDel="00000000" w:rsidR="00000000" w:rsidRPr="00000000">
        <w:rPr>
          <w:b w:val="1"/>
          <w:bCs w:val="1"/>
          <w:rtl w:val="0"/>
        </w:rPr>
        <w:t xml:space="preserve">Team/Business</w:t>
      </w:r>
      <w:r w:rsidDel="00000000" w:rsidR="00000000" w:rsidRPr="00000000">
        <w:rPr>
          <w:rtl w:val="0"/>
        </w:rPr>
        <w:t xml:space="preserve">), invest in our </w:t>
      </w:r>
      <w:r w:rsidDel="00000000" w:rsidR="00000000" w:rsidRPr="00000000">
        <w:rPr>
          <w:b w:val="1"/>
          <w:bCs w:val="1"/>
          <w:rtl w:val="0"/>
        </w:rPr>
        <w:t xml:space="preserve">training programs</w:t>
      </w:r>
      <w:r w:rsidDel="00000000" w:rsidR="00000000" w:rsidRPr="00000000">
        <w:rPr>
          <w:rtl w:val="0"/>
        </w:rPr>
        <w:t xml:space="preserve">, and encourage their teams to pursue practitioner </w:t>
      </w:r>
      <w:r w:rsidDel="00000000" w:rsidR="00000000" w:rsidRPr="00000000">
        <w:rPr>
          <w:b w:val="1"/>
          <w:bCs w:val="1"/>
          <w:rtl w:val="0"/>
        </w:rPr>
        <w:t xml:space="preserve">certifications</w:t>
      </w:r>
      <w:r w:rsidDel="00000000" w:rsidR="00000000" w:rsidRPr="00000000">
        <w:rPr>
          <w:rtl w:val="0"/>
        </w:rPr>
        <w:t xml:space="preserve">.</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b w:val="1"/>
          <w:bCs w:val="1"/>
          <w:rtl w:val="0"/>
        </w:rPr>
        <w:t xml:space="preserve">Expansion:</w:t>
      </w:r>
      <w:r w:rsidDel="00000000" w:rsidR="00000000" w:rsidRPr="00000000">
        <w:rPr>
          <w:rtl w:val="0"/>
        </w:rPr>
        <w:t xml:space="preserve"> We will drive expansion within established accounts through upgrades to the </w:t>
      </w:r>
      <w:r w:rsidDel="00000000" w:rsidR="00000000" w:rsidRPr="00000000">
        <w:rPr>
          <w:b w:val="1"/>
          <w:bCs w:val="1"/>
          <w:rtl w:val="0"/>
        </w:rPr>
        <w:t xml:space="preserve">Enterprise</w:t>
      </w:r>
      <w:r w:rsidDel="00000000" w:rsidR="00000000" w:rsidRPr="00000000">
        <w:rPr>
          <w:rtl w:val="0"/>
        </w:rPr>
        <w:t xml:space="preserve"> tier, the addition of high-margin </w:t>
      </w:r>
      <w:r w:rsidDel="00000000" w:rsidR="00000000" w:rsidRPr="00000000">
        <w:rPr>
          <w:b w:val="1"/>
          <w:bCs w:val="1"/>
          <w:rtl w:val="0"/>
        </w:rPr>
        <w:t xml:space="preserve">Compliance Packs</w:t>
      </w:r>
      <w:r w:rsidDel="00000000" w:rsidR="00000000" w:rsidRPr="00000000">
        <w:rPr>
          <w:rtl w:val="0"/>
        </w:rPr>
        <w:t xml:space="preserve">, and the engagement of a dedicated </w:t>
      </w:r>
      <w:r w:rsidDel="00000000" w:rsidR="00000000" w:rsidRPr="00000000">
        <w:rPr>
          <w:b w:val="1"/>
          <w:bCs w:val="1"/>
          <w:rtl w:val="0"/>
        </w:rPr>
        <w:t xml:space="preserve">Technical Account Manager (TAM)</w:t>
      </w:r>
      <w:r w:rsidDel="00000000" w:rsidR="00000000" w:rsidRPr="00000000">
        <w:rPr>
          <w:rtl w:val="0"/>
        </w:rPr>
        <w:t xml:space="preserve"> for premium support.</w:t>
      </w:r>
    </w:p>
    <w:p w:rsidR="00000000" w:rsidDel="00000000" w:rsidP="00000000" w:rsidRDefault="00000000" w:rsidRPr="00000000" w14:paraId="00000094">
      <w:pPr>
        <w:spacing w:after="240" w:before="240" w:lineRule="auto"/>
        <w:rPr/>
      </w:pPr>
      <w:r w:rsidDel="00000000" w:rsidR="00000000" w:rsidRPr="00000000">
        <w:rPr>
          <w:rtl w:val="0"/>
        </w:rPr>
        <w:t xml:space="preserve">This model provides multiple flexible pathways for customer acquisition and growth, tailored to different entry points and organizational triggers.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vex95av6lvdn" w:id="15"/>
      <w:bookmarkEnd w:id="15"/>
      <w:r w:rsidDel="00000000" w:rsidR="00000000" w:rsidRPr="00000000">
        <w:rPr>
          <w:b w:val="1"/>
          <w:bCs w:val="1"/>
          <w:color w:val="000000"/>
          <w:sz w:val="22"/>
          <w:szCs w:val="22"/>
          <w:rtl w:val="0"/>
        </w:rPr>
        <w:t xml:space="preserve">Strategic Land &amp; Expand Pathways</w:t>
      </w:r>
    </w:p>
    <w:tbl>
      <w:tblPr>
        <w:tblStyle w:val="Table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27.2037914691941"/>
        <w:gridCol w:w="3627.677725118483"/>
        <w:gridCol w:w="3805.1184834123223"/>
        <w:tblGridChange w:id="0">
          <w:tblGrid>
            <w:gridCol w:w="1927.2037914691941"/>
            <w:gridCol w:w="3627.677725118483"/>
            <w:gridCol w:w="3805.1184834123223"/>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Initial Entry Point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Typical Expansion Path</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Primary Expansion Trigger</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Community Tier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rtl w:val="0"/>
              </w:rPr>
              <w:t xml:space="preserve">Team → Business → Enterprise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Rule hit volume, compliance requirements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AI Gov Diagnostic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Implementation → Enterprise Seats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Positive ROI, board mandate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Training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Certification → Platform → Consulting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Governance maturity initiative</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Advisory Retainer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Full platform + Compliance Packs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Crisis event, regulatory pressure</w:t>
            </w:r>
          </w:p>
        </w:tc>
      </w:tr>
    </w:tbl>
    <w:p w:rsidR="00000000" w:rsidDel="00000000" w:rsidP="00000000" w:rsidRDefault="00000000" w:rsidRPr="00000000" w14:paraId="000000A5">
      <w:pPr>
        <w:spacing w:after="240" w:before="240" w:lineRule="auto"/>
        <w:rPr/>
      </w:pPr>
      <w:r w:rsidDel="00000000" w:rsidR="00000000" w:rsidRPr="00000000">
        <w:rPr>
          <w:rtl w:val="0"/>
        </w:rPr>
        <w:t xml:space="preserve">The execution of this strategic motion will be measured against a rigorous set of performance indicators, ensuring accountability and driving our phased market expansion.</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tqmg5aepij0f" w:id="16"/>
      <w:bookmarkEnd w:id="16"/>
      <w:r w:rsidDel="00000000" w:rsidR="00000000" w:rsidRPr="00000000">
        <w:rPr>
          <w:b w:val="1"/>
          <w:bCs w:val="1"/>
          <w:sz w:val="34"/>
          <w:szCs w:val="34"/>
          <w:rtl w:val="0"/>
        </w:rPr>
        <w:t xml:space="preserve">7.0 Phased Execution &amp; Success Metrics</w:t>
      </w:r>
    </w:p>
    <w:p w:rsidR="00000000" w:rsidDel="00000000" w:rsidP="00000000" w:rsidRDefault="00000000" w:rsidRPr="00000000" w14:paraId="000000A7">
      <w:pPr>
        <w:spacing w:after="240" w:before="240" w:lineRule="auto"/>
        <w:rPr/>
      </w:pPr>
      <w:r w:rsidDel="00000000" w:rsidR="00000000" w:rsidRPr="00000000">
        <w:rPr>
          <w:rtl w:val="0"/>
        </w:rPr>
        <w:t xml:space="preserve">Our go-to-market plan is a multi-year, phased execution strategy. Each phase has a distinct strategic objective, and we will measure progress against specific Key Performance Indicators (KPIs) to ensure accountability and maintain strategic agility.</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obdl9nz9a4l7" w:id="17"/>
      <w:bookmarkEnd w:id="17"/>
      <w:r w:rsidDel="00000000" w:rsidR="00000000" w:rsidRPr="00000000">
        <w:rPr>
          <w:b w:val="1"/>
          <w:bCs w:val="1"/>
          <w:color w:val="000000"/>
          <w:sz w:val="26"/>
          <w:szCs w:val="26"/>
          <w:rtl w:val="0"/>
        </w:rPr>
        <w:t xml:space="preserve">Phase 1 (Year 1): Market Entry &amp; Foundation</w:t>
      </w:r>
    </w:p>
    <w:p w:rsidR="00000000" w:rsidDel="00000000" w:rsidP="00000000" w:rsidRDefault="00000000" w:rsidRPr="00000000" w14:paraId="000000A9">
      <w:pPr>
        <w:spacing w:after="240" w:before="240" w:lineRule="auto"/>
        <w:rPr/>
      </w:pPr>
      <w:r w:rsidDel="00000000" w:rsidR="00000000" w:rsidRPr="00000000">
        <w:rPr>
          <w:rtl w:val="0"/>
        </w:rPr>
        <w:t xml:space="preserve">The primary focus of our first year is to establish a strong market presence and validate our methodology with lighthouse customers. We will lead with high-value </w:t>
      </w:r>
      <w:r w:rsidDel="00000000" w:rsidR="00000000" w:rsidRPr="00000000">
        <w:rPr>
          <w:rFonts w:ascii="Roboto Mono" w:cs="Roboto Mono" w:eastAsia="Roboto Mono" w:hAnsi="Roboto Mono"/>
          <w:b w:val="1"/>
          <w:bCs w:val="1"/>
          <w:color w:val="188038"/>
          <w:rtl w:val="0"/>
        </w:rPr>
        <w:t xml:space="preserve">AI Governance Diagnostic</w:t>
      </w:r>
      <w:r w:rsidDel="00000000" w:rsidR="00000000" w:rsidRPr="00000000">
        <w:rPr>
          <w:rtl w:val="0"/>
        </w:rPr>
        <w:t xml:space="preserve"> consulting engagements. These projects will not only generate significant initial revenue but, more importantly, will build foundational case studies and testimonials that prove the value of our approach in complex, real-world environments.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5irxm8l393ri" w:id="18"/>
      <w:bookmarkEnd w:id="18"/>
      <w:r w:rsidDel="00000000" w:rsidR="00000000" w:rsidRPr="00000000">
        <w:rPr>
          <w:b w:val="1"/>
          <w:bCs w:val="1"/>
          <w:color w:val="000000"/>
          <w:sz w:val="26"/>
          <w:szCs w:val="26"/>
          <w:rtl w:val="0"/>
        </w:rPr>
        <w:t xml:space="preserve">Phase 2 (Year 2): Platform Adoption &amp; Scaling</w:t>
      </w:r>
    </w:p>
    <w:p w:rsidR="00000000" w:rsidDel="00000000" w:rsidP="00000000" w:rsidRDefault="00000000" w:rsidRPr="00000000" w14:paraId="000000AB">
      <w:pPr>
        <w:spacing w:after="240" w:before="240" w:lineRule="auto"/>
        <w:rPr/>
      </w:pPr>
      <w:r w:rsidDel="00000000" w:rsidR="00000000" w:rsidRPr="00000000">
        <w:rPr>
          <w:rtl w:val="0"/>
        </w:rPr>
        <w:t xml:space="preserve">In year two, our strategic focus shifts toward driving broad adoption of the </w:t>
      </w:r>
      <w:r w:rsidDel="00000000" w:rsidR="00000000" w:rsidRPr="00000000">
        <w:rPr>
          <w:b w:val="1"/>
          <w:bCs w:val="1"/>
          <w:rtl w:val="0"/>
        </w:rPr>
        <w:t xml:space="preserve">Team</w:t>
      </w:r>
      <w:r w:rsidDel="00000000" w:rsidR="00000000" w:rsidRPr="00000000">
        <w:rPr>
          <w:rtl w:val="0"/>
        </w:rPr>
        <w:t xml:space="preserve"> and </w:t>
      </w:r>
      <w:r w:rsidDel="00000000" w:rsidR="00000000" w:rsidRPr="00000000">
        <w:rPr>
          <w:b w:val="1"/>
          <w:bCs w:val="1"/>
          <w:rtl w:val="0"/>
        </w:rPr>
        <w:t xml:space="preserve">Business</w:t>
      </w:r>
      <w:r w:rsidDel="00000000" w:rsidR="00000000" w:rsidRPr="00000000">
        <w:rPr>
          <w:rtl w:val="0"/>
        </w:rPr>
        <w:t xml:space="preserve"> tiers of our SaaS platform. This phase will be supported by the official launch of our certification and training programs. By building a critical mass of certified practitioners and successful platform users, we will begin to create a powerful ecosystem and community around the Phase Mirror methodology.</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5p7omi0bqih" w:id="19"/>
      <w:bookmarkEnd w:id="19"/>
      <w:r w:rsidDel="00000000" w:rsidR="00000000" w:rsidRPr="00000000">
        <w:rPr>
          <w:b w:val="1"/>
          <w:bCs w:val="1"/>
          <w:color w:val="000000"/>
          <w:sz w:val="26"/>
          <w:szCs w:val="26"/>
          <w:rtl w:val="0"/>
        </w:rPr>
        <w:t xml:space="preserve">Phase 3 (Year 3): Enterprise Expansion &amp; Ecosystem Lock-in</w:t>
      </w:r>
    </w:p>
    <w:p w:rsidR="00000000" w:rsidDel="00000000" w:rsidP="00000000" w:rsidRDefault="00000000" w:rsidRPr="00000000" w14:paraId="000000AD">
      <w:pPr>
        <w:spacing w:after="240" w:before="240" w:lineRule="auto"/>
        <w:rPr/>
      </w:pPr>
      <w:r w:rsidDel="00000000" w:rsidR="00000000" w:rsidRPr="00000000">
        <w:rPr>
          <w:rtl w:val="0"/>
        </w:rPr>
        <w:t xml:space="preserve">The third year is dedicated to securing large enterprise accounts and solidifying our competitive moat. The sales motion will focus on upselling high-margin </w:t>
      </w:r>
      <w:r w:rsidDel="00000000" w:rsidR="00000000" w:rsidRPr="00000000">
        <w:rPr>
          <w:rFonts w:ascii="Roboto Mono" w:cs="Roboto Mono" w:eastAsia="Roboto Mono" w:hAnsi="Roboto Mono"/>
          <w:b w:val="1"/>
          <w:bCs w:val="1"/>
          <w:color w:val="188038"/>
          <w:rtl w:val="0"/>
        </w:rPr>
        <w:t xml:space="preserve">Compliance Packs</w:t>
      </w:r>
      <w:r w:rsidDel="00000000" w:rsidR="00000000" w:rsidRPr="00000000">
        <w:rPr>
          <w:rtl w:val="0"/>
        </w:rPr>
        <w:t xml:space="preserve"> and converting mature customers to the Enterprise platform tier. Simultaneously, we will leverage the growing dataset from our </w:t>
      </w:r>
      <w:r w:rsidDel="00000000" w:rsidR="00000000" w:rsidRPr="00000000">
        <w:rPr>
          <w:rFonts w:ascii="Roboto Mono" w:cs="Roboto Mono" w:eastAsia="Roboto Mono" w:hAnsi="Roboto Mono"/>
          <w:b w:val="1"/>
          <w:bCs w:val="1"/>
          <w:color w:val="188038"/>
          <w:rtl w:val="0"/>
        </w:rPr>
        <w:t xml:space="preserve">FP calibration</w:t>
      </w:r>
      <w:r w:rsidDel="00000000" w:rsidR="00000000" w:rsidRPr="00000000">
        <w:rPr>
          <w:rtl w:val="0"/>
        </w:rPr>
        <w:t xml:space="preserve"> service to create a powerful network effect, making the Phase Mirror Oracle the most accurate and intelligent AI governance platform on the market.</w:t>
      </w:r>
    </w:p>
    <w:p w:rsidR="00000000" w:rsidDel="00000000" w:rsidP="00000000" w:rsidRDefault="00000000" w:rsidRPr="00000000" w14:paraId="000000AE">
      <w:pPr>
        <w:spacing w:after="240" w:before="240" w:lineRule="auto"/>
        <w:rPr/>
      </w:pPr>
      <w:r w:rsidDel="00000000" w:rsidR="00000000" w:rsidRPr="00000000">
        <w:rPr>
          <w:rtl w:val="0"/>
        </w:rPr>
        <w:t xml:space="preserve">Our performance across these phases will be tracked against a dashboard of core business metrics.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fzb7k41tfx7e" w:id="20"/>
      <w:bookmarkEnd w:id="20"/>
      <w:r w:rsidDel="00000000" w:rsidR="00000000" w:rsidRPr="00000000">
        <w:rPr>
          <w:b w:val="1"/>
          <w:bCs w:val="1"/>
          <w:color w:val="000000"/>
          <w:sz w:val="22"/>
          <w:szCs w:val="22"/>
          <w:rtl w:val="0"/>
        </w:rPr>
        <w:t xml:space="preserve">Key Performance Indicators (KPIs)</w:t>
      </w:r>
    </w:p>
    <w:tbl>
      <w:tblPr>
        <w:tblStyle w:val="Table6"/>
        <w:tblW w:w="929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75"/>
        <w:gridCol w:w="6320"/>
        <w:tblGridChange w:id="0">
          <w:tblGrid>
            <w:gridCol w:w="2975"/>
            <w:gridCol w:w="632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Metric</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Description</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Consulting Engagement Conversion 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The percentage of qualified leads that convert into paid diagnostic or workshop engagements.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Platform ARR Growth</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The quarter-over-quarter and year-over-year growth in Annual Recurring Revenue from SaaS subscriptions.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Community Tier Adoption 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The rate of new sign-ups for the free, self-hosted Community tier, indicating top-of-funnel health.</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Lead Qualification Rate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The percentage of marketing leads that meet the criteria to be passed to the sales team.</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Number of Certified Practitioners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The total number of individuals who have successfully passed our certification exams, measuring ecosystem growth.</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Customer Lifetime Value (LTV)</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The total revenue generated from a customer over the life of their relationship, a key indicator of expansion success.</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By executing this phased plan and rigorously tracking our performance, Phase Mirror will become the indispensable operating system for any organization committed to navigating the future of AI by design, not by accident.</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