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1royrltjqcr1" w:id="0"/>
    <w:bookmarkEnd w:id="0"/>
    <w:p w:rsidR="00000000" w:rsidDel="00000000" w:rsidP="00000000" w:rsidRDefault="00000000" w:rsidRPr="00000000" w14:paraId="00000001">
      <w:pPr>
        <w:spacing w:before="240" w:line="288" w:lineRule="auto"/>
        <w:rPr/>
      </w:pPr>
      <w:r w:rsidDel="00000000" w:rsidR="00000000" w:rsidRPr="00000000">
        <w:rPr>
          <w:b w:val="1"/>
          <w:bCs w:val="1"/>
          <w:sz w:val="56"/>
          <w:szCs w:val="56"/>
          <w:rtl w:val="0"/>
        </w:rPr>
        <w:t xml:space="preserve">Phase Mirror Certified Provider (PMCP) Specification</w:t>
      </w:r>
      <w:r w:rsidDel="00000000" w:rsidR="00000000" w:rsidRPr="00000000">
        <w:rPr>
          <w:rtl w:val="0"/>
        </w:rPr>
      </w:r>
    </w:p>
    <w:p w:rsidR="00000000" w:rsidDel="00000000" w:rsidP="00000000" w:rsidRDefault="00000000" w:rsidRPr="00000000" w14:paraId="00000002">
      <w:pPr>
        <w:spacing w:after="21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Effective Date:</w:t>
      </w:r>
      <w:r w:rsidDel="00000000" w:rsidR="00000000" w:rsidRPr="00000000">
        <w:rPr>
          <w:rtl w:val="0"/>
        </w:rPr>
        <w:t xml:space="preserve"> March 6, 2026</w:t>
        <w:br w:type="textWrapping"/>
      </w:r>
      <w:r w:rsidDel="00000000" w:rsidR="00000000" w:rsidRPr="00000000">
        <w:rPr>
          <w:b w:val="1"/>
          <w:bCs w:val="1"/>
          <w:rtl w:val="0"/>
        </w:rPr>
        <w:t xml:space="preserve">Authority:</w:t>
      </w:r>
      <w:r w:rsidDel="00000000" w:rsidR="00000000" w:rsidRPr="00000000">
        <w:rPr>
          <w:rtl w:val="0"/>
        </w:rPr>
        <w:t xml:space="preserve"> Phase Mirror Core Governance</w:t>
        <w:br w:type="textWrapping"/>
      </w:r>
      <w:r w:rsidDel="00000000" w:rsidR="00000000" w:rsidRPr="00000000">
        <w:rPr>
          <w:b w:val="1"/>
          <w:bCs w:val="1"/>
          <w:rtl w:val="0"/>
        </w:rPr>
        <w:t xml:space="preserve">Status:</w:t>
      </w:r>
      <w:r w:rsidDel="00000000" w:rsidR="00000000" w:rsidRPr="00000000">
        <w:rPr>
          <w:rFonts w:ascii="Georgia" w:cs="Georgia" w:eastAsia="Georgia" w:hAnsi="Georgia"/>
          <w:rtl w:val="0"/>
        </w:rPr>
        <w:t xml:space="preserve"> Active — First Cohort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1a75ue1rqv7" w:id="1"/>
    <w:bookmarkEnd w:id="1"/>
    <w:p w:rsidR="00000000" w:rsidDel="00000000" w:rsidP="00000000" w:rsidRDefault="00000000" w:rsidRPr="00000000" w14:paraId="00000004">
      <w:pPr>
        <w:spacing w:before="240" w:line="271" w:lineRule="auto"/>
        <w:rPr/>
      </w:pPr>
      <w:r w:rsidDel="00000000" w:rsidR="00000000" w:rsidRPr="00000000">
        <w:rPr>
          <w:b w:val="1"/>
          <w:bCs w:val="1"/>
          <w:sz w:val="42"/>
          <w:szCs w:val="42"/>
          <w:rtl w:val="0"/>
        </w:rPr>
        <w:t xml:space="preserve">Purpose</w:t>
      </w:r>
      <w:r w:rsidDel="00000000" w:rsidR="00000000" w:rsidRPr="00000000">
        <w:rPr>
          <w:rtl w:val="0"/>
        </w:rPr>
      </w:r>
    </w:p>
    <w:p w:rsidR="00000000" w:rsidDel="00000000" w:rsidP="00000000" w:rsidRDefault="00000000" w:rsidRPr="00000000" w14:paraId="00000005">
      <w:pPr>
        <w:spacing w:after="210" w:lineRule="auto"/>
        <w:rPr/>
      </w:pPr>
      <w:r w:rsidDel="00000000" w:rsidR="00000000" w:rsidRPr="00000000">
        <w:rPr>
          <w:rtl w:val="0"/>
        </w:rPr>
        <w:t xml:space="preserve">The Phase Mirror Certified Provider (PMCP) certification establishes a practitioner credential for professionals authorized to deploy Phase Mirror's contradiction-surfacing methodology, deliver branded consultancy artifacts, and operate Phase Mirror SaaS tools within their domain of practice. PMCP certification ensures that providers maintain fidelity to Phase Mirror's L0 principles while adapting the framework to vertical-specific use cases.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cuzu394iw5x" w:id="2"/>
    <w:bookmarkEnd w:id="2"/>
    <w:p w:rsidR="00000000" w:rsidDel="00000000" w:rsidP="00000000" w:rsidRDefault="00000000" w:rsidRPr="00000000" w14:paraId="00000007">
      <w:pPr>
        <w:spacing w:before="240" w:line="271" w:lineRule="auto"/>
        <w:rPr/>
      </w:pPr>
      <w:r w:rsidDel="00000000" w:rsidR="00000000" w:rsidRPr="00000000">
        <w:rPr>
          <w:b w:val="1"/>
          <w:bCs w:val="1"/>
          <w:sz w:val="42"/>
          <w:szCs w:val="42"/>
          <w:rtl w:val="0"/>
        </w:rPr>
        <w:t xml:space="preserve">Certification Requirements</w:t>
      </w:r>
      <w:r w:rsidDel="00000000" w:rsidR="00000000" w:rsidRPr="00000000">
        <w:rPr>
          <w:rtl w:val="0"/>
        </w:rPr>
      </w:r>
    </w:p>
    <w:bookmarkStart w:colFirst="0" w:colLast="0" w:name="3czypsvu88x7" w:id="3"/>
    <w:bookmarkEnd w:id="3"/>
    <w:p w:rsidR="00000000" w:rsidDel="00000000" w:rsidP="00000000" w:rsidRDefault="00000000" w:rsidRPr="00000000" w14:paraId="00000008">
      <w:pPr>
        <w:spacing w:before="240" w:line="271" w:lineRule="auto"/>
        <w:rPr/>
      </w:pPr>
      <w:r w:rsidDel="00000000" w:rsidR="00000000" w:rsidRPr="00000000">
        <w:rPr>
          <w:b w:val="1"/>
          <w:bCs w:val="1"/>
          <w:sz w:val="33"/>
          <w:szCs w:val="33"/>
          <w:rtl w:val="0"/>
        </w:rPr>
        <w:t xml:space="preserve">1. Conceptual Mastery</w:t>
      </w:r>
      <w:r w:rsidDel="00000000" w:rsidR="00000000" w:rsidRPr="00000000">
        <w:rPr>
          <w:rtl w:val="0"/>
        </w:rPr>
      </w:r>
    </w:p>
    <w:p w:rsidR="00000000" w:rsidDel="00000000" w:rsidP="00000000" w:rsidRDefault="00000000" w:rsidRPr="00000000" w14:paraId="00000009">
      <w:pPr>
        <w:spacing w:after="210" w:lineRule="auto"/>
        <w:rPr/>
      </w:pPr>
      <w:r w:rsidDel="00000000" w:rsidR="00000000" w:rsidRPr="00000000">
        <w:rPr>
          <w:rtl w:val="0"/>
        </w:rPr>
        <w:t xml:space="preserve">Candidates must demonstrate operational understanding of:</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Multiplicity Theory Foundations</w:t>
      </w:r>
      <w:r w:rsidDel="00000000" w:rsidR="00000000" w:rsidRPr="00000000">
        <w:rPr>
          <w:rFonts w:ascii="Georgia" w:cs="Georgia" w:eastAsia="Georgia" w:hAnsi="Georgia"/>
          <w:rtl w:val="0"/>
        </w:rPr>
        <w:t xml:space="preserve"> — Prime-indexed recursive structures, multiplicity spaces, and feedback-governed stability.</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Contradiction Surfacing Protocol</w:t>
      </w:r>
      <w:r w:rsidDel="00000000" w:rsidR="00000000" w:rsidRPr="00000000">
        <w:rPr>
          <w:rFonts w:ascii="Georgia" w:cs="Georgia" w:eastAsia="Georgia" w:hAnsi="Georgia"/>
          <w:rtl w:val="0"/>
        </w:rPr>
        <w:t xml:space="preserve"> — Identifying hidden assumptions, naming structural tensions, and mapping them to measurable levers.</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b w:val="1"/>
          <w:bCs w:val="1"/>
          <w:rtl w:val="0"/>
        </w:rPr>
        <w:t xml:space="preserve">Artifact-Bound Decision Architecture</w:t>
      </w:r>
      <w:r w:rsidDel="00000000" w:rsidR="00000000" w:rsidRPr="00000000">
        <w:rPr>
          <w:rFonts w:ascii="Georgia" w:cs="Georgia" w:eastAsia="Georgia" w:hAnsi="Georgia"/>
          <w:rtl w:val="0"/>
        </w:rPr>
        <w:t xml:space="preserve"> — Converting decisions into artifacts with explicit owners, metrics, and horizons.</w:t>
      </w: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L0 Invariant Governance</w:t>
      </w:r>
      <w:r w:rsidDel="00000000" w:rsidR="00000000" w:rsidRPr="00000000">
        <w:rPr>
          <w:rFonts w:ascii="Georgia" w:cs="Georgia" w:eastAsia="Georgia" w:hAnsi="Georgia"/>
          <w:rtl w:val="0"/>
        </w:rPr>
        <w:t xml:space="preserve"> — Recognizing non-negotiable constraints and resolving conflicts through precision questions rather than compromise.</w:t>
      </w:r>
      <w:r w:rsidDel="00000000" w:rsidR="00000000" w:rsidRPr="00000000">
        <w:rPr>
          <w:rtl w:val="0"/>
        </w:rPr>
      </w:r>
    </w:p>
    <w:p w:rsidR="00000000" w:rsidDel="00000000" w:rsidP="00000000" w:rsidRDefault="00000000" w:rsidRPr="00000000" w14:paraId="0000000E">
      <w:pPr>
        <w:spacing w:after="210" w:lineRule="auto"/>
        <w:rPr/>
      </w:pPr>
      <w:r w:rsidDel="00000000" w:rsidR="00000000" w:rsidRPr="00000000">
        <w:rPr>
          <w:b w:val="1"/>
          <w:bCs w:val="1"/>
          <w:rtl w:val="0"/>
        </w:rPr>
        <w:t xml:space="preserve">Assessment Method:</w:t>
      </w:r>
      <w:r w:rsidDel="00000000" w:rsidR="00000000" w:rsidRPr="00000000">
        <w:rPr>
          <w:rtl w:val="0"/>
        </w:rPr>
        <w:t xml:space="preserve"> Structured case interview analyzing a real-world decision scenario from the candidate's domain. Candidate must surface at least three contradictions, propose levers with owners/metrics/horizons, and demonstrate governance-first reasoning.</w:t>
      </w:r>
    </w:p>
    <w:p w:rsidR="00000000" w:rsidDel="00000000" w:rsidP="00000000" w:rsidRDefault="00000000" w:rsidRPr="00000000" w14:paraId="0000000F">
      <w:pPr>
        <w:spacing w:after="210" w:lineRule="auto"/>
        <w:rPr/>
      </w:pPr>
      <w:r w:rsidDel="00000000" w:rsidR="00000000" w:rsidRPr="00000000">
        <w:rPr>
          <w:b w:val="1"/>
          <w:bCs w:val="1"/>
          <w:rtl w:val="0"/>
        </w:rPr>
        <w:t xml:space="preserve">Passing Standard:</w:t>
      </w:r>
      <w:r w:rsidDel="00000000" w:rsidR="00000000" w:rsidRPr="00000000">
        <w:rPr>
          <w:rtl w:val="0"/>
        </w:rPr>
        <w:t xml:space="preserve"> Phase Mirror Director approval based on clarity of contradiction naming, precision of lever specification, and fidelity to L0 principles.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before="240" w:line="271" w:lineRule="auto"/>
        <w:rPr>
          <w:b w:val="1"/>
          <w:bCs w:val="1"/>
          <w:sz w:val="33"/>
          <w:szCs w:val="33"/>
        </w:rPr>
      </w:pPr>
      <w:r w:rsidDel="00000000" w:rsidR="00000000" w:rsidRPr="00000000">
        <w:rPr>
          <w:rtl w:val="0"/>
        </w:rPr>
      </w:r>
    </w:p>
    <w:bookmarkStart w:colFirst="0" w:colLast="0" w:name="jjcqu1twozaa" w:id="4"/>
    <w:bookmarkEnd w:id="4"/>
    <w:p w:rsidR="00000000" w:rsidDel="00000000" w:rsidP="00000000" w:rsidRDefault="00000000" w:rsidRPr="00000000" w14:paraId="00000012">
      <w:pPr>
        <w:spacing w:before="240" w:line="271" w:lineRule="auto"/>
        <w:rPr/>
      </w:pPr>
      <w:r w:rsidDel="00000000" w:rsidR="00000000" w:rsidRPr="00000000">
        <w:rPr>
          <w:b w:val="1"/>
          <w:bCs w:val="1"/>
          <w:sz w:val="33"/>
          <w:szCs w:val="33"/>
          <w:rtl w:val="0"/>
        </w:rPr>
        <w:t xml:space="preserve">2. Domain Application</w:t>
      </w:r>
      <w:r w:rsidDel="00000000" w:rsidR="00000000" w:rsidRPr="00000000">
        <w:rPr>
          <w:rtl w:val="0"/>
        </w:rPr>
      </w:r>
    </w:p>
    <w:p w:rsidR="00000000" w:rsidDel="00000000" w:rsidP="00000000" w:rsidRDefault="00000000" w:rsidRPr="00000000" w14:paraId="00000013">
      <w:pPr>
        <w:spacing w:after="210" w:lineRule="auto"/>
        <w:rPr/>
      </w:pPr>
      <w:r w:rsidDel="00000000" w:rsidR="00000000" w:rsidRPr="00000000">
        <w:rPr>
          <w:rtl w:val="0"/>
        </w:rPr>
        <w:t xml:space="preserve">Candidates must submit a </w:t>
      </w:r>
      <w:r w:rsidDel="00000000" w:rsidR="00000000" w:rsidRPr="00000000">
        <w:rPr>
          <w:b w:val="1"/>
          <w:bCs w:val="1"/>
          <w:rtl w:val="0"/>
        </w:rPr>
        <w:t xml:space="preserve">Vertical Playbook Proposal</w:t>
      </w:r>
      <w:r w:rsidDel="00000000" w:rsidR="00000000" w:rsidRPr="00000000">
        <w:rPr>
          <w:rFonts w:ascii="Georgia" w:cs="Georgia" w:eastAsia="Georgia" w:hAnsi="Georgia"/>
          <w:rtl w:val="0"/>
        </w:rPr>
        <w:t xml:space="preserve"> — a 2–4 page document specifying:</w:t>
      </w:r>
      <w:r w:rsidDel="00000000" w:rsidR="00000000" w:rsidRPr="00000000">
        <w:rPr>
          <w:rtl w:val="0"/>
        </w:rPr>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The vertical or practice domain where Phase Mirror will be deployed (e.g., financial services, alternative investments, engineering program management).</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Three contradictions endemic to that domain that Phase Mirror is uniquely positioned to surface.</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Proposed client-facing deliverables using Phase Mirror methodology (e.g., Financial Contradiction Report, Structural Risk Audit).</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Integration path with existing practice infrastructure (CRM, compliance workflows, client onboarding).</w:t>
      </w:r>
    </w:p>
    <w:p w:rsidR="00000000" w:rsidDel="00000000" w:rsidP="00000000" w:rsidRDefault="00000000" w:rsidRPr="00000000" w14:paraId="00000018">
      <w:pPr>
        <w:spacing w:after="210" w:lineRule="auto"/>
        <w:rPr/>
      </w:pPr>
      <w:r w:rsidDel="00000000" w:rsidR="00000000" w:rsidRPr="00000000">
        <w:rPr>
          <w:b w:val="1"/>
          <w:bCs w:val="1"/>
          <w:rtl w:val="0"/>
        </w:rPr>
        <w:t xml:space="preserve">Assessment Method:</w:t>
      </w:r>
      <w:r w:rsidDel="00000000" w:rsidR="00000000" w:rsidRPr="00000000">
        <w:rPr>
          <w:rtl w:val="0"/>
        </w:rPr>
        <w:t xml:space="preserve"> Review by Phase Mirror product and governance teams. Proposal must demonstrate both domain expertise and methodological rigor.</w:t>
      </w:r>
    </w:p>
    <w:p w:rsidR="00000000" w:rsidDel="00000000" w:rsidP="00000000" w:rsidRDefault="00000000" w:rsidRPr="00000000" w14:paraId="00000019">
      <w:pPr>
        <w:spacing w:after="210" w:lineRule="auto"/>
        <w:rPr/>
      </w:pPr>
      <w:r w:rsidDel="00000000" w:rsidR="00000000" w:rsidRPr="00000000">
        <w:rPr>
          <w:b w:val="1"/>
          <w:bCs w:val="1"/>
          <w:rtl w:val="0"/>
        </w:rPr>
        <w:t xml:space="preserve">Passing Standard:</w:t>
      </w:r>
      <w:r w:rsidDel="00000000" w:rsidR="00000000" w:rsidRPr="00000000">
        <w:rPr>
          <w:rtl w:val="0"/>
        </w:rPr>
        <w:t xml:space="preserve"> Approval from Phase Mirror leadership with annotated feedback for playbook refinement.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p71d0t9f2nr" w:id="5"/>
    <w:bookmarkEnd w:id="5"/>
    <w:p w:rsidR="00000000" w:rsidDel="00000000" w:rsidP="00000000" w:rsidRDefault="00000000" w:rsidRPr="00000000" w14:paraId="0000001B">
      <w:pPr>
        <w:spacing w:before="240" w:line="271" w:lineRule="auto"/>
        <w:rPr/>
      </w:pPr>
      <w:r w:rsidDel="00000000" w:rsidR="00000000" w:rsidRPr="00000000">
        <w:rPr>
          <w:b w:val="1"/>
          <w:bCs w:val="1"/>
          <w:sz w:val="33"/>
          <w:szCs w:val="33"/>
          <w:rtl w:val="0"/>
        </w:rPr>
        <w:t xml:space="preserve">3. Compliance and Governance Clearance</w:t>
      </w:r>
      <w:r w:rsidDel="00000000" w:rsidR="00000000" w:rsidRPr="00000000">
        <w:rPr>
          <w:rtl w:val="0"/>
        </w:rPr>
      </w:r>
    </w:p>
    <w:p w:rsidR="00000000" w:rsidDel="00000000" w:rsidP="00000000" w:rsidRDefault="00000000" w:rsidRPr="00000000" w14:paraId="0000001C">
      <w:pPr>
        <w:spacing w:after="210" w:lineRule="auto"/>
        <w:rPr/>
      </w:pPr>
      <w:r w:rsidDel="00000000" w:rsidR="00000000" w:rsidRPr="00000000">
        <w:rPr>
          <w:rtl w:val="0"/>
        </w:rPr>
        <w:t xml:space="preserve">Candidates must disclose and resolve any professional or regulatory constraints that could conflict with PMCP status:</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Employment agreements restricting outside affiliations or co-branded activities.</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Industry-specific compliance requirements (e.g., FINRA, SEC, state licensing boards).</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Intellectual property agreements that limit deliverable ownership.</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Non-compete or exclusivity clauses with current or former employers.</w:t>
      </w:r>
    </w:p>
    <w:p w:rsidR="00000000" w:rsidDel="00000000" w:rsidP="00000000" w:rsidRDefault="00000000" w:rsidRPr="00000000" w14:paraId="00000021">
      <w:pPr>
        <w:spacing w:after="210" w:lineRule="auto"/>
        <w:rPr/>
      </w:pPr>
      <w:r w:rsidDel="00000000" w:rsidR="00000000" w:rsidRPr="00000000">
        <w:rPr>
          <w:b w:val="1"/>
          <w:bCs w:val="1"/>
          <w:rtl w:val="0"/>
        </w:rPr>
        <w:t xml:space="preserve">Assessment Method:</w:t>
      </w:r>
      <w:r w:rsidDel="00000000" w:rsidR="00000000" w:rsidRPr="00000000">
        <w:rPr>
          <w:rtl w:val="0"/>
        </w:rPr>
        <w:t xml:space="preserve"> Candidate submits a </w:t>
      </w:r>
      <w:r w:rsidDel="00000000" w:rsidR="00000000" w:rsidRPr="00000000">
        <w:rPr>
          <w:b w:val="1"/>
          <w:bCs w:val="1"/>
          <w:rtl w:val="0"/>
        </w:rPr>
        <w:t xml:space="preserve">Compliance Framework Declaration</w:t>
      </w:r>
      <w:r w:rsidDel="00000000" w:rsidR="00000000" w:rsidRPr="00000000">
        <w:rPr>
          <w:rFonts w:ascii="Georgia" w:cs="Georgia" w:eastAsia="Georgia" w:hAnsi="Georgia"/>
          <w:rtl w:val="0"/>
        </w:rPr>
        <w:t xml:space="preserve"> — a one-page summary of constraints with proposed mitigation strategies. Phase Mirror legal/governance reviews and architects certification structure accordingly.</w:t>
      </w:r>
      <w:r w:rsidDel="00000000" w:rsidR="00000000" w:rsidRPr="00000000">
        <w:rPr>
          <w:rtl w:val="0"/>
        </w:rPr>
      </w:r>
    </w:p>
    <w:p w:rsidR="00000000" w:rsidDel="00000000" w:rsidP="00000000" w:rsidRDefault="00000000" w:rsidRPr="00000000" w14:paraId="00000022">
      <w:pPr>
        <w:spacing w:after="210" w:lineRule="auto"/>
        <w:rPr/>
      </w:pPr>
      <w:r w:rsidDel="00000000" w:rsidR="00000000" w:rsidRPr="00000000">
        <w:rPr>
          <w:b w:val="1"/>
          <w:bCs w:val="1"/>
          <w:rtl w:val="0"/>
        </w:rPr>
        <w:t xml:space="preserve">Passing Standard:</w:t>
      </w:r>
      <w:r w:rsidDel="00000000" w:rsidR="00000000" w:rsidRPr="00000000">
        <w:rPr>
          <w:rtl w:val="0"/>
        </w:rPr>
        <w:t xml:space="preserve"> No unresolvable conflicts with L0 governance. If constraints exist, a compliant operating structure must be defined before certification is granted.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0e0xghomeov" w:id="6"/>
    <w:bookmarkEnd w:id="6"/>
    <w:p w:rsidR="00000000" w:rsidDel="00000000" w:rsidP="00000000" w:rsidRDefault="00000000" w:rsidRPr="00000000" w14:paraId="00000024">
      <w:pPr>
        <w:spacing w:before="240" w:line="271" w:lineRule="auto"/>
        <w:rPr/>
      </w:pPr>
      <w:r w:rsidDel="00000000" w:rsidR="00000000" w:rsidRPr="00000000">
        <w:rPr>
          <w:b w:val="1"/>
          <w:bCs w:val="1"/>
          <w:sz w:val="33"/>
          <w:szCs w:val="33"/>
          <w:rtl w:val="0"/>
        </w:rPr>
        <w:t xml:space="preserve">4. First Engagement Delivery</w:t>
      </w:r>
      <w:r w:rsidDel="00000000" w:rsidR="00000000" w:rsidRPr="00000000">
        <w:rPr>
          <w:rtl w:val="0"/>
        </w:rPr>
      </w:r>
    </w:p>
    <w:p w:rsidR="00000000" w:rsidDel="00000000" w:rsidP="00000000" w:rsidRDefault="00000000" w:rsidRPr="00000000" w14:paraId="00000025">
      <w:pPr>
        <w:spacing w:after="210" w:lineRule="auto"/>
        <w:rPr/>
      </w:pPr>
      <w:r w:rsidDel="00000000" w:rsidR="00000000" w:rsidRPr="00000000">
        <w:rPr>
          <w:rtl w:val="0"/>
        </w:rPr>
        <w:t xml:space="preserve">Certification is not final until the candidate completes </w:t>
      </w:r>
      <w:r w:rsidDel="00000000" w:rsidR="00000000" w:rsidRPr="00000000">
        <w:rPr>
          <w:b w:val="1"/>
          <w:bCs w:val="1"/>
          <w:rtl w:val="0"/>
        </w:rPr>
        <w:t xml:space="preserve">one Phase Mirror-branded client engagement</w:t>
      </w:r>
      <w:r w:rsidDel="00000000" w:rsidR="00000000" w:rsidRPr="00000000">
        <w:rPr>
          <w:rtl w:val="0"/>
        </w:rPr>
        <w:t xml:space="preserve"> under supervised deployment:</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Engagement must use a Phase Mirror deliverable (e.g., Contradiction Report, Stability Dashboard).</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Candidate documents the engagement in a structured case study format.</w:t>
      </w:r>
    </w:p>
    <w:p w:rsidR="00000000" w:rsidDel="00000000" w:rsidP="00000000" w:rsidRDefault="00000000" w:rsidRPr="00000000" w14:paraId="00000028">
      <w:pPr>
        <w:numPr>
          <w:ilvl w:val="0"/>
          <w:numId w:val="4"/>
        </w:numPr>
        <w:ind w:left="720" w:hanging="360"/>
        <w:rPr/>
      </w:pPr>
      <w:r w:rsidDel="00000000" w:rsidR="00000000" w:rsidRPr="00000000">
        <w:rPr>
          <w:rtl w:val="0"/>
        </w:rPr>
        <w:t xml:space="preserve">Phase Mirror team reviews case study for methodological fidelity and client outcome quality.</w:t>
      </w:r>
    </w:p>
    <w:p w:rsidR="00000000" w:rsidDel="00000000" w:rsidP="00000000" w:rsidRDefault="00000000" w:rsidRPr="00000000" w14:paraId="00000029">
      <w:pPr>
        <w:spacing w:after="210" w:lineRule="auto"/>
        <w:rPr/>
      </w:pPr>
      <w:r w:rsidDel="00000000" w:rsidR="00000000" w:rsidRPr="00000000">
        <w:rPr>
          <w:b w:val="1"/>
          <w:bCs w:val="1"/>
          <w:rtl w:val="0"/>
        </w:rPr>
        <w:t xml:space="preserve">Assessment Method:</w:t>
      </w:r>
      <w:r w:rsidDel="00000000" w:rsidR="00000000" w:rsidRPr="00000000">
        <w:rPr>
          <w:rtl w:val="0"/>
        </w:rPr>
        <w:t xml:space="preserve"> Post-engagement debrief with Phase Mirror Director. Case study becomes part of PMCP cohort knowledge base.</w:t>
      </w:r>
    </w:p>
    <w:p w:rsidR="00000000" w:rsidDel="00000000" w:rsidP="00000000" w:rsidRDefault="00000000" w:rsidRPr="00000000" w14:paraId="0000002A">
      <w:pPr>
        <w:spacing w:after="210" w:lineRule="auto"/>
        <w:rPr/>
      </w:pPr>
      <w:r w:rsidDel="00000000" w:rsidR="00000000" w:rsidRPr="00000000">
        <w:rPr>
          <w:b w:val="1"/>
          <w:bCs w:val="1"/>
          <w:rtl w:val="0"/>
        </w:rPr>
        <w:t xml:space="preserve">Passing Standard:</w:t>
      </w:r>
      <w:r w:rsidDel="00000000" w:rsidR="00000000" w:rsidRPr="00000000">
        <w:rPr>
          <w:rtl w:val="0"/>
        </w:rPr>
        <w:t xml:space="preserve"> Successful delivery with client-approved outcome and Phase Mirror approval of methodology application.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o16fe21acnh" w:id="7"/>
    <w:bookmarkEnd w:id="7"/>
    <w:p w:rsidR="00000000" w:rsidDel="00000000" w:rsidP="00000000" w:rsidRDefault="00000000" w:rsidRPr="00000000" w14:paraId="0000002C">
      <w:pPr>
        <w:spacing w:before="240" w:line="271" w:lineRule="auto"/>
        <w:rPr/>
      </w:pPr>
      <w:r w:rsidDel="00000000" w:rsidR="00000000" w:rsidRPr="00000000">
        <w:rPr>
          <w:b w:val="1"/>
          <w:bCs w:val="1"/>
          <w:sz w:val="42"/>
          <w:szCs w:val="42"/>
          <w:rtl w:val="0"/>
        </w:rPr>
        <w:t xml:space="preserve">Certification Grant</w:t>
      </w:r>
      <w:r w:rsidDel="00000000" w:rsidR="00000000" w:rsidRPr="00000000">
        <w:rPr>
          <w:rtl w:val="0"/>
        </w:rPr>
      </w:r>
    </w:p>
    <w:p w:rsidR="00000000" w:rsidDel="00000000" w:rsidP="00000000" w:rsidRDefault="00000000" w:rsidRPr="00000000" w14:paraId="0000002D">
      <w:pPr>
        <w:spacing w:after="210" w:lineRule="auto"/>
        <w:rPr/>
      </w:pPr>
      <w:r w:rsidDel="00000000" w:rsidR="00000000" w:rsidRPr="00000000">
        <w:rPr>
          <w:rtl w:val="0"/>
        </w:rPr>
        <w:t xml:space="preserve">Upon completion of all four requirements, the candidate receives:</w:t>
      </w:r>
    </w:p>
    <w:p w:rsidR="00000000" w:rsidDel="00000000" w:rsidP="00000000" w:rsidRDefault="00000000" w:rsidRPr="00000000" w14:paraId="0000002E">
      <w:pPr>
        <w:numPr>
          <w:ilvl w:val="0"/>
          <w:numId w:val="5"/>
        </w:numPr>
        <w:ind w:left="720" w:hanging="360"/>
        <w:rPr/>
      </w:pPr>
      <w:r w:rsidDel="00000000" w:rsidR="00000000" w:rsidRPr="00000000">
        <w:rPr>
          <w:b w:val="1"/>
          <w:bCs w:val="1"/>
          <w:rtl w:val="0"/>
        </w:rPr>
        <w:t xml:space="preserve">Phase Mirror Certified Provider (PMCP) Credential</w:t>
      </w:r>
      <w:r w:rsidDel="00000000" w:rsidR="00000000" w:rsidRPr="00000000">
        <w:rPr>
          <w:rFonts w:ascii="Georgia" w:cs="Georgia" w:eastAsia="Georgia" w:hAnsi="Georgia"/>
          <w:rtl w:val="0"/>
        </w:rPr>
        <w:t xml:space="preserve"> — Formal designation usable in professional materials, client communications, and public-facing profiles.</w:t>
      </w:r>
      <w:r w:rsidDel="00000000" w:rsidR="00000000" w:rsidRPr="00000000">
        <w:rPr>
          <w:rtl w:val="0"/>
        </w:rPr>
      </w:r>
    </w:p>
    <w:p w:rsidR="00000000" w:rsidDel="00000000" w:rsidP="00000000" w:rsidRDefault="00000000" w:rsidRPr="00000000" w14:paraId="0000002F">
      <w:pPr>
        <w:numPr>
          <w:ilvl w:val="0"/>
          <w:numId w:val="5"/>
        </w:numPr>
        <w:ind w:left="720" w:hanging="360"/>
        <w:rPr/>
      </w:pPr>
      <w:r w:rsidDel="00000000" w:rsidR="00000000" w:rsidRPr="00000000">
        <w:rPr>
          <w:b w:val="1"/>
          <w:bCs w:val="1"/>
          <w:rtl w:val="0"/>
        </w:rPr>
        <w:t xml:space="preserve">License to Deliver Branded Artifacts</w:t>
      </w:r>
      <w:r w:rsidDel="00000000" w:rsidR="00000000" w:rsidRPr="00000000">
        <w:rPr>
          <w:rFonts w:ascii="Georgia" w:cs="Georgia" w:eastAsia="Georgia" w:hAnsi="Georgia"/>
          <w:rtl w:val="0"/>
        </w:rPr>
        <w:t xml:space="preserve"> — Authorization to use Phase Mirror branding on client deliverables (subject to quality review protocols).</w:t>
      </w:r>
      <w:r w:rsidDel="00000000" w:rsidR="00000000" w:rsidRPr="00000000">
        <w:rPr>
          <w:rtl w:val="0"/>
        </w:rPr>
      </w:r>
    </w:p>
    <w:p w:rsidR="00000000" w:rsidDel="00000000" w:rsidP="00000000" w:rsidRDefault="00000000" w:rsidRPr="00000000" w14:paraId="00000030">
      <w:pPr>
        <w:numPr>
          <w:ilvl w:val="0"/>
          <w:numId w:val="5"/>
        </w:numPr>
        <w:ind w:left="720" w:hanging="360"/>
        <w:rPr/>
      </w:pPr>
      <w:r w:rsidDel="00000000" w:rsidR="00000000" w:rsidRPr="00000000">
        <w:rPr>
          <w:b w:val="1"/>
          <w:bCs w:val="1"/>
          <w:rtl w:val="0"/>
        </w:rPr>
        <w:t xml:space="preserve">SaaS Platform Access</w:t>
      </w:r>
      <w:r w:rsidDel="00000000" w:rsidR="00000000" w:rsidRPr="00000000">
        <w:rPr>
          <w:rFonts w:ascii="Georgia" w:cs="Georgia" w:eastAsia="Georgia" w:hAnsi="Georgia"/>
          <w:rtl w:val="0"/>
        </w:rPr>
        <w:t xml:space="preserve"> — White-label or co-branded deployment rights for Phase Mirror client intelligence tools.</w:t>
      </w:r>
      <w:r w:rsidDel="00000000" w:rsidR="00000000" w:rsidRPr="00000000">
        <w:rPr>
          <w:rtl w:val="0"/>
        </w:rPr>
      </w:r>
    </w:p>
    <w:p w:rsidR="00000000" w:rsidDel="00000000" w:rsidP="00000000" w:rsidRDefault="00000000" w:rsidRPr="00000000" w14:paraId="00000031">
      <w:pPr>
        <w:numPr>
          <w:ilvl w:val="0"/>
          <w:numId w:val="5"/>
        </w:numPr>
        <w:ind w:left="720" w:hanging="360"/>
        <w:rPr/>
      </w:pPr>
      <w:r w:rsidDel="00000000" w:rsidR="00000000" w:rsidRPr="00000000">
        <w:rPr>
          <w:b w:val="1"/>
          <w:bCs w:val="1"/>
          <w:rtl w:val="0"/>
        </w:rPr>
        <w:t xml:space="preserve">PMCP Cohort Membership</w:t>
      </w:r>
      <w:r w:rsidDel="00000000" w:rsidR="00000000" w:rsidRPr="00000000">
        <w:rPr>
          <w:rFonts w:ascii="Georgia" w:cs="Georgia" w:eastAsia="Georgia" w:hAnsi="Georgia"/>
          <w:rtl w:val="0"/>
        </w:rPr>
        <w:t xml:space="preserve"> — Access to internal knowledge base, peer practitioner network, and ongoing methodology development.</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glny7p5z2rx" w:id="8"/>
    <w:bookmarkEnd w:id="8"/>
    <w:p w:rsidR="00000000" w:rsidDel="00000000" w:rsidP="00000000" w:rsidRDefault="00000000" w:rsidRPr="00000000" w14:paraId="00000033">
      <w:pPr>
        <w:spacing w:before="240" w:line="271" w:lineRule="auto"/>
        <w:rPr/>
      </w:pPr>
      <w:r w:rsidDel="00000000" w:rsidR="00000000" w:rsidRPr="00000000">
        <w:rPr>
          <w:b w:val="1"/>
          <w:bCs w:val="1"/>
          <w:sz w:val="42"/>
          <w:szCs w:val="42"/>
          <w:rtl w:val="0"/>
        </w:rPr>
        <w:t xml:space="preserve">Certification Maintenance</w:t>
      </w:r>
      <w:r w:rsidDel="00000000" w:rsidR="00000000" w:rsidRPr="00000000">
        <w:rPr>
          <w:rtl w:val="0"/>
        </w:rPr>
      </w:r>
    </w:p>
    <w:p w:rsidR="00000000" w:rsidDel="00000000" w:rsidP="00000000" w:rsidRDefault="00000000" w:rsidRPr="00000000" w14:paraId="00000034">
      <w:pPr>
        <w:spacing w:after="210" w:lineRule="auto"/>
        <w:rPr/>
      </w:pPr>
      <w:r w:rsidDel="00000000" w:rsidR="00000000" w:rsidRPr="00000000">
        <w:rPr>
          <w:rtl w:val="0"/>
        </w:rPr>
        <w:t xml:space="preserve">PMCP status is </w:t>
      </w:r>
      <w:r w:rsidDel="00000000" w:rsidR="00000000" w:rsidRPr="00000000">
        <w:rPr>
          <w:b w:val="1"/>
          <w:bCs w:val="1"/>
          <w:rtl w:val="0"/>
        </w:rPr>
        <w:t xml:space="preserve">not perpetual</w:t>
      </w:r>
      <w:r w:rsidDel="00000000" w:rsidR="00000000" w:rsidRPr="00000000">
        <w:rPr>
          <w:rtl w:val="0"/>
        </w:rPr>
        <w:t xml:space="preserve">. It requires:</w:t>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Annual recertification review based on engagement volume and methodology fidelity.</w:t>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Contribution to Phase Mirror knowledge base (case studies, playbook refinement, precision question development).</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Adherence to Phase Mirror's L0 governance principles in all branded engagements.</w:t>
      </w:r>
    </w:p>
    <w:p w:rsidR="00000000" w:rsidDel="00000000" w:rsidP="00000000" w:rsidRDefault="00000000" w:rsidRPr="00000000" w14:paraId="00000038">
      <w:pPr>
        <w:spacing w:after="210" w:lineRule="auto"/>
        <w:rPr/>
      </w:pPr>
      <w:r w:rsidDel="00000000" w:rsidR="00000000" w:rsidRPr="00000000">
        <w:rPr>
          <w:b w:val="1"/>
          <w:bCs w:val="1"/>
          <w:rtl w:val="0"/>
        </w:rPr>
        <w:t xml:space="preserve">Revocation Conditions:</w:t>
      </w:r>
      <w:r w:rsidDel="00000000" w:rsidR="00000000" w:rsidRPr="00000000">
        <w:rPr>
          <w:rtl w:val="0"/>
        </w:rPr>
        <w:t xml:space="preserve"> Material breach of L0 principles, client harm attributable to methodology misapplication, failure to maintain compliance clearance, or prolonged inactivity (no engagements for 18 months).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9d2mu3adkjg" w:id="9"/>
    <w:bookmarkEnd w:id="9"/>
    <w:p w:rsidR="00000000" w:rsidDel="00000000" w:rsidP="00000000" w:rsidRDefault="00000000" w:rsidRPr="00000000" w14:paraId="0000003A">
      <w:pPr>
        <w:spacing w:before="240" w:line="271" w:lineRule="auto"/>
        <w:rPr/>
      </w:pPr>
      <w:r w:rsidDel="00000000" w:rsidR="00000000" w:rsidRPr="00000000">
        <w:rPr>
          <w:b w:val="1"/>
          <w:bCs w:val="1"/>
          <w:sz w:val="42"/>
          <w:szCs w:val="42"/>
          <w:rtl w:val="0"/>
        </w:rPr>
        <w:t xml:space="preserve">First Cohort Special Provisions</w:t>
      </w:r>
      <w:r w:rsidDel="00000000" w:rsidR="00000000" w:rsidRPr="00000000">
        <w:rPr>
          <w:rtl w:val="0"/>
        </w:rPr>
      </w:r>
    </w:p>
    <w:p w:rsidR="00000000" w:rsidDel="00000000" w:rsidP="00000000" w:rsidRDefault="00000000" w:rsidRPr="00000000" w14:paraId="0000003B">
      <w:pPr>
        <w:spacing w:after="210" w:lineRule="auto"/>
        <w:rPr/>
      </w:pPr>
      <w:r w:rsidDel="00000000" w:rsidR="00000000" w:rsidRPr="00000000">
        <w:rPr>
          <w:rtl w:val="0"/>
        </w:rPr>
        <w:t xml:space="preserve">The first PMCP cohort operates under </w:t>
      </w:r>
      <w:r w:rsidDel="00000000" w:rsidR="00000000" w:rsidRPr="00000000">
        <w:rPr>
          <w:b w:val="1"/>
          <w:bCs w:val="1"/>
          <w:rtl w:val="0"/>
        </w:rPr>
        <w:t xml:space="preserve">Founding Provider Status</w:t>
      </w:r>
      <w:r w:rsidDel="00000000" w:rsidR="00000000" w:rsidRPr="00000000">
        <w:rPr>
          <w:rtl w:val="0"/>
        </w:rPr>
        <w:t xml:space="preserve">, which includes:</w:t>
      </w:r>
    </w:p>
    <w:p w:rsidR="00000000" w:rsidDel="00000000" w:rsidP="00000000" w:rsidRDefault="00000000" w:rsidRPr="00000000" w14:paraId="0000003C">
      <w:pPr>
        <w:numPr>
          <w:ilvl w:val="0"/>
          <w:numId w:val="7"/>
        </w:numPr>
        <w:ind w:left="720" w:hanging="360"/>
        <w:rPr/>
      </w:pPr>
      <w:r w:rsidDel="00000000" w:rsidR="00000000" w:rsidRPr="00000000">
        <w:rPr>
          <w:rtl w:val="0"/>
        </w:rPr>
        <w:t xml:space="preserve">Co-authorship rights on vertical playbook documentation that becomes canonical for future providers.</w:t>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Revenue share structure locked at first-cohort terms for the duration of active certification.</w:t>
      </w:r>
    </w:p>
    <w:p w:rsidR="00000000" w:rsidDel="00000000" w:rsidP="00000000" w:rsidRDefault="00000000" w:rsidRPr="00000000" w14:paraId="0000003E">
      <w:pPr>
        <w:numPr>
          <w:ilvl w:val="0"/>
          <w:numId w:val="7"/>
        </w:numPr>
        <w:ind w:left="720" w:hanging="360"/>
        <w:rPr/>
      </w:pPr>
      <w:r w:rsidDel="00000000" w:rsidR="00000000" w:rsidRPr="00000000">
        <w:rPr>
          <w:rtl w:val="0"/>
        </w:rPr>
        <w:t xml:space="preserve">Director-level advisory role in Phase Mirror's product and methodology development.</w:t>
      </w:r>
    </w:p>
    <w:p w:rsidR="00000000" w:rsidDel="00000000" w:rsidP="00000000" w:rsidRDefault="00000000" w:rsidRPr="00000000" w14:paraId="0000003F">
      <w:pPr>
        <w:numPr>
          <w:ilvl w:val="0"/>
          <w:numId w:val="7"/>
        </w:numPr>
        <w:ind w:left="720" w:hanging="360"/>
        <w:rPr/>
      </w:pPr>
      <w:r w:rsidDel="00000000" w:rsidR="00000000" w:rsidRPr="00000000">
        <w:rPr>
          <w:rtl w:val="0"/>
        </w:rPr>
        <w:t xml:space="preserve">Public recognition as a founding practitioner shaping Phase Mirror's category identity.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