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Comprehensive Services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Phase Mirror services portfolio addresses the full lifecycle of AI governance adoption—from initial strategic assessment through ongoing operational support. The service architecture follows a "land and expand" model: organizations typically enter through consulting engagements or the free platform tier, then expand into enterprise seats, support contracts, and certification programs as governance maturity increases.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Revenue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Strategic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Project-based / 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C-Suite,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High-margin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Fixed-price / T&amp;M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Leadership, Governance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Professional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(SaaS)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Engineering, DevOps,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Recurring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Procurement,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Recurring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Recurring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Per-certification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Individuals, Vendors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Transaction + Renewal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Per-seat / 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L&amp;D, HR,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Blended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5" w:before="315" w:line="360" w:lineRule="auto"/>
        <w:ind w:left="-3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I. Strategic Consulting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Strategic consulting represents the highest-margin service tier, targeting C-suite executives, board members, and senior governance leaders. These engagements leverage the Phase Mirror methodology to diagnose organizational tensions around AI adoption and produce binding governance artifacts.</w:t>
      </w:r>
      <w:hyperlink w:anchor="dljj0o6f4wac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hyperlink w:anchor="3vxqeo3igqy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hyperlink w:anchor="91urwg124qm7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 AI Governance Diagnostic (Flagship Engagement)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Surface the productive contradictions between AI autonomy and enterprise governance requirements, converting abstract concerns into concrete, actionable levers.</w:t>
      </w:r>
      <w:hyperlink w:anchor="sx6g3qrqlqk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[4]</w:t>
        </w:r>
      </w:hyperlink>
      <w:hyperlink w:anchor="dljj0o6f4wac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Methodology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Full Phase Mirror Dissonance analysis—Extract → Map Tensions → Rank → Produce Output → Precision Question</w:t>
      </w:r>
      <w:hyperlink w:anchor="3vxqeo3igqy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Engagement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interviews (5-8), document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Tension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Ranked dissonance matrix with impact × tractability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Lever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10-15 actionable levers with owners, metrics, horizons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Spec, SLA templates, kill-switch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Board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Template C Board Packet output with 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5-6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Pricing Model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Fixed-fee based on organizational complexity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Engagement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Mid-Market (500-2,000 employees)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$75,000–$125,000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(2,000-10,000 employees)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$150,000–$250,000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8-10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Global Enterprise (10,000+ employees)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$300,000–$500,000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12-16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B. Compliance-Accuracy Tradeoff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Force the critical policy decision that the Phase Mirror methodology demands: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Does the agent optimize for the most accurate outcome or the most compliant one?</w:t>
      </w:r>
      <w:hyperlink w:anchor="toteg13c6wh9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[5]</w:t>
        </w:r>
      </w:hyperlink>
      <w:hyperlink w:anchor="dljj0o6f4wac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hyperlink w:anchor="3vxqeo3igqy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is not a technical configuration—it is the defining governance choice that dictates liability architecture. The workshop ensures this tradeoff is named, debated, and codified into explicit policy.</w:t>
      </w:r>
      <w:hyperlink w:anchor="toteg13c6wh9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Format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2-day facilitated executive workshop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 existing AI systems, surface liability exposures, identify tension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inventory, risk heat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error budgets, escalation protocols, compliance override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 document, exception handler spec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Pricing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$35,000–$50,000 (includes pre-work, facilitation, deliverables)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C. Advisory Retainer (Pay for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Ongoing strategic guidance for organizations navigating AI governance decisions. Retainer clients receive priority access to senior Phase Mirror practitioners for ad-hoc counsel.</w:t>
      </w:r>
      <w:hyperlink w:anchor="b0hgh6hfei3z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[6]</w:t>
        </w:r>
      </w:hyperlink>
      <w:hyperlink w:anchor="ccpw32i4fj3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Model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Monthly retainer for guaranteed access, not hours worked</w:t>
      </w: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5"/>
        <w:gridCol w:w="2385"/>
        <w:gridCol w:w="3045"/>
        <w:gridCol w:w="1725"/>
        <w:tblGridChange w:id="0">
          <w:tblGrid>
            <w:gridCol w:w="2385"/>
            <w:gridCol w:w="2385"/>
            <w:gridCol w:w="3045"/>
            <w:gridCol w:w="172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$10,000/month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hours/month advisory calls, email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24-48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Strategic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$25,000/month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 advisory calls, quarterly on-site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Board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$50,000/month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Board meeting attendance, crisis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Contract Terms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6-month minimum commitment, 90-day termination notice</w:t>
      </w:r>
      <w:hyperlink w:anchor="5mmiui3bsbj6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[8]</w:t>
        </w:r>
      </w:hyperlink>
      <w:hyperlink w:anchor="b0hgh6hfei3z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 Positioning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Apply the 5X Rule—a $25,000/month retainer should deliver $125,000/month in value through risk mitigation, liability reduction, and accelerated decision-making.</w:t>
      </w:r>
      <w:hyperlink w:anchor="b0hgh6hfei3z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II. Implementation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Implementation services translate governance strategy into operational reality. These engagements deploy the Phase Mirror Oracle, integrate with existing toolchains, and establish ongoing governance workflows.</w:t>
      </w:r>
      <w:hyperlink w:anchor="iup22vvb6wx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[9]</w:t>
        </w:r>
      </w:hyperlink>
      <w:hyperlink w:anchor="xhkhe1e1ztv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[10]</w:t>
        </w:r>
      </w:hyperlink>
      <w:hyperlink w:anchor="3vxqeo3igqy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 Phase Mirror Platform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Scope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Deploy Phase Mirror Oracle in customer environment, configure rules, integrate with CI/CD pipelines</w:t>
      </w:r>
      <w:r w:rsidDel="00000000" w:rsidR="00000000" w:rsidRPr="00000000">
        <w:rPr>
          <w:rtl w:val="0"/>
        </w:rPr>
      </w:r>
    </w:p>
    <w:tbl>
      <w:tblPr>
        <w:tblStyle w:val="Table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Single repository, 5 core rules, GitHub Actions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Multi-repo, full rule registry, custom rule development (3), Terraform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Organization-wide deployment, SSO integration, custom rules (10), dedicated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$120,000–$200,000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8-12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Delivery Model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Fixed-price with milestone-based payments (30% initiation, 40% midpoint, 30% acceptance)</w:t>
      </w:r>
      <w:hyperlink w:anchor="b955zqmvu2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[11]</w:t>
        </w:r>
      </w:hyperlink>
      <w:hyperlink w:anchor="iup22vvb6wx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B. Governance Framework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Create the binding artifacts that translate Phase Mirror methodology into enforceable governance</w:t>
      </w:r>
      <w:hyperlink w:anchor="cjiz8ltt5kjh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[12]</w:t>
        </w:r>
      </w:hyperlink>
      <w:hyperlink w:anchor="3vxqeo3igqy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Deliverables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Spec Document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Defines acceptable error vs. policy violation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Liability Contracts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Establishes tiers between organization and AI platform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SLAs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Commits to audit pass rates and explainability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Kill-Switch Protocols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Governance triggers and rollback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Dataset Requirements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Causal model validity scoring before production</w:t>
      </w:r>
      <w:hyperlink w:anchor="3vxqeo3igqyl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Pricing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$50,000–$150,000 depending on organizational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C. Integration Services (Time &amp; Materials)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organizations requiring custom integrations beyond standard implementation packages: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Typical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Rule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$2,500/rule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Domain-specific dissonance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$250/hour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SIEM, GRC platforms, ticketing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Pipeline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$250/hour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Calibration data feeds, anonymization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Migration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$200/hour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Legacy governance system migration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5" w:before="315" w:line="360" w:lineRule="auto"/>
        <w:ind w:left="-3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III. Platform Services (SaaS)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Phase Mirror Oracle is the technical core—a callable, auditable inconsistency-finding protocol that outputs deterministic dissonance reports. Platform services follow an open-core model with the managed service restriction protecting hosted revenue.</w:t>
      </w:r>
      <w:hyperlink w:anchor="rm1c4nnzarz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[13]</w:t>
        </w:r>
      </w:hyperlink>
      <w:hyperlink w:anchor="cjiz8ltt5kjh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Tier Structure</w:t>
      </w:r>
      <w:r w:rsidDel="00000000" w:rsidR="00000000" w:rsidRPr="00000000">
        <w:rPr>
          <w:rtl w:val="0"/>
        </w:rPr>
      </w:r>
    </w:p>
    <w:tbl>
      <w:tblPr>
        <w:tblStyle w:val="Table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Developers, Small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Core rules (MD-001–005), CLI, self-hosted, Apache 2.0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SMB, Startups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$6,000/year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seats, extended rules, basic SLA (24hr), cloud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Mid-Market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$36,000/year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 seats, full rule registry, 99.5% SLA, priority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Fortune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($100K+)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 seats, dedicated instance, 99.9% SLA, TAM included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Feature Comparison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Core Rules (MD-001–005)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Extended Rule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Rule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Cloud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SSO/SAML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Log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Calibration 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Dedicated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(24hr)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 (4hr)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TAM + 1hr 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IV. Enterprise Seats &amp; Compliance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Enterprise seats bundle platform access with compliance-specific content and governance tooling designed for regulated industries and mature governance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 Compliance Packs (Add-On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Compliance packs are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proprietary extensions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licensed separately from the open-core platform. They contain industry-specific rules, pre-built governance templates, and regulatory mapping.</w:t>
      </w:r>
      <w:hyperlink w:anchor="j5machoctqaz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[14]</w:t>
        </w:r>
      </w:hyperlink>
      <w:hyperlink w:anchor="xxarp3p7hqa5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[15]</w:t>
        </w:r>
      </w:hyperlink>
      <w:hyperlink w:anchor="cjiz8ltt5kjh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9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65"/>
        <w:gridCol w:w="1950"/>
        <w:gridCol w:w="4380"/>
        <w:tblGridChange w:id="0">
          <w:tblGrid>
            <w:gridCol w:w="3165"/>
            <w:gridCol w:w="1950"/>
            <w:gridCol w:w="43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Governance Essentials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NIST AI RMF mapping, ISO 42001 alignment, basic audit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 AI disclosure requirements, model risk management (SR 11-7), fair lending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Healthcare &amp; Life Sciences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AI provisions, FDA SaMD guidance, clinical decision support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EU AI Act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classification engine, conformity assessment templates, high-risk AI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Agentic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Autonomy-governance tension rules, probabilistic output mapping, liability tier templates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5" w:before="315" w:line="360" w:lineRule="auto"/>
        <w:ind w:left="-3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B. Enterprise Seat Bundles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585"/>
        <w:gridCol w:w="1585"/>
        <w:gridCol w:w="1585"/>
        <w:gridCol w:w="1585"/>
        <w:gridCol w:w="1585"/>
        <w:gridCol w:w="1585"/>
        <w:tblGridChange w:id="0">
          <w:tblGrid>
            <w:gridCol w:w="1585"/>
            <w:gridCol w:w="1585"/>
            <w:gridCol w:w="1585"/>
            <w:gridCol w:w="1585"/>
            <w:gridCol w:w="1585"/>
            <w:gridCol w:w="15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pack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$60,000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packs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 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packs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$350,000+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V. Support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Support contracts provide guaranteed response times, dedicated resources, and proactive account management beyond standard platform support.</w:t>
      </w:r>
      <w:hyperlink w:anchor="aw8ff1l338gk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[16]</w:t>
        </w:r>
      </w:hyperlink>
      <w:hyperlink w:anchor="352k6ystm2c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[17]</w:t>
        </w:r>
      </w:hyperlink>
      <w:hyperlink w:anchor="2rumjvhwosv9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Support Tier Comparison</w:t>
      </w:r>
      <w:r w:rsidDel="00000000" w:rsidR="00000000" w:rsidRPr="00000000">
        <w:rPr>
          <w:rtl w:val="0"/>
        </w:rPr>
      </w:r>
    </w:p>
    <w:tbl>
      <w:tblPr>
        <w:tblStyle w:val="Table1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Premium (TAM)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Included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Response Time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Response Time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Response Time (Normal)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Support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Email, Phone, Slack/Teams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Named Support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Quarterly Business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Proactive Health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Roadmap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On-site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2/year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Technical Account Manager (TAM)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Enterprise customers, the TAM serves as a dedicated senior technical resource who:</w:t>
      </w:r>
      <w:hyperlink w:anchor="40m798f0xe23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[19]</w:t>
        </w:r>
      </w:hyperlink>
      <w:hyperlink w:anchor="aw8ff1l338gk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[16]</w:t>
        </w:r>
      </w:hyperlink>
      <w:hyperlink w:anchor="352k6ystm2cj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Acts as primary technical liaison and escalation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Develops deep understanding of customer's IT environment and business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Provides proactive planning and technical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Coordinates with engineering for custom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Delivers quarterly business reviews with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Tracks product enhancements and promotes roadmap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TAM Pricing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Included with Enterprise tier; available as add-on for Business tier at $48,000/year</w:t>
      </w:r>
      <w:hyperlink w:anchor="29v8ed2zd0ps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[20]</w:t>
        </w:r>
      </w:hyperlink>
      <w:hyperlink w:anchor="j6oq60ch2r84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VI. Certification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Certification programs generate revenue while creating ecosystem lock-in, brand credibility, and quality assurance. The Phase Mirror certification architecture follows the CNCF model with both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practitioner certifications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(individuals)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implementation certifications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(vendors/products).</w:t>
      </w:r>
      <w:hyperlink w:anchor="qnv80jfupc1f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[22]</w:t>
        </w:r>
      </w:hyperlink>
      <w:hyperlink w:anchor="joy86jvzej1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[23]</w:t>
        </w:r>
      </w:hyperlink>
      <w:hyperlink w:anchor="mog2asjau5f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 Practitioner Certifications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Renewal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Mirror Associate (PMA)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analysts, compliance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Online, multiple-choice, 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($195)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Certified Phase Mirror Practitioner (CPMP)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leads, senior analysts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Online, scenario-based, 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Biennial ($295)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Certified Phase Mirror Architect (CPMA)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architects, governance directors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Performance-based, hands-on, 3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Biennial ($495)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Certification Path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PMA (Associate) → CPMP (Practitioner) → CPMA (Architect)</w:t>
        <w:br w:type="textWrapping"/>
        <w:t xml:space="preserve">     ↓                    ↓                    ↓</w:t>
        <w:br w:type="textWrapping"/>
        <w:t xml:space="preserve">  Entry-level        Professional         Expert/Leadership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B. Implementation Certifications (Vendor/Product)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Organizations can certify their AI systems, governance platforms, or consulting practices as "Phase Mirror Certified"—granting trademark usage rights conditional on passing compliance testing.</w:t>
      </w:r>
      <w:hyperlink w:anchor="joy86jvzej1r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[23]</w:t>
        </w:r>
      </w:hyperlink>
      <w:hyperlink w:anchor="mog2asjau5ft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[24]</w:t>
        </w:r>
      </w:hyperlink>
      <w:hyperlink w:anchor="cjiz8ltt5kjh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tbl>
      <w:tblPr>
        <w:tblStyle w:val="Table1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Certified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Software vendors, AI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Pass conformance test suite, annual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Certified Consulting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integrators, consultancies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2+ CPMPs on staff, reference engagement, annual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Certified Training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$7,500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Curriculum approval, instructor certification, quality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Trademark Rights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Only certified implementations may use "Phase Mirror Certified" mark. Certification requires:</w:t>
      </w:r>
      <w:hyperlink w:anchor="cjiz8ltt5kjh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test suite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Security audit (for software)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Ongoing telemetry (optional, for calibration data contribution)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C. Certification Revenue Model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1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3 Projection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Individual Certifications (500 → 5,000 candidates)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Certifications (20 → 100 vendors)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Partner Certifications (10 → 50 partners)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Renewals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$750,000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Certification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$450,000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$3,750,000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VII. Training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Training creates certified practitioners, drives platform adoption, and generates recurring revenue through corporate subscriptions.</w:t>
      </w:r>
      <w:hyperlink w:anchor="hkf6aya22c78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[25]</w:t>
        </w:r>
      </w:hyperlink>
      <w:hyperlink w:anchor="58t5f55kzzvu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[26]</w:t>
        </w:r>
      </w:hyperlink>
      <w:hyperlink w:anchor="lx3m01u4poz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[27]</w:t>
        </w:r>
      </w:hyperlink>
      <w:hyperlink w:anchor="qf97s15xxig0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 Course Catalog</w:t>
      </w:r>
      <w:r w:rsidDel="00000000" w:rsidR="00000000" w:rsidRPr="00000000">
        <w:rPr>
          <w:rtl w:val="0"/>
        </w:rPr>
      </w:r>
    </w:p>
    <w:tbl>
      <w:tblPr>
        <w:tblStyle w:val="Table16"/>
        <w:tblW w:w="95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145"/>
        <w:gridCol w:w="2175"/>
        <w:gridCol w:w="1455"/>
        <w:gridCol w:w="1845"/>
        <w:gridCol w:w="1905"/>
        <w:tblGridChange w:id="0">
          <w:tblGrid>
            <w:gridCol w:w="2145"/>
            <w:gridCol w:w="2175"/>
            <w:gridCol w:w="1455"/>
            <w:gridCol w:w="1845"/>
            <w:gridCol w:w="19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Price (Individual)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Price (Corporate)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PMD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 eLearning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$199/seat (min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Applied Phase Mirror for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Virtual instructor-led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$1,495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$1,195/seat (min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Mirror Implementation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In-person /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$2,495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$1,995/seat (min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Executive AI Governance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Virtual / On-site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Half-day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$15,000 flat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PMA Exam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$99/seat (min 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CPMP Exam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Virtual instructor-led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$495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$395/seat (min 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105" w:before="315" w:line="360" w:lineRule="auto"/>
        <w:ind w:left="-3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B. Corporate Training Subscriptions</w:t>
      </w: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self-paced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PMA exams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self-paced + 2 ILT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 PMA exams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catalog + custom workshops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 PMA, 50 CPMP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VIII. Revenue Model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Service Mix by Maturity Stage</w:t>
      </w:r>
      <w:r w:rsidDel="00000000" w:rsidR="00000000" w:rsidRPr="00000000">
        <w:rPr>
          <w:rtl w:val="0"/>
        </w:rPr>
      </w:r>
    </w:p>
    <w:tbl>
      <w:tblPr>
        <w:tblStyle w:val="Table1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Platform (SaaS)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Support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Revenue Projections</w:t>
      </w:r>
      <w:r w:rsidDel="00000000" w:rsidR="00000000" w:rsidRPr="00000000">
        <w:rPr>
          <w:rtl w:val="0"/>
        </w:rPr>
      </w:r>
    </w:p>
    <w:tbl>
      <w:tblPr>
        <w:tblStyle w:val="Table19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$600,000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$1,200,000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$1,875,000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$900,000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$2,625,000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$450,000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$1,500,000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$240,000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$750,000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$120,000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$375,000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$90,000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$375,000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$3,000,000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$7,500,000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IX. Go-to-Market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Customer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Awareness          →    Evaluation       →    Adoption         →    Expansion</w:t>
        <w:br w:type="textWrapping"/>
        <w:t xml:space="preserve">(Thought Leadership)    (Free Tier/Consult)   (Team/Business)      (Enterprise)</w:t>
        <w:br w:type="textWrapping"/>
        <w:t xml:space="preserve">     ↓                       ↓                    ↓                    ↓</w:t>
        <w:br w:type="textWrapping"/>
        <w:t xml:space="preserve">White papers            Community tier       Implementation      Compliance packs</w:t>
        <w:br w:type="textWrapping"/>
        <w:t xml:space="preserve">Conference talks        AI Gov Diagnostic    Training            TAM support</w:t>
        <w:br w:type="textWrapping"/>
        <w:t xml:space="preserve">Podcast appearances     Workshop             Certification       Advisory retainer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Land and Expand Motion</w:t>
      </w: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Typical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Expansion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→ Business →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 hit volume, compliance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 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→ Enterprise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Positive ROI, board mandate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 → Platform →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maturity initiative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Advisory 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platform + 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Crisis event, regulatory pressure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X. Alignment with Phase Mirror License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services operate within the licensing framework established by the Phase Mirror License v1.0:</w:t>
      </w:r>
      <w:hyperlink w:anchor="rm1c4nnzarz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License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Platform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Permitted under base 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Platform (Managed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Proof Labs exclusive; requires commercial agreement for 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Permitted; consultants implement for clients who operate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Proprietary; separate 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Trademark-based; separate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 proprietary; platform access per license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license correctly protects managed service revenue while enabling broad adoption through permitted self-hosting, modification, and redistribution.</w:t>
      </w:r>
      <w:hyperlink w:anchor="rm1c4nnzarzo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Summary: Service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Phase Mirror services portfolio creates multiple revenue streams across the customer lifecycle, with each service reinforcing platform adoption and governance methodology entrenchment: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Consulting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establishes relationships and diagnoses governance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Implementation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deploys the Oracle and creates operational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Platform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provides ongoing value and usage-based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Enterprise Seats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bundle compliance content for regulated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Support Contracts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ensure retention through guaranteed service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Certification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creates ecosystem lock-in and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develops practitioner community and drives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architecture positions Phase Mirror as the operating system for AI governance—not merely a tool, but a methodology, platform, and ecosystem that organizations adopt comprehensively rather than piecemeal.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ljj0o6f4wac" w:id="0"/>
    <w:bookmarkEnd w:id="0"/>
    <w:p w:rsidR="00000000" w:rsidDel="00000000" w:rsidP="00000000" w:rsidRDefault="00000000" w:rsidRPr="00000000" w14:paraId="00000264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White Paper_ The Phase Mirror for Agentic Domain-Specific Reasoning.pdf   </w:t>
      </w:r>
      <w:r w:rsidDel="00000000" w:rsidR="00000000" w:rsidRPr="00000000">
        <w:rPr>
          <w:rtl w:val="0"/>
        </w:rPr>
      </w:r>
    </w:p>
    <w:bookmarkStart w:colFirst="0" w:colLast="0" w:name="3vxqeo3igqyl" w:id="1"/>
    <w:bookmarkEnd w:id="1"/>
    <w:p w:rsidR="00000000" w:rsidDel="00000000" w:rsidP="00000000" w:rsidRDefault="00000000" w:rsidRPr="00000000" w14:paraId="00000265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     </w:t>
      </w:r>
      <w:r w:rsidDel="00000000" w:rsidR="00000000" w:rsidRPr="00000000">
        <w:rPr>
          <w:rtl w:val="0"/>
        </w:rPr>
      </w:r>
    </w:p>
    <w:bookmarkStart w:colFirst="0" w:colLast="0" w:name="91urwg124qm7" w:id="2"/>
    <w:bookmarkEnd w:id="2"/>
    <w:p w:rsidR="00000000" w:rsidDel="00000000" w:rsidP="00000000" w:rsidRDefault="00000000" w:rsidRPr="00000000" w14:paraId="00000266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https://nmsconsulting.com/ai-ethics-and-governance-consulting/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x6g3qrqlqk0" w:id="3"/>
    <w:bookmarkEnd w:id="3"/>
    <w:p w:rsidR="00000000" w:rsidDel="00000000" w:rsidP="00000000" w:rsidRDefault="00000000" w:rsidRPr="00000000" w14:paraId="00000267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toteg13c6wh9" w:id="4"/>
    <w:bookmarkEnd w:id="4"/>
    <w:p w:rsidR="00000000" w:rsidDel="00000000" w:rsidP="00000000" w:rsidRDefault="00000000" w:rsidRPr="00000000" w14:paraId="00000268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 </w:t>
      </w:r>
      <w:r w:rsidDel="00000000" w:rsidR="00000000" w:rsidRPr="00000000">
        <w:rPr>
          <w:rtl w:val="0"/>
        </w:rPr>
      </w:r>
    </w:p>
    <w:bookmarkStart w:colFirst="0" w:colLast="0" w:name="b0hgh6hfei3z" w:id="5"/>
    <w:bookmarkEnd w:id="5"/>
    <w:p w:rsidR="00000000" w:rsidDel="00000000" w:rsidP="00000000" w:rsidRDefault="00000000" w:rsidRPr="00000000" w14:paraId="00000269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https://www.consultingsuccess.com/consulting-retainer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ccpw32i4fj3w" w:id="6"/>
    <w:bookmarkEnd w:id="6"/>
    <w:p w:rsidR="00000000" w:rsidDel="00000000" w:rsidP="00000000" w:rsidRDefault="00000000" w:rsidRPr="00000000" w14:paraId="0000026A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https://gocardless.com/en-us/guides/posts/how-do-retainers-work-for-consultants/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mmiui3bsbj6" w:id="7"/>
    <w:bookmarkEnd w:id="7"/>
    <w:p w:rsidR="00000000" w:rsidDel="00000000" w:rsidP="00000000" w:rsidRDefault="00000000" w:rsidRPr="00000000" w14:paraId="0000026B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https://productive.io/blog/what-is-a-retainer-in-business/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iup22vvb6wxo" w:id="8"/>
    <w:bookmarkEnd w:id="8"/>
    <w:p w:rsidR="00000000" w:rsidDel="00000000" w:rsidP="00000000" w:rsidRDefault="00000000" w:rsidRPr="00000000" w14:paraId="0000026C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https://www.aalpha.net/blog/fixed-price-software-development/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xhkhe1e1ztvw" w:id="9"/>
    <w:bookmarkEnd w:id="9"/>
    <w:p w:rsidR="00000000" w:rsidDel="00000000" w:rsidP="00000000" w:rsidRDefault="00000000" w:rsidRPr="00000000" w14:paraId="0000026D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https://digitalmara.com/blog/dedicated-team-or-fixed-price-which-engagement-model-is-better/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955zqmvu20" w:id="10"/>
    <w:bookmarkEnd w:id="10"/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https://stayrelevant.globant.com/en/technology/agile-organizations/agile-fixed-price/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cjiz8ltt5kjh" w:id="11"/>
    <w:bookmarkEnd w:id="11"/>
    <w:p w:rsidR="00000000" w:rsidDel="00000000" w:rsidP="00000000" w:rsidRDefault="00000000" w:rsidRPr="00000000" w14:paraId="0000026F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yes-if-mirror-dissonance-is-yo-vtZAAPZ3QamZaFcNJAm2Lw.md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rm1c4nnzarzo" w:id="12"/>
    <w:bookmarkEnd w:id="12"/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Phase-Mirror-License.pdf   </w:t>
      </w:r>
      <w:r w:rsidDel="00000000" w:rsidR="00000000" w:rsidRPr="00000000">
        <w:rPr>
          <w:rtl w:val="0"/>
        </w:rPr>
      </w:r>
    </w:p>
    <w:bookmarkStart w:colFirst="0" w:colLast="0" w:name="j5machoctqaz" w:id="13"/>
    <w:bookmarkEnd w:id="13"/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https://www.accorian.com/multi-compliance-bundle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xxarp3p7hqa5" w:id="14"/>
    <w:bookmarkEnd w:id="14"/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https://www.sai360.com/plans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w8ff1l338gk" w:id="15"/>
    <w:bookmarkEnd w:id="15"/>
    <w:p w:rsidR="00000000" w:rsidDel="00000000" w:rsidP="00000000" w:rsidRDefault="00000000" w:rsidRPr="00000000" w14:paraId="00000273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https://www.uscloud.com/microsoft-support-glossary/technical-account-manager-tam/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352k6ystm2cj" w:id="16"/>
    <w:bookmarkEnd w:id="16"/>
    <w:p w:rsidR="00000000" w:rsidDel="00000000" w:rsidP="00000000" w:rsidRDefault="00000000" w:rsidRPr="00000000" w14:paraId="00000274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1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https://www.redhat.com/en/blog/what-technical-account-manager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2rumjvhwosv9" w:id="17"/>
    <w:bookmarkEnd w:id="17"/>
    <w:p w:rsidR="00000000" w:rsidDel="00000000" w:rsidP="00000000" w:rsidRDefault="00000000" w:rsidRPr="00000000" w14:paraId="00000275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https://www.myshyft.com/blog/service-level-agreement-tiers/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0m798f0xe23" w:id="18"/>
    <w:bookmarkEnd w:id="18"/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https://www.velaris.io/articles/the-role-of-a-technical-account-manager-technology-and-business-success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9v8ed2zd0ps" w:id="19"/>
    <w:bookmarkEnd w:id="19"/>
    <w:p w:rsidR="00000000" w:rsidDel="00000000" w:rsidP="00000000" w:rsidRDefault="00000000" w:rsidRPr="00000000" w14:paraId="00000277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https://www.cohesity.com/content/dam/cohesity/resource-assets/datasheets/Cohesity-TAM-Support-Service.pdf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6oq60ch2r84" w:id="20"/>
    <w:bookmarkEnd w:id="20"/>
    <w:p w:rsidR="00000000" w:rsidDel="00000000" w:rsidP="00000000" w:rsidRDefault="00000000" w:rsidRPr="00000000" w14:paraId="00000278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https://www.splunk.com/en_us/pdfs/data-sheets/splunk-technical-account-manager-data-sheet.pdf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nv80jfupc1f" w:id="21"/>
    <w:bookmarkEnd w:id="21"/>
    <w:p w:rsidR="00000000" w:rsidDel="00000000" w:rsidP="00000000" w:rsidRDefault="00000000" w:rsidRPr="00000000" w14:paraId="00000279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https://www.cncf.io/training/certification/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oy86jvzej1r" w:id="22"/>
    <w:bookmarkEnd w:id="22"/>
    <w:p w:rsidR="00000000" w:rsidDel="00000000" w:rsidP="00000000" w:rsidRDefault="00000000" w:rsidRPr="00000000" w14:paraId="0000027A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https://www.cncf.io/announcements/2025/11/11/cncf-launches-certified-kubernetes-ai-conformance-program-to-standardize-ai-workloads-on-kubernetes/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mog2asjau5ft" w:id="23"/>
    <w:bookmarkEnd w:id="23"/>
    <w:p w:rsidR="00000000" w:rsidDel="00000000" w:rsidP="00000000" w:rsidRDefault="00000000" w:rsidRPr="00000000" w14:paraId="0000027B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https://www.cncf.io/training/certification/software-conformance/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hkf6aya22c78" w:id="24"/>
    <w:bookmarkEnd w:id="24"/>
    <w:p w:rsidR="00000000" w:rsidDel="00000000" w:rsidP="00000000" w:rsidRDefault="00000000" w:rsidRPr="00000000" w14:paraId="0000027C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https://enterprisetraining.com/pricing-plans/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8t5f55kzzvu" w:id="25"/>
    <w:bookmarkEnd w:id="25"/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https://www.learningtree.com/plans/advantage-enterprise/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lx3m01u4pozl" w:id="26"/>
    <w:bookmarkEnd w:id="26"/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2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https://www.coursera.org/business/compare-plans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qf97s15xxig0" w:id="27"/>
    <w:bookmarkEnd w:id="27"/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https://michaelskenny.com/points-of-view/strategic-importance-of-building-an-enterprise-training-program/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4vynw714ltm0" w:id="28"/>
    <w:bookmarkEnd w:id="28"/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to Mirror Dissonance.pdf </w:t>
      </w:r>
      <w:r w:rsidDel="00000000" w:rsidR="00000000" w:rsidRPr="00000000">
        <w:rPr>
          <w:rtl w:val="0"/>
        </w:rPr>
      </w:r>
    </w:p>
    <w:bookmarkStart w:colFirst="0" w:colLast="0" w:name="mh69sh7uj7w0" w:id="29"/>
    <w:bookmarkEnd w:id="29"/>
    <w:p w:rsidR="00000000" w:rsidDel="00000000" w:rsidP="00000000" w:rsidRDefault="00000000" w:rsidRPr="00000000" w14:paraId="00000281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https://hr.untsystem.edu/sites/default/files/consulting_services_catalog.pdf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a9l0cr3id3hm" w:id="30"/>
    <w:bookmarkEnd w:id="30"/>
    <w:p w:rsidR="00000000" w:rsidDel="00000000" w:rsidP="00000000" w:rsidRDefault="00000000" w:rsidRPr="00000000" w14:paraId="00000282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https://www.datastrategypros.com/resources/aigfc/frameworks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1gh34tdd0ad" w:id="31"/>
    <w:bookmarkEnd w:id="31"/>
    <w:p w:rsidR="00000000" w:rsidDel="00000000" w:rsidP="00000000" w:rsidRDefault="00000000" w:rsidRPr="00000000" w14:paraId="00000283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3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https://optimalbusinessconsulting.com/managed-services-retainers/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j90knhusczu" w:id="32"/>
    <w:bookmarkEnd w:id="32"/>
    <w:p w:rsidR="00000000" w:rsidDel="00000000" w:rsidP="00000000" w:rsidRDefault="00000000" w:rsidRPr="00000000" w14:paraId="00000284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4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https://www.aveva.com/content/dam/aveva/documents/support/ServiceProfile_AVEVA-ConsultingServicesCatalogue-External.pdf.coredownload.inline.pdf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wy4x1er0u07e" w:id="33"/>
    <w:bookmarkEnd w:id="33"/>
    <w:p w:rsidR="00000000" w:rsidDel="00000000" w:rsidP="00000000" w:rsidRDefault="00000000" w:rsidRPr="00000000" w14:paraId="00000285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5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https://www.uslegalsupport.com/blog/ai-governance-framework/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pi7z5pcxl04" w:id="34"/>
    <w:bookmarkEnd w:id="34"/>
    <w:p w:rsidR="00000000" w:rsidDel="00000000" w:rsidP="00000000" w:rsidRDefault="00000000" w:rsidRPr="00000000" w14:paraId="00000286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6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https://www.consultingspace.com.au/wp-content/uploads/2020/02/Service-Catalogue.pdf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yv7mj6bc80ls" w:id="35"/>
    <w:bookmarkEnd w:id="35"/>
    <w:p w:rsidR="00000000" w:rsidDel="00000000" w:rsidP="00000000" w:rsidRDefault="00000000" w:rsidRPr="00000000" w14:paraId="00000287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7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https://rsmus.com/services/digital-transformation/artificial-intelligence/ai-governance.html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7itkz1a83b9d" w:id="36"/>
    <w:bookmarkEnd w:id="36"/>
    <w:p w:rsidR="00000000" w:rsidDel="00000000" w:rsidP="00000000" w:rsidRDefault="00000000" w:rsidRPr="00000000" w14:paraId="00000288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8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https://kpiinstitute.org/off-site-online-consultancy-services.pdf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654lqiu94xtf" w:id="37"/>
    <w:bookmarkEnd w:id="37"/>
    <w:p w:rsidR="00000000" w:rsidDel="00000000" w:rsidP="00000000" w:rsidRDefault="00000000" w:rsidRPr="00000000" w14:paraId="00000289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3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https://www.deloitte.com/us/en/programs/center-for-board-effectiveness/articles/board-of-directors-governance-framework-artificial-intelligence.html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proqawv5c14x" w:id="38"/>
    <w:bookmarkEnd w:id="38"/>
    <w:p w:rsidR="00000000" w:rsidDel="00000000" w:rsidP="00000000" w:rsidRDefault="00000000" w:rsidRPr="00000000" w14:paraId="0000028A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4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https://www.crowdstrike.com/en-us/services/services-retainer/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oxbze4ku5o5" w:id="39"/>
    <w:bookmarkEnd w:id="39"/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4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https://enterprisetraining.com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65ceo9x1wa6" w:id="40"/>
    <w:bookmarkEnd w:id="40"/>
    <w:p w:rsidR="00000000" w:rsidDel="00000000" w:rsidP="00000000" w:rsidRDefault="00000000" w:rsidRPr="00000000" w14:paraId="0000028C">
      <w:pPr>
        <w:numPr>
          <w:ilvl w:val="0"/>
          <w:numId w:val="5"/>
        </w:numPr>
        <w:spacing w:after="210" w:line="360" w:lineRule="auto"/>
        <w:ind w:left="540" w:hanging="360"/>
        <w:rPr/>
      </w:pPr>
      <w:hyperlink r:id="rId42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https://www.cs3technology.com/resource/fixed-fee-proposals-and-risk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rowdstrike.com/en-us/services/services-retainer/" TargetMode="External"/><Relationship Id="rId20" Type="http://schemas.openxmlformats.org/officeDocument/2006/relationships/hyperlink" Target="https://www.myshyft.com/blog/service-level-agreement-tiers/" TargetMode="External"/><Relationship Id="rId42" Type="http://schemas.openxmlformats.org/officeDocument/2006/relationships/hyperlink" Target="https://www.cs3technology.com/resource/fixed-fee-proposals-and-risk" TargetMode="External"/><Relationship Id="rId41" Type="http://schemas.openxmlformats.org/officeDocument/2006/relationships/hyperlink" Target="https://enterprisetraining.com" TargetMode="External"/><Relationship Id="rId22" Type="http://schemas.openxmlformats.org/officeDocument/2006/relationships/hyperlink" Target="https://www.cohesity.com/content/dam/cohesity/resource-assets/datasheets/Cohesity-TAM-Support-Service.pdf" TargetMode="External"/><Relationship Id="rId21" Type="http://schemas.openxmlformats.org/officeDocument/2006/relationships/hyperlink" Target="https://www.velaris.io/articles/the-role-of-a-technical-account-manager-technology-and-business-success" TargetMode="External"/><Relationship Id="rId24" Type="http://schemas.openxmlformats.org/officeDocument/2006/relationships/hyperlink" Target="https://www.cncf.io/training/certification/" TargetMode="External"/><Relationship Id="rId23" Type="http://schemas.openxmlformats.org/officeDocument/2006/relationships/hyperlink" Target="https://www.splunk.com/en_us/pdfs/data-sheets/splunk-technical-account-manager-data-shee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ingsuccess.com/consulting-retainer" TargetMode="External"/><Relationship Id="rId26" Type="http://schemas.openxmlformats.org/officeDocument/2006/relationships/hyperlink" Target="https://www.cncf.io/training/certification/software-conformance/" TargetMode="External"/><Relationship Id="rId25" Type="http://schemas.openxmlformats.org/officeDocument/2006/relationships/hyperlink" Target="https://www.cncf.io/announcements/2025/11/11/cncf-launches-certified-kubernetes-ai-conformance-program-to-standardize-ai-workloads-on-kubernetes/" TargetMode="External"/><Relationship Id="rId28" Type="http://schemas.openxmlformats.org/officeDocument/2006/relationships/hyperlink" Target="https://www.learningtree.com/plans/advantage-enterprise/" TargetMode="External"/><Relationship Id="rId27" Type="http://schemas.openxmlformats.org/officeDocument/2006/relationships/hyperlink" Target="https://enterprisetraining.com/pricing-plan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yperlink" Target="https://www.coursera.org/business/compare-plans" TargetMode="External"/><Relationship Id="rId7" Type="http://schemas.openxmlformats.org/officeDocument/2006/relationships/image" Target="media/image11.png"/><Relationship Id="rId8" Type="http://schemas.openxmlformats.org/officeDocument/2006/relationships/hyperlink" Target="https://nmsconsulting.com/ai-ethics-and-governance-consulting/" TargetMode="External"/><Relationship Id="rId31" Type="http://schemas.openxmlformats.org/officeDocument/2006/relationships/hyperlink" Target="https://hr.untsystem.edu/sites/default/files/consulting_services_catalog.pdf" TargetMode="External"/><Relationship Id="rId30" Type="http://schemas.openxmlformats.org/officeDocument/2006/relationships/hyperlink" Target="https://michaelskenny.com/points-of-view/strategic-importance-of-building-an-enterprise-training-program/" TargetMode="External"/><Relationship Id="rId11" Type="http://schemas.openxmlformats.org/officeDocument/2006/relationships/hyperlink" Target="https://productive.io/blog/what-is-a-retainer-in-business/" TargetMode="External"/><Relationship Id="rId33" Type="http://schemas.openxmlformats.org/officeDocument/2006/relationships/hyperlink" Target="https://optimalbusinessconsulting.com/managed-services-retainers/" TargetMode="External"/><Relationship Id="rId10" Type="http://schemas.openxmlformats.org/officeDocument/2006/relationships/hyperlink" Target="https://gocardless.com/en-us/guides/posts/how-do-retainers-work-for-consultants/" TargetMode="External"/><Relationship Id="rId32" Type="http://schemas.openxmlformats.org/officeDocument/2006/relationships/hyperlink" Target="https://www.datastrategypros.com/resources/aigfc/frameworks" TargetMode="External"/><Relationship Id="rId13" Type="http://schemas.openxmlformats.org/officeDocument/2006/relationships/hyperlink" Target="https://digitalmara.com/blog/dedicated-team-or-fixed-price-which-engagement-model-is-better/" TargetMode="External"/><Relationship Id="rId35" Type="http://schemas.openxmlformats.org/officeDocument/2006/relationships/hyperlink" Target="https://www.uslegalsupport.com/blog/ai-governance-framework/" TargetMode="External"/><Relationship Id="rId12" Type="http://schemas.openxmlformats.org/officeDocument/2006/relationships/hyperlink" Target="https://www.aalpha.net/blog/fixed-price-software-development/" TargetMode="External"/><Relationship Id="rId34" Type="http://schemas.openxmlformats.org/officeDocument/2006/relationships/hyperlink" Target="https://www.aveva.com/content/dam/aveva/documents/support/ServiceProfile_AVEVA-ConsultingServicesCatalogue-External.pdf.coredownload.inline.pdf" TargetMode="External"/><Relationship Id="rId15" Type="http://schemas.openxmlformats.org/officeDocument/2006/relationships/hyperlink" Target="http://yes-if-mirror-dissonance-is-yo-vtzaapz3qamzafcnjam2lw.md" TargetMode="External"/><Relationship Id="rId37" Type="http://schemas.openxmlformats.org/officeDocument/2006/relationships/hyperlink" Target="https://rsmus.com/services/digital-transformation/artificial-intelligence/ai-governance.html" TargetMode="External"/><Relationship Id="rId14" Type="http://schemas.openxmlformats.org/officeDocument/2006/relationships/hyperlink" Target="https://stayrelevant.globant.com/en/technology/agile-organizations/agile-fixed-price/" TargetMode="External"/><Relationship Id="rId36" Type="http://schemas.openxmlformats.org/officeDocument/2006/relationships/hyperlink" Target="https://www.consultingspace.com.au/wp-content/uploads/2020/02/Service-Catalogue.pdf" TargetMode="External"/><Relationship Id="rId17" Type="http://schemas.openxmlformats.org/officeDocument/2006/relationships/hyperlink" Target="https://www.sai360.com/plans" TargetMode="External"/><Relationship Id="rId39" Type="http://schemas.openxmlformats.org/officeDocument/2006/relationships/hyperlink" Target="https://www.deloitte.com/us/en/programs/center-for-board-effectiveness/articles/board-of-directors-governance-framework-artificial-intelligence.html" TargetMode="External"/><Relationship Id="rId16" Type="http://schemas.openxmlformats.org/officeDocument/2006/relationships/hyperlink" Target="https://www.accorian.com/multi-compliance-bundle" TargetMode="External"/><Relationship Id="rId38" Type="http://schemas.openxmlformats.org/officeDocument/2006/relationships/hyperlink" Target="https://kpiinstitute.org/off-site-online-consultancy-services.pdf" TargetMode="External"/><Relationship Id="rId19" Type="http://schemas.openxmlformats.org/officeDocument/2006/relationships/hyperlink" Target="https://www.redhat.com/en/blog/what-technical-account-manager" TargetMode="External"/><Relationship Id="rId18" Type="http://schemas.openxmlformats.org/officeDocument/2006/relationships/hyperlink" Target="https://www.uscloud.com/microsoft-support-glossary/technical-account-manager-ta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