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57.5" w:before="157.5" w:line="270" w:lineRule="auto"/>
        <w:jc w:val="center"/>
        <w:rPr>
          <w:rFonts w:ascii="Inter" w:cs="Inter" w:eastAsia="Inter" w:hAnsi="Inter"/>
        </w:rPr>
      </w:pPr>
      <w:r w:rsidDel="00000000" w:rsidR="00000000" w:rsidRPr="00000000">
        <w:rPr>
          <w:rFonts w:ascii="Inter" w:cs="Inter" w:eastAsia="Inter" w:hAnsi="Inter"/>
          <w:sz w:val="39"/>
          <w:szCs w:val="39"/>
        </w:rPr>
        <w:drawing>
          <wp:inline distB="114300" distT="114300" distL="114300" distR="114300">
            <wp:extent cx="2814638" cy="1936386"/>
            <wp:effectExtent b="0" l="0" r="0" t="0"/>
            <wp:docPr id="9"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814638" cy="193638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57.5" w:before="157.5" w:line="270" w:lineRule="auto"/>
        <w:jc w:val="center"/>
        <w:rPr>
          <w:sz w:val="39"/>
          <w:szCs w:val="39"/>
        </w:rPr>
      </w:pPr>
      <w:r w:rsidDel="00000000" w:rsidR="00000000" w:rsidRPr="00000000">
        <w:rPr>
          <w:rFonts w:ascii="Inter" w:cs="Inter" w:eastAsia="Inter" w:hAnsi="Inter"/>
          <w:b w:val="1"/>
          <w:bCs w:val="1"/>
          <w:sz w:val="39"/>
          <w:szCs w:val="39"/>
          <w:rtl w:val="0"/>
        </w:rPr>
        <w:t xml:space="preserve">Foundational Podcast Episodes</w:t>
      </w:r>
      <w:r w:rsidDel="00000000" w:rsidR="00000000" w:rsidRPr="00000000">
        <w:rPr>
          <w:rtl w:val="0"/>
        </w:rPr>
      </w:r>
    </w:p>
    <w:p w:rsidR="00000000" w:rsidDel="00000000" w:rsidP="00000000" w:rsidRDefault="00000000" w:rsidRPr="00000000" w14:paraId="00000003">
      <w:pPr>
        <w:spacing w:after="0" w:before="210" w:line="360" w:lineRule="auto"/>
        <w:rPr/>
      </w:pPr>
      <w:r w:rsidDel="00000000" w:rsidR="00000000" w:rsidRPr="00000000">
        <w:rPr>
          <w:rtl w:val="0"/>
        </w:rPr>
      </w:r>
    </w:p>
    <w:p w:rsidR="00000000" w:rsidDel="00000000" w:rsidP="00000000" w:rsidRDefault="00000000" w:rsidRPr="00000000" w14:paraId="00000004">
      <w:pPr>
        <w:spacing w:after="0" w:before="210" w:line="360" w:lineRule="auto"/>
        <w:rPr/>
      </w:pPr>
      <w:r w:rsidDel="00000000" w:rsidR="00000000" w:rsidRPr="00000000">
        <w:rPr>
          <w:rtl w:val="0"/>
        </w:rPr>
      </w:r>
    </w:p>
    <w:p w:rsidR="00000000" w:rsidDel="00000000" w:rsidP="00000000" w:rsidRDefault="00000000" w:rsidRPr="00000000" w14:paraId="00000005">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1. Why We Don't Resolve Dissonance—We Name It</w:t>
      </w:r>
      <w:r w:rsidDel="00000000" w:rsidR="00000000" w:rsidRPr="00000000">
        <w:rPr>
          <w:rtl w:val="0"/>
        </w:rPr>
      </w:r>
    </w:p>
    <w:p w:rsidR="00000000" w:rsidDel="00000000" w:rsidP="00000000" w:rsidRDefault="00000000" w:rsidRPr="00000000" w14:paraId="00000006">
      <w:pPr>
        <w:spacing w:after="210" w:line="360" w:lineRule="auto"/>
        <w:rPr/>
      </w:pPr>
      <w:r w:rsidDel="00000000" w:rsidR="00000000" w:rsidRPr="00000000">
        <w:rPr>
          <w:rFonts w:ascii="Inter" w:cs="Inter" w:eastAsia="Inter" w:hAnsi="Inter"/>
          <w:color w:val="000000"/>
          <w:rtl w:val="0"/>
        </w:rPr>
        <w:t xml:space="preserve">Introduce the core philosophy of Phase Mirror: that contradictions between AI autonomy and enterprise governance aren't bugs to fix but permanent tensions to manage deliberately. Explain the methodology's three components—Mirror, Dissonance, and Phase—and why "hope is not a governance strategy."</w:t>
      </w:r>
      <w:hyperlink w:anchor="8t4z4e7kxug4">
        <w:r w:rsidDel="00000000" w:rsidR="00000000" w:rsidRPr="00000000">
          <w:rPr>
            <w:rFonts w:ascii="Inter" w:cs="Inter" w:eastAsia="Inter" w:hAnsi="Inter"/>
            <w:color w:val="000000"/>
            <w:u w:val="single"/>
            <w:vertAlign w:val="superscript"/>
            <w:rtl w:val="0"/>
          </w:rPr>
          <w:t xml:space="preserve">[1]</w:t>
        </w:r>
      </w:hyperlink>
      <w:r w:rsidDel="00000000" w:rsidR="00000000" w:rsidRPr="00000000">
        <w:rPr>
          <w:rtl w:val="0"/>
        </w:rPr>
      </w:r>
    </w:p>
    <w:p w:rsidR="00000000" w:rsidDel="00000000" w:rsidP="00000000" w:rsidRDefault="00000000" w:rsidRPr="00000000" w14:paraId="00000007">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2. The Compliance-Accuracy Tradeoff: The Choice Every AI Team Is Avoiding</w:t>
      </w:r>
      <w:r w:rsidDel="00000000" w:rsidR="00000000" w:rsidRPr="00000000">
        <w:rPr>
          <w:rtl w:val="0"/>
        </w:rPr>
      </w:r>
    </w:p>
    <w:p w:rsidR="00000000" w:rsidDel="00000000" w:rsidP="00000000" w:rsidRDefault="00000000" w:rsidRPr="00000000" w14:paraId="00000008">
      <w:pPr>
        <w:spacing w:after="210" w:line="360" w:lineRule="auto"/>
        <w:rPr/>
      </w:pPr>
      <w:r w:rsidDel="00000000" w:rsidR="00000000" w:rsidRPr="00000000">
        <w:rPr>
          <w:rFonts w:ascii="Inter" w:cs="Inter" w:eastAsia="Inter" w:hAnsi="Inter"/>
          <w:color w:val="000000"/>
          <w:rtl w:val="0"/>
        </w:rPr>
        <w:t xml:space="preserve">Explore the critical governance decision enterprises must confront: should an AI agent optimize for the most accurate outcome or the most compliant one? This isn't a technical configuration—it's a defining liability choice that most organizations are ignoring.</w:t>
      </w:r>
      <w:hyperlink w:anchor="8t4z4e7kxug4">
        <w:r w:rsidDel="00000000" w:rsidR="00000000" w:rsidRPr="00000000">
          <w:rPr>
            <w:rFonts w:ascii="Inter" w:cs="Inter" w:eastAsia="Inter" w:hAnsi="Inter"/>
            <w:color w:val="000000"/>
            <w:u w:val="single"/>
            <w:vertAlign w:val="superscript"/>
            <w:rtl w:val="0"/>
          </w:rPr>
          <w:t xml:space="preserve">[1]</w:t>
        </w:r>
      </w:hyperlink>
      <w:r w:rsidDel="00000000" w:rsidR="00000000" w:rsidRPr="00000000">
        <w:rPr>
          <w:rtl w:val="0"/>
        </w:rPr>
      </w:r>
    </w:p>
    <w:p w:rsidR="00000000" w:rsidDel="00000000" w:rsidP="00000000" w:rsidRDefault="00000000" w:rsidRPr="00000000" w14:paraId="00000009">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3. From Vibes to Bindings: Replacing 'Align' with Artifacts</w:t>
      </w:r>
      <w:r w:rsidDel="00000000" w:rsidR="00000000" w:rsidRPr="00000000">
        <w:rPr>
          <w:rtl w:val="0"/>
        </w:rPr>
      </w:r>
    </w:p>
    <w:p w:rsidR="00000000" w:rsidDel="00000000" w:rsidP="00000000" w:rsidRDefault="00000000" w:rsidRPr="00000000" w14:paraId="0000000A">
      <w:pPr>
        <w:spacing w:after="210" w:line="360" w:lineRule="auto"/>
        <w:rPr/>
      </w:pPr>
      <w:r w:rsidDel="00000000" w:rsidR="00000000" w:rsidRPr="00000000">
        <w:rPr>
          <w:rFonts w:ascii="Inter" w:cs="Inter" w:eastAsia="Inter" w:hAnsi="Inter"/>
          <w:color w:val="000000"/>
          <w:rtl w:val="0"/>
        </w:rPr>
        <w:t xml:space="preserve">Discuss how Phase Mirror converts vague intention-based statements into concrete, auditable mechanisms—specs, contracts, SLAs, and kill-switches. Why "collaborate" means nothing without a defined forum, cadence, quorum, and decision threshold.</w:t>
      </w:r>
      <w:hyperlink w:anchor="8t4z4e7kxug4">
        <w:r w:rsidDel="00000000" w:rsidR="00000000" w:rsidRPr="00000000">
          <w:rPr>
            <w:rFonts w:ascii="Inter" w:cs="Inter" w:eastAsia="Inter" w:hAnsi="Inter"/>
            <w:color w:val="000000"/>
            <w:u w:val="single"/>
            <w:vertAlign w:val="superscript"/>
            <w:rtl w:val="0"/>
          </w:rPr>
          <w:t xml:space="preserve">[1]</w:t>
        </w:r>
      </w:hyperlink>
      <w:r w:rsidDel="00000000" w:rsidR="00000000" w:rsidRPr="00000000">
        <w:rPr>
          <w:rtl w:val="0"/>
        </w:rPr>
      </w:r>
    </w:p>
    <w:p w:rsidR="00000000" w:rsidDel="00000000" w:rsidP="00000000" w:rsidRDefault="00000000" w:rsidRPr="00000000" w14:paraId="0000000B">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6" name=""/>
                <a:graphic>
                  <a:graphicData uri="http://schemas.microsoft.com/office/word/2010/wordprocessingShape">
                    <wps:wsp>
                      <wps:cNvSpPr/>
                      <wps:cNvPr id="7" name="Shape 7"/>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C">
      <w:pPr>
        <w:spacing w:after="105" w:before="315" w:line="360" w:lineRule="auto"/>
        <w:ind w:left="-30" w:firstLine="0"/>
        <w:jc w:val="left"/>
        <w:rPr>
          <w:rFonts w:ascii="Inter" w:cs="Inter" w:eastAsia="Inter" w:hAnsi="Inter"/>
          <w:b w:val="1"/>
          <w:bCs w:val="1"/>
          <w:sz w:val="24"/>
          <w:szCs w:val="24"/>
        </w:rPr>
      </w:pPr>
      <w:r w:rsidDel="00000000" w:rsidR="00000000" w:rsidRPr="00000000">
        <w:rPr>
          <w:rtl w:val="0"/>
        </w:rPr>
      </w:r>
    </w:p>
    <w:p w:rsidR="00000000" w:rsidDel="00000000" w:rsidP="00000000" w:rsidRDefault="00000000" w:rsidRPr="00000000" w14:paraId="0000000D">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Agentic AI Governance Series</w:t>
      </w:r>
      <w:r w:rsidDel="00000000" w:rsidR="00000000" w:rsidRPr="00000000">
        <w:rPr>
          <w:rtl w:val="0"/>
        </w:rPr>
      </w:r>
    </w:p>
    <w:p w:rsidR="00000000" w:rsidDel="00000000" w:rsidP="00000000" w:rsidRDefault="00000000" w:rsidRPr="00000000" w14:paraId="0000000E">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4. When Prediction Becomes Action: The Liability Shift in Agentic AI</w:t>
      </w:r>
      <w:r w:rsidDel="00000000" w:rsidR="00000000" w:rsidRPr="00000000">
        <w:rPr>
          <w:rtl w:val="0"/>
        </w:rPr>
      </w:r>
    </w:p>
    <w:p w:rsidR="00000000" w:rsidDel="00000000" w:rsidP="00000000" w:rsidRDefault="00000000" w:rsidRPr="00000000" w14:paraId="0000000F">
      <w:pPr>
        <w:spacing w:after="210" w:line="360" w:lineRule="auto"/>
        <w:rPr/>
      </w:pPr>
      <w:r w:rsidDel="00000000" w:rsidR="00000000" w:rsidRPr="00000000">
        <w:rPr>
          <w:rFonts w:ascii="Inter" w:cs="Inter" w:eastAsia="Inter" w:hAnsi="Inter"/>
          <w:color w:val="000000"/>
          <w:rtl w:val="0"/>
        </w:rPr>
        <w:t xml:space="preserve">Examine how the move from predictive models to autonomous agents fundamentally changes liability architecture. When AI takes action rather than making recommendations, responsibility shifts from the end-user to the system designer.</w:t>
      </w:r>
      <w:hyperlink w:anchor="8t4z4e7kxug4">
        <w:r w:rsidDel="00000000" w:rsidR="00000000" w:rsidRPr="00000000">
          <w:rPr>
            <w:rFonts w:ascii="Inter" w:cs="Inter" w:eastAsia="Inter" w:hAnsi="Inter"/>
            <w:color w:val="000000"/>
            <w:u w:val="single"/>
            <w:vertAlign w:val="superscript"/>
            <w:rtl w:val="0"/>
          </w:rPr>
          <w:t xml:space="preserve">[1]</w:t>
        </w:r>
      </w:hyperlink>
      <w:r w:rsidDel="00000000" w:rsidR="00000000" w:rsidRPr="00000000">
        <w:rPr>
          <w:rtl w:val="0"/>
        </w:rPr>
      </w:r>
    </w:p>
    <w:p w:rsidR="00000000" w:rsidDel="00000000" w:rsidP="00000000" w:rsidRDefault="00000000" w:rsidRPr="00000000" w14:paraId="00000010">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5. Probabilistic Outputs vs. Binary Compliance: The Framework Mismatch</w:t>
      </w:r>
      <w:r w:rsidDel="00000000" w:rsidR="00000000" w:rsidRPr="00000000">
        <w:rPr>
          <w:rtl w:val="0"/>
        </w:rPr>
      </w:r>
    </w:p>
    <w:p w:rsidR="00000000" w:rsidDel="00000000" w:rsidP="00000000" w:rsidRDefault="00000000" w:rsidRPr="00000000" w14:paraId="00000011">
      <w:pPr>
        <w:spacing w:after="210" w:line="360" w:lineRule="auto"/>
        <w:rPr/>
      </w:pPr>
      <w:r w:rsidDel="00000000" w:rsidR="00000000" w:rsidRPr="00000000">
        <w:rPr>
          <w:rFonts w:ascii="Inter" w:cs="Inter" w:eastAsia="Inter" w:hAnsi="Inter"/>
          <w:color w:val="000000"/>
          <w:rtl w:val="0"/>
        </w:rPr>
        <w:t xml:space="preserve">Explore the structural friction between AI systems that produce confidence scores and legal/compliance frameworks that demand pass/fail determinations. How enterprises can map probabilistic outputs to liability tiers.</w:t>
      </w:r>
      <w:hyperlink w:anchor="8t4z4e7kxug4">
        <w:r w:rsidDel="00000000" w:rsidR="00000000" w:rsidRPr="00000000">
          <w:rPr>
            <w:rFonts w:ascii="Inter" w:cs="Inter" w:eastAsia="Inter" w:hAnsi="Inter"/>
            <w:color w:val="000000"/>
            <w:u w:val="single"/>
            <w:vertAlign w:val="superscript"/>
            <w:rtl w:val="0"/>
          </w:rPr>
          <w:t xml:space="preserve">[1]</w:t>
        </w:r>
      </w:hyperlink>
      <w:r w:rsidDel="00000000" w:rsidR="00000000" w:rsidRPr="00000000">
        <w:rPr>
          <w:rtl w:val="0"/>
        </w:rPr>
      </w:r>
    </w:p>
    <w:p w:rsidR="00000000" w:rsidDel="00000000" w:rsidP="00000000" w:rsidRDefault="00000000" w:rsidRPr="00000000" w14:paraId="00000012">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6. The Autonomy-Determinism Paradox</w:t>
      </w:r>
      <w:r w:rsidDel="00000000" w:rsidR="00000000" w:rsidRPr="00000000">
        <w:rPr>
          <w:rtl w:val="0"/>
        </w:rPr>
      </w:r>
    </w:p>
    <w:p w:rsidR="00000000" w:rsidDel="00000000" w:rsidP="00000000" w:rsidRDefault="00000000" w:rsidRPr="00000000" w14:paraId="00000013">
      <w:pPr>
        <w:spacing w:after="210" w:line="360" w:lineRule="auto"/>
        <w:rPr/>
      </w:pPr>
      <w:r w:rsidDel="00000000" w:rsidR="00000000" w:rsidRPr="00000000">
        <w:rPr>
          <w:rFonts w:ascii="Inter" w:cs="Inter" w:eastAsia="Inter" w:hAnsi="Inter"/>
          <w:color w:val="000000"/>
          <w:rtl w:val="0"/>
        </w:rPr>
        <w:t xml:space="preserve">Deep dive into the tension between giving AI agents permission to fail and learn (true autonomy) while enterprise governance demands predictable, deterministic success. How to define error budgets for agentic decisions.</w:t>
      </w:r>
      <w:hyperlink w:anchor="8t4z4e7kxug4">
        <w:r w:rsidDel="00000000" w:rsidR="00000000" w:rsidRPr="00000000">
          <w:rPr>
            <w:rFonts w:ascii="Inter" w:cs="Inter" w:eastAsia="Inter" w:hAnsi="Inter"/>
            <w:color w:val="000000"/>
            <w:u w:val="single"/>
            <w:vertAlign w:val="superscript"/>
            <w:rtl w:val="0"/>
          </w:rPr>
          <w:t xml:space="preserve">[1]</w:t>
        </w:r>
      </w:hyperlink>
      <w:r w:rsidDel="00000000" w:rsidR="00000000" w:rsidRPr="00000000">
        <w:rPr>
          <w:rtl w:val="0"/>
        </w:rPr>
      </w:r>
    </w:p>
    <w:p w:rsidR="00000000" w:rsidDel="00000000" w:rsidP="00000000" w:rsidRDefault="00000000" w:rsidRPr="00000000" w14:paraId="00000014">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7. Human-on-Exception vs. Human-in-the-Loop: The Real Governance Upgrade</w:t>
      </w:r>
      <w:r w:rsidDel="00000000" w:rsidR="00000000" w:rsidRPr="00000000">
        <w:rPr>
          <w:rtl w:val="0"/>
        </w:rPr>
      </w:r>
    </w:p>
    <w:p w:rsidR="00000000" w:rsidDel="00000000" w:rsidP="00000000" w:rsidRDefault="00000000" w:rsidRPr="00000000" w14:paraId="00000015">
      <w:pPr>
        <w:spacing w:after="210" w:line="360" w:lineRule="auto"/>
        <w:rPr/>
      </w:pPr>
      <w:r w:rsidDel="00000000" w:rsidR="00000000" w:rsidRPr="00000000">
        <w:rPr>
          <w:rFonts w:ascii="Inter" w:cs="Inter" w:eastAsia="Inter" w:hAnsi="Inter"/>
          <w:color w:val="000000"/>
          <w:rtl w:val="0"/>
        </w:rPr>
        <w:t xml:space="preserve">Challenge conventional wisdom about human oversight in AI systems. Discuss when continuous human involvement becomes theater versus meaningful intervention, and how to design exception-based governance.</w:t>
      </w:r>
      <w:hyperlink w:anchor="8t4z4e7kxug4">
        <w:r w:rsidDel="00000000" w:rsidR="00000000" w:rsidRPr="00000000">
          <w:rPr>
            <w:rFonts w:ascii="Inter" w:cs="Inter" w:eastAsia="Inter" w:hAnsi="Inter"/>
            <w:color w:val="000000"/>
            <w:u w:val="single"/>
            <w:vertAlign w:val="superscript"/>
            <w:rtl w:val="0"/>
          </w:rPr>
          <w:t xml:space="preserve">[1]</w:t>
        </w:r>
      </w:hyperlink>
      <w:r w:rsidDel="00000000" w:rsidR="00000000" w:rsidRPr="00000000">
        <w:rPr>
          <w:rtl w:val="0"/>
        </w:rPr>
      </w:r>
    </w:p>
    <w:p w:rsidR="00000000" w:rsidDel="00000000" w:rsidP="00000000" w:rsidRDefault="00000000" w:rsidRPr="00000000" w14:paraId="00000016">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8" name=""/>
                <a:graphic>
                  <a:graphicData uri="http://schemas.microsoft.com/office/word/2010/wordprocessingShape">
                    <wps:wsp>
                      <wps:cNvSpPr/>
                      <wps:cNvPr id="9" name="Shape 9"/>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7">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Strategic &amp; Executive Topics</w:t>
      </w:r>
      <w:r w:rsidDel="00000000" w:rsidR="00000000" w:rsidRPr="00000000">
        <w:rPr>
          <w:rtl w:val="0"/>
        </w:rPr>
      </w:r>
    </w:p>
    <w:p w:rsidR="00000000" w:rsidDel="00000000" w:rsidP="00000000" w:rsidRDefault="00000000" w:rsidRPr="00000000" w14:paraId="00000018">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8. AI Governance as Fiduciary Duty: What Boards Need to Know</w:t>
      </w:r>
      <w:r w:rsidDel="00000000" w:rsidR="00000000" w:rsidRPr="00000000">
        <w:rPr>
          <w:rtl w:val="0"/>
        </w:rPr>
      </w:r>
    </w:p>
    <w:p w:rsidR="00000000" w:rsidDel="00000000" w:rsidP="00000000" w:rsidRDefault="00000000" w:rsidRPr="00000000" w14:paraId="00000019">
      <w:pPr>
        <w:spacing w:after="210" w:line="360" w:lineRule="auto"/>
        <w:rPr/>
      </w:pPr>
      <w:r w:rsidDel="00000000" w:rsidR="00000000" w:rsidRPr="00000000">
        <w:rPr>
          <w:rFonts w:ascii="Inter" w:cs="Inter" w:eastAsia="Inter" w:hAnsi="Inter"/>
          <w:color w:val="000000"/>
          <w:rtl w:val="0"/>
        </w:rPr>
        <w:t xml:space="preserve">Address the SEC's increasing scrutiny of AI risk disclosure and why defensible governance architecture is now a fiduciary necessity. Only 22% of enterprises in 2025 had a visible, defined AI governance strategy.</w:t>
      </w:r>
      <w:hyperlink w:anchor="82s79ev7an73">
        <w:r w:rsidDel="00000000" w:rsidR="00000000" w:rsidRPr="00000000">
          <w:rPr>
            <w:rFonts w:ascii="Inter" w:cs="Inter" w:eastAsia="Inter" w:hAnsi="Inter"/>
            <w:color w:val="000000"/>
            <w:u w:val="single"/>
            <w:vertAlign w:val="superscript"/>
            <w:rtl w:val="0"/>
          </w:rPr>
          <w:t xml:space="preserve">[2]</w:t>
        </w:r>
      </w:hyperlink>
      <w:r w:rsidDel="00000000" w:rsidR="00000000" w:rsidRPr="00000000">
        <w:rPr>
          <w:rtl w:val="0"/>
        </w:rPr>
      </w:r>
    </w:p>
    <w:p w:rsidR="00000000" w:rsidDel="00000000" w:rsidP="00000000" w:rsidRDefault="00000000" w:rsidRPr="00000000" w14:paraId="0000001A">
      <w:pPr>
        <w:spacing w:after="105" w:before="315" w:line="360" w:lineRule="auto"/>
        <w:ind w:left="-30" w:firstLine="0"/>
        <w:jc w:val="left"/>
        <w:rPr>
          <w:rFonts w:ascii="Inter" w:cs="Inter" w:eastAsia="Inter" w:hAnsi="Inter"/>
          <w:b w:val="1"/>
          <w:bCs w:val="1"/>
          <w:sz w:val="24"/>
          <w:szCs w:val="24"/>
        </w:rPr>
      </w:pPr>
      <w:r w:rsidDel="00000000" w:rsidR="00000000" w:rsidRPr="00000000">
        <w:rPr>
          <w:rtl w:val="0"/>
        </w:rPr>
      </w:r>
    </w:p>
    <w:p w:rsidR="00000000" w:rsidDel="00000000" w:rsidP="00000000" w:rsidRDefault="00000000" w:rsidRPr="00000000" w14:paraId="0000001B">
      <w:pPr>
        <w:spacing w:after="105" w:before="315" w:line="360" w:lineRule="auto"/>
        <w:ind w:left="-30" w:firstLine="0"/>
        <w:jc w:val="left"/>
        <w:rPr>
          <w:rFonts w:ascii="Inter" w:cs="Inter" w:eastAsia="Inter" w:hAnsi="Inter"/>
          <w:b w:val="1"/>
          <w:bCs w:val="1"/>
          <w:sz w:val="24"/>
          <w:szCs w:val="24"/>
        </w:rPr>
      </w:pPr>
      <w:r w:rsidDel="00000000" w:rsidR="00000000" w:rsidRPr="00000000">
        <w:rPr>
          <w:rtl w:val="0"/>
        </w:rPr>
      </w:r>
    </w:p>
    <w:p w:rsidR="00000000" w:rsidDel="00000000" w:rsidP="00000000" w:rsidRDefault="00000000" w:rsidRPr="00000000" w14:paraId="0000001C">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9. The Transparency Paradox: Rhetoric vs. Proprietary Infrastructure</w:t>
      </w:r>
      <w:r w:rsidDel="00000000" w:rsidR="00000000" w:rsidRPr="00000000">
        <w:rPr>
          <w:rtl w:val="0"/>
        </w:rPr>
      </w:r>
    </w:p>
    <w:p w:rsidR="00000000" w:rsidDel="00000000" w:rsidP="00000000" w:rsidRDefault="00000000" w:rsidRPr="00000000" w14:paraId="0000001D">
      <w:pPr>
        <w:spacing w:after="210" w:line="360" w:lineRule="auto"/>
        <w:rPr/>
      </w:pPr>
      <w:r w:rsidDel="00000000" w:rsidR="00000000" w:rsidRPr="00000000">
        <w:rPr>
          <w:rFonts w:ascii="Inter" w:cs="Inter" w:eastAsia="Inter" w:hAnsi="Inter"/>
          <w:color w:val="000000"/>
          <w:rtl w:val="0"/>
        </w:rPr>
        <w:t xml:space="preserve">Unpack the common corporate rhetoric around AI transparency and how it clashes with building agents on opaque, proprietary platforms. What "explainable AI" actually requires operationally.</w:t>
      </w:r>
      <w:hyperlink w:anchor="8t4z4e7kxug4">
        <w:r w:rsidDel="00000000" w:rsidR="00000000" w:rsidRPr="00000000">
          <w:rPr>
            <w:rFonts w:ascii="Inter" w:cs="Inter" w:eastAsia="Inter" w:hAnsi="Inter"/>
            <w:color w:val="000000"/>
            <w:u w:val="single"/>
            <w:vertAlign w:val="superscript"/>
            <w:rtl w:val="0"/>
          </w:rPr>
          <w:t xml:space="preserve">[1]</w:t>
        </w:r>
      </w:hyperlink>
      <w:r w:rsidDel="00000000" w:rsidR="00000000" w:rsidRPr="00000000">
        <w:rPr>
          <w:rtl w:val="0"/>
        </w:rPr>
      </w:r>
    </w:p>
    <w:p w:rsidR="00000000" w:rsidDel="00000000" w:rsidP="00000000" w:rsidRDefault="00000000" w:rsidRPr="00000000" w14:paraId="0000001E">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10. Kill-Switches Aren't Optional: Non-Negotiable Governance Mechanisms</w:t>
      </w:r>
      <w:r w:rsidDel="00000000" w:rsidR="00000000" w:rsidRPr="00000000">
        <w:rPr>
          <w:rtl w:val="0"/>
        </w:rPr>
      </w:r>
    </w:p>
    <w:p w:rsidR="00000000" w:rsidDel="00000000" w:rsidP="00000000" w:rsidRDefault="00000000" w:rsidRPr="00000000" w14:paraId="0000001F">
      <w:pPr>
        <w:spacing w:after="210" w:line="360" w:lineRule="auto"/>
        <w:rPr/>
      </w:pPr>
      <w:r w:rsidDel="00000000" w:rsidR="00000000" w:rsidRPr="00000000">
        <w:rPr>
          <w:rFonts w:ascii="Inter" w:cs="Inter" w:eastAsia="Inter" w:hAnsi="Inter"/>
          <w:color w:val="000000"/>
          <w:rtl w:val="0"/>
        </w:rPr>
        <w:t xml:space="preserve">Make the case for mandatory halt mechanisms in agentic systems. Explore what triggers should exist, who controls them, and how they provide a guaranteed backstop for autonomy-governance tensions.</w:t>
      </w:r>
      <w:hyperlink w:anchor="8t4z4e7kxug4">
        <w:r w:rsidDel="00000000" w:rsidR="00000000" w:rsidRPr="00000000">
          <w:rPr>
            <w:rFonts w:ascii="Inter" w:cs="Inter" w:eastAsia="Inter" w:hAnsi="Inter"/>
            <w:color w:val="000000"/>
            <w:u w:val="single"/>
            <w:vertAlign w:val="superscript"/>
            <w:rtl w:val="0"/>
          </w:rPr>
          <w:t xml:space="preserve">[1]</w:t>
        </w:r>
      </w:hyperlink>
      <w:r w:rsidDel="00000000" w:rsidR="00000000" w:rsidRPr="00000000">
        <w:rPr>
          <w:rtl w:val="0"/>
        </w:rPr>
      </w:r>
    </w:p>
    <w:p w:rsidR="00000000" w:rsidDel="00000000" w:rsidP="00000000" w:rsidRDefault="00000000" w:rsidRPr="00000000" w14:paraId="00000020">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7" name=""/>
                <a:graphic>
                  <a:graphicData uri="http://schemas.microsoft.com/office/word/2010/wordprocessingShape">
                    <wps:wsp>
                      <wps:cNvSpPr/>
                      <wps:cNvPr id="8" name="Shape 8"/>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1">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Technical &amp; Implementation Focus</w:t>
      </w:r>
      <w:r w:rsidDel="00000000" w:rsidR="00000000" w:rsidRPr="00000000">
        <w:rPr>
          <w:rtl w:val="0"/>
        </w:rPr>
      </w:r>
    </w:p>
    <w:p w:rsidR="00000000" w:rsidDel="00000000" w:rsidP="00000000" w:rsidRDefault="00000000" w:rsidRPr="00000000" w14:paraId="00000022">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11. The FP Calibration Moat: Network Effects in Governance Tooling</w:t>
      </w:r>
      <w:r w:rsidDel="00000000" w:rsidR="00000000" w:rsidRPr="00000000">
        <w:rPr>
          <w:rtl w:val="0"/>
        </w:rPr>
      </w:r>
    </w:p>
    <w:p w:rsidR="00000000" w:rsidDel="00000000" w:rsidP="00000000" w:rsidRDefault="00000000" w:rsidRPr="00000000" w14:paraId="00000023">
      <w:pPr>
        <w:spacing w:after="210" w:line="360" w:lineRule="auto"/>
        <w:rPr/>
      </w:pPr>
      <w:r w:rsidDel="00000000" w:rsidR="00000000" w:rsidRPr="00000000">
        <w:rPr>
          <w:rFonts w:ascii="Inter" w:cs="Inter" w:eastAsia="Inter" w:hAnsi="Inter"/>
          <w:color w:val="000000"/>
          <w:rtl w:val="0"/>
        </w:rPr>
        <w:t xml:space="preserve">Discuss how aggregated false-positive rates across customers create increasingly accurate rule thresholds that self-hosted users cannot replicate—and the privacy/competitive concerns around calibration data pooling.</w:t>
      </w:r>
      <w:hyperlink w:anchor="ubtq5unh4927">
        <w:r w:rsidDel="00000000" w:rsidR="00000000" w:rsidRPr="00000000">
          <w:rPr>
            <w:rFonts w:ascii="Inter" w:cs="Inter" w:eastAsia="Inter" w:hAnsi="Inter"/>
            <w:color w:val="000000"/>
            <w:u w:val="single"/>
            <w:vertAlign w:val="superscript"/>
            <w:rtl w:val="0"/>
          </w:rPr>
          <w:t xml:space="preserve">[3]</w:t>
        </w:r>
      </w:hyperlink>
      <w:r w:rsidDel="00000000" w:rsidR="00000000" w:rsidRPr="00000000">
        <w:rPr>
          <w:rtl w:val="0"/>
        </w:rPr>
      </w:r>
    </w:p>
    <w:p w:rsidR="00000000" w:rsidDel="00000000" w:rsidP="00000000" w:rsidRDefault="00000000" w:rsidRPr="00000000" w14:paraId="00000024">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12. Open-Core AI Governance: Where Community Ends and Enterprise Begins</w:t>
      </w:r>
      <w:r w:rsidDel="00000000" w:rsidR="00000000" w:rsidRPr="00000000">
        <w:rPr>
          <w:rtl w:val="0"/>
        </w:rPr>
      </w:r>
    </w:p>
    <w:p w:rsidR="00000000" w:rsidDel="00000000" w:rsidP="00000000" w:rsidRDefault="00000000" w:rsidRPr="00000000" w14:paraId="00000025">
      <w:pPr>
        <w:spacing w:after="210" w:line="360" w:lineRule="auto"/>
        <w:rPr/>
      </w:pPr>
      <w:r w:rsidDel="00000000" w:rsidR="00000000" w:rsidRPr="00000000">
        <w:rPr>
          <w:rFonts w:ascii="Inter" w:cs="Inter" w:eastAsia="Inter" w:hAnsi="Inter"/>
          <w:color w:val="000000"/>
          <w:rtl w:val="0"/>
        </w:rPr>
        <w:t xml:space="preserve">Explore the Phase Mirror open-core strategy—what stays Apache 2.0, what becomes proprietary, and why the boundary must ensure the OSS version "solves a complete problem without Pro."</w:t>
      </w:r>
      <w:hyperlink w:anchor="ubtq5unh4927">
        <w:r w:rsidDel="00000000" w:rsidR="00000000" w:rsidRPr="00000000">
          <w:rPr>
            <w:rFonts w:ascii="Inter" w:cs="Inter" w:eastAsia="Inter" w:hAnsi="Inter"/>
            <w:color w:val="000000"/>
            <w:u w:val="single"/>
            <w:vertAlign w:val="superscript"/>
            <w:rtl w:val="0"/>
          </w:rPr>
          <w:t xml:space="preserve">[3]</w:t>
        </w:r>
      </w:hyperlink>
      <w:r w:rsidDel="00000000" w:rsidR="00000000" w:rsidRPr="00000000">
        <w:rPr>
          <w:rtl w:val="0"/>
        </w:rPr>
      </w:r>
    </w:p>
    <w:p w:rsidR="00000000" w:rsidDel="00000000" w:rsidP="00000000" w:rsidRDefault="00000000" w:rsidRPr="00000000" w14:paraId="00000026">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13. Schema Drift and Sync Tax: The Hidden Cost of Governance Tooling</w:t>
      </w:r>
      <w:r w:rsidDel="00000000" w:rsidR="00000000" w:rsidRPr="00000000">
        <w:rPr>
          <w:rtl w:val="0"/>
        </w:rPr>
      </w:r>
    </w:p>
    <w:p w:rsidR="00000000" w:rsidDel="00000000" w:rsidP="00000000" w:rsidRDefault="00000000" w:rsidRPr="00000000" w14:paraId="00000027">
      <w:pPr>
        <w:spacing w:after="210" w:line="360" w:lineRule="auto"/>
        <w:rPr/>
      </w:pPr>
      <w:r w:rsidDel="00000000" w:rsidR="00000000" w:rsidRPr="00000000">
        <w:rPr>
          <w:rFonts w:ascii="Inter" w:cs="Inter" w:eastAsia="Inter" w:hAnsi="Inter"/>
          <w:color w:val="000000"/>
          <w:rtl w:val="0"/>
        </w:rPr>
        <w:t xml:space="preserve">Technical deep-dive into maintaining consistency between open-source and proprietary components, why schema versioning must be shared, and how to prevent CI/CD drift.</w:t>
      </w:r>
      <w:hyperlink w:anchor="ubtq5unh4927">
        <w:r w:rsidDel="00000000" w:rsidR="00000000" w:rsidRPr="00000000">
          <w:rPr>
            <w:rFonts w:ascii="Inter" w:cs="Inter" w:eastAsia="Inter" w:hAnsi="Inter"/>
            <w:color w:val="000000"/>
            <w:u w:val="single"/>
            <w:vertAlign w:val="superscript"/>
            <w:rtl w:val="0"/>
          </w:rPr>
          <w:t xml:space="preserve">[3]</w:t>
        </w:r>
      </w:hyperlink>
      <w:r w:rsidDel="00000000" w:rsidR="00000000" w:rsidRPr="00000000">
        <w:rPr>
          <w:rtl w:val="0"/>
        </w:rPr>
      </w:r>
    </w:p>
    <w:p w:rsidR="00000000" w:rsidDel="00000000" w:rsidP="00000000" w:rsidRDefault="00000000" w:rsidRPr="00000000" w14:paraId="00000028">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3" name=""/>
                <a:graphic>
                  <a:graphicData uri="http://schemas.microsoft.com/office/word/2010/wordprocessingShape">
                    <wps:wsp>
                      <wps:cNvSpPr/>
                      <wps:cNvPr id="4" name="Shape 4"/>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9">
      <w:pPr>
        <w:spacing w:after="105" w:before="315" w:line="360" w:lineRule="auto"/>
        <w:ind w:left="-30" w:firstLine="0"/>
        <w:jc w:val="left"/>
        <w:rPr>
          <w:rFonts w:ascii="Inter" w:cs="Inter" w:eastAsia="Inter" w:hAnsi="Inter"/>
          <w:b w:val="1"/>
          <w:bCs w:val="1"/>
          <w:sz w:val="24"/>
          <w:szCs w:val="24"/>
        </w:rPr>
      </w:pPr>
      <w:r w:rsidDel="00000000" w:rsidR="00000000" w:rsidRPr="00000000">
        <w:rPr>
          <w:rtl w:val="0"/>
        </w:rPr>
      </w:r>
    </w:p>
    <w:p w:rsidR="00000000" w:rsidDel="00000000" w:rsidP="00000000" w:rsidRDefault="00000000" w:rsidRPr="00000000" w14:paraId="0000002A">
      <w:pPr>
        <w:spacing w:after="105" w:before="315" w:line="360" w:lineRule="auto"/>
        <w:ind w:left="-30" w:firstLine="0"/>
        <w:jc w:val="left"/>
        <w:rPr>
          <w:rFonts w:ascii="Inter" w:cs="Inter" w:eastAsia="Inter" w:hAnsi="Inter"/>
          <w:b w:val="1"/>
          <w:bCs w:val="1"/>
          <w:sz w:val="24"/>
          <w:szCs w:val="24"/>
        </w:rPr>
      </w:pPr>
      <w:r w:rsidDel="00000000" w:rsidR="00000000" w:rsidRPr="00000000">
        <w:rPr>
          <w:rtl w:val="0"/>
        </w:rPr>
      </w:r>
    </w:p>
    <w:p w:rsidR="00000000" w:rsidDel="00000000" w:rsidP="00000000" w:rsidRDefault="00000000" w:rsidRPr="00000000" w14:paraId="0000002B">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Industry-Specific Episodes</w:t>
      </w:r>
      <w:r w:rsidDel="00000000" w:rsidR="00000000" w:rsidRPr="00000000">
        <w:rPr>
          <w:rtl w:val="0"/>
        </w:rPr>
      </w:r>
    </w:p>
    <w:p w:rsidR="00000000" w:rsidDel="00000000" w:rsidP="00000000" w:rsidRDefault="00000000" w:rsidRPr="00000000" w14:paraId="0000002C">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14. Financial Services: SEC AI Disclosure and Fair Lending Under Agentic Systems</w:t>
      </w:r>
      <w:r w:rsidDel="00000000" w:rsidR="00000000" w:rsidRPr="00000000">
        <w:rPr>
          <w:rtl w:val="0"/>
        </w:rPr>
      </w:r>
    </w:p>
    <w:p w:rsidR="00000000" w:rsidDel="00000000" w:rsidP="00000000" w:rsidRDefault="00000000" w:rsidRPr="00000000" w14:paraId="0000002D">
      <w:pPr>
        <w:spacing w:after="210" w:line="360" w:lineRule="auto"/>
        <w:rPr/>
      </w:pPr>
      <w:r w:rsidDel="00000000" w:rsidR="00000000" w:rsidRPr="00000000">
        <w:rPr>
          <w:rFonts w:ascii="Inter" w:cs="Inter" w:eastAsia="Inter" w:hAnsi="Inter"/>
          <w:color w:val="000000"/>
          <w:rtl w:val="0"/>
        </w:rPr>
        <w:t xml:space="preserve">Focus on financial services compliance challenges—model risk management (SR 11-7), fair lending rules, and how probabilistic AI outputs map to regulatory requirements.</w:t>
      </w:r>
      <w:hyperlink w:anchor="57baz1kh8oc2">
        <w:r w:rsidDel="00000000" w:rsidR="00000000" w:rsidRPr="00000000">
          <w:rPr>
            <w:rFonts w:ascii="Inter" w:cs="Inter" w:eastAsia="Inter" w:hAnsi="Inter"/>
            <w:color w:val="000000"/>
            <w:u w:val="single"/>
            <w:vertAlign w:val="superscript"/>
            <w:rtl w:val="0"/>
          </w:rPr>
          <w:t xml:space="preserve">[4]</w:t>
        </w:r>
      </w:hyperlink>
      <w:r w:rsidDel="00000000" w:rsidR="00000000" w:rsidRPr="00000000">
        <w:rPr>
          <w:rtl w:val="0"/>
        </w:rPr>
      </w:r>
    </w:p>
    <w:p w:rsidR="00000000" w:rsidDel="00000000" w:rsidP="00000000" w:rsidRDefault="00000000" w:rsidRPr="00000000" w14:paraId="0000002E">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15. Healthcare AI: HIPAA Provisions and Clinical Decision Support Governance</w:t>
      </w:r>
      <w:r w:rsidDel="00000000" w:rsidR="00000000" w:rsidRPr="00000000">
        <w:rPr>
          <w:rtl w:val="0"/>
        </w:rPr>
      </w:r>
    </w:p>
    <w:p w:rsidR="00000000" w:rsidDel="00000000" w:rsidP="00000000" w:rsidRDefault="00000000" w:rsidRPr="00000000" w14:paraId="0000002F">
      <w:pPr>
        <w:spacing w:after="210" w:line="360" w:lineRule="auto"/>
        <w:rPr/>
      </w:pPr>
      <w:r w:rsidDel="00000000" w:rsidR="00000000" w:rsidRPr="00000000">
        <w:rPr>
          <w:rFonts w:ascii="Inter" w:cs="Inter" w:eastAsia="Inter" w:hAnsi="Inter"/>
          <w:color w:val="000000"/>
          <w:rtl w:val="0"/>
        </w:rPr>
        <w:t xml:space="preserve">Address the unique governance challenges in healthcare—HIPAA AI provisions, FDA SaMD guidance, and the stakes of getting the compliance-accuracy tradeoff wrong in clinical settings.</w:t>
      </w:r>
      <w:hyperlink w:anchor="57baz1kh8oc2">
        <w:r w:rsidDel="00000000" w:rsidR="00000000" w:rsidRPr="00000000">
          <w:rPr>
            <w:rFonts w:ascii="Inter" w:cs="Inter" w:eastAsia="Inter" w:hAnsi="Inter"/>
            <w:color w:val="000000"/>
            <w:u w:val="single"/>
            <w:vertAlign w:val="superscript"/>
            <w:rtl w:val="0"/>
          </w:rPr>
          <w:t xml:space="preserve">[4]</w:t>
        </w:r>
      </w:hyperlink>
      <w:r w:rsidDel="00000000" w:rsidR="00000000" w:rsidRPr="00000000">
        <w:rPr>
          <w:rtl w:val="0"/>
        </w:rPr>
      </w:r>
    </w:p>
    <w:p w:rsidR="00000000" w:rsidDel="00000000" w:rsidP="00000000" w:rsidRDefault="00000000" w:rsidRPr="00000000" w14:paraId="00000030">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16. EU AI Act Readiness: Risk Classification for Agentic Systems</w:t>
      </w:r>
      <w:r w:rsidDel="00000000" w:rsidR="00000000" w:rsidRPr="00000000">
        <w:rPr>
          <w:rtl w:val="0"/>
        </w:rPr>
      </w:r>
    </w:p>
    <w:p w:rsidR="00000000" w:rsidDel="00000000" w:rsidP="00000000" w:rsidRDefault="00000000" w:rsidRPr="00000000" w14:paraId="00000031">
      <w:pPr>
        <w:spacing w:after="210" w:line="360" w:lineRule="auto"/>
        <w:rPr/>
      </w:pPr>
      <w:r w:rsidDel="00000000" w:rsidR="00000000" w:rsidRPr="00000000">
        <w:rPr>
          <w:rFonts w:ascii="Inter" w:cs="Inter" w:eastAsia="Inter" w:hAnsi="Inter"/>
          <w:color w:val="000000"/>
          <w:rtl w:val="0"/>
        </w:rPr>
        <w:t xml:space="preserve">Walkthrough the EU AI Act's risk classification engine, conformity assessment requirements, and what "high-risk AI" documentation actually demands.</w:t>
      </w:r>
      <w:hyperlink w:anchor="57baz1kh8oc2">
        <w:r w:rsidDel="00000000" w:rsidR="00000000" w:rsidRPr="00000000">
          <w:rPr>
            <w:rFonts w:ascii="Inter" w:cs="Inter" w:eastAsia="Inter" w:hAnsi="Inter"/>
            <w:color w:val="000000"/>
            <w:u w:val="single"/>
            <w:vertAlign w:val="superscript"/>
            <w:rtl w:val="0"/>
          </w:rPr>
          <w:t xml:space="preserve">[4]</w:t>
        </w:r>
      </w:hyperlink>
      <w:r w:rsidDel="00000000" w:rsidR="00000000" w:rsidRPr="00000000">
        <w:rPr>
          <w:rtl w:val="0"/>
        </w:rPr>
      </w:r>
    </w:p>
    <w:p w:rsidR="00000000" w:rsidDel="00000000" w:rsidP="00000000" w:rsidRDefault="00000000" w:rsidRPr="00000000" w14:paraId="00000032">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2" name=""/>
                <a:graphic>
                  <a:graphicData uri="http://schemas.microsoft.com/office/word/2010/wordprocessingShape">
                    <wps:wsp>
                      <wps:cNvSpPr/>
                      <wps:cNvPr id="3" name="Shape 3"/>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3">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Practitioner &amp; Culture Topics</w:t>
      </w:r>
      <w:r w:rsidDel="00000000" w:rsidR="00000000" w:rsidRPr="00000000">
        <w:rPr>
          <w:rtl w:val="0"/>
        </w:rPr>
      </w:r>
    </w:p>
    <w:p w:rsidR="00000000" w:rsidDel="00000000" w:rsidP="00000000" w:rsidRDefault="00000000" w:rsidRPr="00000000" w14:paraId="00000034">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17. Multiplicity Theory and Phase Mirror: Surfacing Productive Contradictions</w:t>
      </w:r>
      <w:r w:rsidDel="00000000" w:rsidR="00000000" w:rsidRPr="00000000">
        <w:rPr>
          <w:rtl w:val="0"/>
        </w:rPr>
      </w:r>
    </w:p>
    <w:p w:rsidR="00000000" w:rsidDel="00000000" w:rsidP="00000000" w:rsidRDefault="00000000" w:rsidRPr="00000000" w14:paraId="00000035">
      <w:pPr>
        <w:spacing w:after="210" w:line="360" w:lineRule="auto"/>
        <w:rPr/>
      </w:pPr>
      <w:r w:rsidDel="00000000" w:rsidR="00000000" w:rsidRPr="00000000">
        <w:rPr>
          <w:rFonts w:ascii="Inter" w:cs="Inter" w:eastAsia="Inter" w:hAnsi="Inter"/>
          <w:color w:val="000000"/>
          <w:rtl w:val="0"/>
        </w:rPr>
        <w:t xml:space="preserve">Connect the Phase Mirror methodology to broader multiplicity concepts—how multiple valid interpretations can coexist and why forcing premature resolution destroys organizational intelligence.</w:t>
      </w:r>
      <w:r w:rsidDel="00000000" w:rsidR="00000000" w:rsidRPr="00000000">
        <w:rPr>
          <w:rtl w:val="0"/>
        </w:rPr>
      </w:r>
    </w:p>
    <w:p w:rsidR="00000000" w:rsidDel="00000000" w:rsidP="00000000" w:rsidRDefault="00000000" w:rsidRPr="00000000" w14:paraId="00000036">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18. The Diagnostic Before the Roadmap: Why Most AI Strategies Fail</w:t>
      </w:r>
      <w:r w:rsidDel="00000000" w:rsidR="00000000" w:rsidRPr="00000000">
        <w:rPr>
          <w:rtl w:val="0"/>
        </w:rPr>
      </w:r>
    </w:p>
    <w:p w:rsidR="00000000" w:rsidDel="00000000" w:rsidP="00000000" w:rsidRDefault="00000000" w:rsidRPr="00000000" w14:paraId="00000037">
      <w:pPr>
        <w:spacing w:after="210" w:line="360" w:lineRule="auto"/>
        <w:rPr/>
      </w:pPr>
      <w:r w:rsidDel="00000000" w:rsidR="00000000" w:rsidRPr="00000000">
        <w:rPr>
          <w:rFonts w:ascii="Inter" w:cs="Inter" w:eastAsia="Inter" w:hAnsi="Inter"/>
          <w:color w:val="000000"/>
          <w:rtl w:val="0"/>
        </w:rPr>
        <w:t xml:space="preserve">Argue that organizations jump to solutions before properly diagnosing tensions. Introduce the 5-step PMD operating loop: Extract → Map Tensions → Rank → Produce Output → Precision Question.</w:t>
      </w:r>
      <w:hyperlink w:anchor="8t4z4e7kxug4">
        <w:r w:rsidDel="00000000" w:rsidR="00000000" w:rsidRPr="00000000">
          <w:rPr>
            <w:rFonts w:ascii="Inter" w:cs="Inter" w:eastAsia="Inter" w:hAnsi="Inter"/>
            <w:color w:val="000000"/>
            <w:u w:val="single"/>
            <w:vertAlign w:val="superscript"/>
            <w:rtl w:val="0"/>
          </w:rPr>
          <w:t xml:space="preserve">[1]</w:t>
        </w:r>
      </w:hyperlink>
      <w:r w:rsidDel="00000000" w:rsidR="00000000" w:rsidRPr="00000000">
        <w:rPr>
          <w:rtl w:val="0"/>
        </w:rPr>
      </w:r>
    </w:p>
    <w:p w:rsidR="00000000" w:rsidDel="00000000" w:rsidP="00000000" w:rsidRDefault="00000000" w:rsidRPr="00000000" w14:paraId="00000038">
      <w:pPr>
        <w:spacing w:after="105" w:before="315" w:line="360" w:lineRule="auto"/>
        <w:ind w:left="-30" w:firstLine="0"/>
        <w:jc w:val="left"/>
        <w:rPr>
          <w:rFonts w:ascii="Inter" w:cs="Inter" w:eastAsia="Inter" w:hAnsi="Inter"/>
          <w:b w:val="1"/>
          <w:bCs w:val="1"/>
          <w:sz w:val="24"/>
          <w:szCs w:val="24"/>
        </w:rPr>
      </w:pPr>
      <w:r w:rsidDel="00000000" w:rsidR="00000000" w:rsidRPr="00000000">
        <w:rPr>
          <w:rtl w:val="0"/>
        </w:rPr>
      </w:r>
    </w:p>
    <w:p w:rsidR="00000000" w:rsidDel="00000000" w:rsidP="00000000" w:rsidRDefault="00000000" w:rsidRPr="00000000" w14:paraId="00000039">
      <w:pPr>
        <w:spacing w:after="105" w:before="315" w:line="360" w:lineRule="auto"/>
        <w:ind w:left="-30" w:firstLine="0"/>
        <w:jc w:val="left"/>
        <w:rPr>
          <w:rFonts w:ascii="Inter" w:cs="Inter" w:eastAsia="Inter" w:hAnsi="Inter"/>
          <w:b w:val="1"/>
          <w:bCs w:val="1"/>
          <w:sz w:val="24"/>
          <w:szCs w:val="24"/>
        </w:rPr>
      </w:pPr>
      <w:r w:rsidDel="00000000" w:rsidR="00000000" w:rsidRPr="00000000">
        <w:rPr>
          <w:rtl w:val="0"/>
        </w:rPr>
      </w:r>
    </w:p>
    <w:p w:rsidR="00000000" w:rsidDel="00000000" w:rsidP="00000000" w:rsidRDefault="00000000" w:rsidRPr="00000000" w14:paraId="0000003A">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19. Levers, Owners, Metrics, Horizons: The Anatomy of Actionable Governance</w:t>
      </w:r>
      <w:r w:rsidDel="00000000" w:rsidR="00000000" w:rsidRPr="00000000">
        <w:rPr>
          <w:rtl w:val="0"/>
        </w:rPr>
      </w:r>
    </w:p>
    <w:p w:rsidR="00000000" w:rsidDel="00000000" w:rsidP="00000000" w:rsidRDefault="00000000" w:rsidRPr="00000000" w14:paraId="0000003B">
      <w:pPr>
        <w:spacing w:after="210" w:line="360" w:lineRule="auto"/>
        <w:rPr/>
      </w:pPr>
      <w:r w:rsidDel="00000000" w:rsidR="00000000" w:rsidRPr="00000000">
        <w:rPr>
          <w:rFonts w:ascii="Inter" w:cs="Inter" w:eastAsia="Inter" w:hAnsi="Inter"/>
          <w:color w:val="000000"/>
          <w:rtl w:val="0"/>
        </w:rPr>
        <w:t xml:space="preserve">Break down the Phase Mirror output format—why every lever needs a named owner, measurable metric, and defined horizon, and how this prevents governance from becoming "shelf-ware."</w:t>
      </w:r>
      <w:hyperlink w:anchor="8t4z4e7kxug4">
        <w:r w:rsidDel="00000000" w:rsidR="00000000" w:rsidRPr="00000000">
          <w:rPr>
            <w:rFonts w:ascii="Inter" w:cs="Inter" w:eastAsia="Inter" w:hAnsi="Inter"/>
            <w:color w:val="000000"/>
            <w:u w:val="single"/>
            <w:vertAlign w:val="superscript"/>
            <w:rtl w:val="0"/>
          </w:rPr>
          <w:t xml:space="preserve">[1]</w:t>
        </w:r>
      </w:hyperlink>
      <w:r w:rsidDel="00000000" w:rsidR="00000000" w:rsidRPr="00000000">
        <w:rPr>
          <w:rtl w:val="0"/>
        </w:rPr>
      </w:r>
    </w:p>
    <w:p w:rsidR="00000000" w:rsidDel="00000000" w:rsidP="00000000" w:rsidRDefault="00000000" w:rsidRPr="00000000" w14:paraId="0000003C">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20. Guest Interview: CTO/CISO/CCO on Real-World Agentic AI Governance</w:t>
      </w:r>
      <w:r w:rsidDel="00000000" w:rsidR="00000000" w:rsidRPr="00000000">
        <w:rPr>
          <w:rtl w:val="0"/>
        </w:rPr>
      </w:r>
    </w:p>
    <w:p w:rsidR="00000000" w:rsidDel="00000000" w:rsidP="00000000" w:rsidRDefault="00000000" w:rsidRPr="00000000" w14:paraId="0000003D">
      <w:pPr>
        <w:spacing w:after="210" w:line="360" w:lineRule="auto"/>
        <w:rPr/>
      </w:pPr>
      <w:r w:rsidDel="00000000" w:rsidR="00000000" w:rsidRPr="00000000">
        <w:rPr>
          <w:rFonts w:ascii="Inter" w:cs="Inter" w:eastAsia="Inter" w:hAnsi="Inter"/>
          <w:color w:val="000000"/>
          <w:rtl w:val="0"/>
        </w:rPr>
        <w:t xml:space="preserve">Interview format exploring how practitioners are actually managing autonomy-governance tensions, what's working, and where Phase Mirror methodology addresses gaps.</w:t>
      </w:r>
      <w:r w:rsidDel="00000000" w:rsidR="00000000" w:rsidRPr="00000000">
        <w:rPr>
          <w:rtl w:val="0"/>
        </w:rPr>
      </w:r>
    </w:p>
    <w:p w:rsidR="00000000" w:rsidDel="00000000" w:rsidP="00000000" w:rsidRDefault="00000000" w:rsidRPr="00000000" w14:paraId="0000003E">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5" name=""/>
                <a:graphic>
                  <a:graphicData uri="http://schemas.microsoft.com/office/word/2010/wordprocessingShape">
                    <wps:wsp>
                      <wps:cNvSpPr/>
                      <wps:cNvPr id="6" name="Shape 6"/>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F">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Provocative/Contrarian Episodes</w:t>
      </w:r>
      <w:r w:rsidDel="00000000" w:rsidR="00000000" w:rsidRPr="00000000">
        <w:rPr>
          <w:rtl w:val="0"/>
        </w:rPr>
      </w:r>
    </w:p>
    <w:p w:rsidR="00000000" w:rsidDel="00000000" w:rsidP="00000000" w:rsidRDefault="00000000" w:rsidRPr="00000000" w14:paraId="00000040">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21. Your GRC Platform Can't Govern Agentic AI (And That's By Design)</w:t>
      </w:r>
      <w:r w:rsidDel="00000000" w:rsidR="00000000" w:rsidRPr="00000000">
        <w:rPr>
          <w:rtl w:val="0"/>
        </w:rPr>
      </w:r>
    </w:p>
    <w:p w:rsidR="00000000" w:rsidDel="00000000" w:rsidP="00000000" w:rsidRDefault="00000000" w:rsidRPr="00000000" w14:paraId="00000041">
      <w:pPr>
        <w:spacing w:after="210" w:line="360" w:lineRule="auto"/>
        <w:rPr/>
      </w:pPr>
      <w:r w:rsidDel="00000000" w:rsidR="00000000" w:rsidRPr="00000000">
        <w:rPr>
          <w:rFonts w:ascii="Inter" w:cs="Inter" w:eastAsia="Inter" w:hAnsi="Inter"/>
          <w:color w:val="000000"/>
          <w:rtl w:val="0"/>
        </w:rPr>
        <w:t xml:space="preserve">Challenge existing GRC tools that focus on compliance checklists rather than structural friction between AI autonomy and enterprise governance.</w:t>
      </w:r>
      <w:hyperlink w:anchor="82s79ev7an73">
        <w:r w:rsidDel="00000000" w:rsidR="00000000" w:rsidRPr="00000000">
          <w:rPr>
            <w:rFonts w:ascii="Inter" w:cs="Inter" w:eastAsia="Inter" w:hAnsi="Inter"/>
            <w:color w:val="000000"/>
            <w:u w:val="single"/>
            <w:vertAlign w:val="superscript"/>
            <w:rtl w:val="0"/>
          </w:rPr>
          <w:t xml:space="preserve">[2]</w:t>
        </w:r>
      </w:hyperlink>
      <w:r w:rsidDel="00000000" w:rsidR="00000000" w:rsidRPr="00000000">
        <w:rPr>
          <w:rtl w:val="0"/>
        </w:rPr>
      </w:r>
    </w:p>
    <w:p w:rsidR="00000000" w:rsidDel="00000000" w:rsidP="00000000" w:rsidRDefault="00000000" w:rsidRPr="00000000" w14:paraId="00000042">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22. No-Code AI: Democratization or Dangerous Abstraction?</w:t>
      </w:r>
      <w:r w:rsidDel="00000000" w:rsidR="00000000" w:rsidRPr="00000000">
        <w:rPr>
          <w:rtl w:val="0"/>
        </w:rPr>
      </w:r>
    </w:p>
    <w:p w:rsidR="00000000" w:rsidDel="00000000" w:rsidP="00000000" w:rsidRDefault="00000000" w:rsidRPr="00000000" w14:paraId="00000043">
      <w:pPr>
        <w:spacing w:after="210" w:line="360" w:lineRule="auto"/>
        <w:rPr/>
      </w:pPr>
      <w:r w:rsidDel="00000000" w:rsidR="00000000" w:rsidRPr="00000000">
        <w:rPr>
          <w:rFonts w:ascii="Inter" w:cs="Inter" w:eastAsia="Inter" w:hAnsi="Inter"/>
          <w:color w:val="000000"/>
          <w:rtl w:val="0"/>
        </w:rPr>
        <w:t xml:space="preserve">Explore how user-friendly no-code interfaces mask the deep theoretical expertise required to build valid causal models, leading to deployment of faulty logic at scale.</w:t>
      </w:r>
      <w:hyperlink w:anchor="8t4z4e7kxug4">
        <w:r w:rsidDel="00000000" w:rsidR="00000000" w:rsidRPr="00000000">
          <w:rPr>
            <w:rFonts w:ascii="Inter" w:cs="Inter" w:eastAsia="Inter" w:hAnsi="Inter"/>
            <w:color w:val="000000"/>
            <w:u w:val="single"/>
            <w:vertAlign w:val="superscript"/>
            <w:rtl w:val="0"/>
          </w:rPr>
          <w:t xml:space="preserve">[1]</w:t>
        </w:r>
      </w:hyperlink>
      <w:r w:rsidDel="00000000" w:rsidR="00000000" w:rsidRPr="00000000">
        <w:rPr>
          <w:rtl w:val="0"/>
        </w:rPr>
      </w:r>
    </w:p>
    <w:p w:rsidR="00000000" w:rsidDel="00000000" w:rsidP="00000000" w:rsidRDefault="00000000" w:rsidRPr="00000000" w14:paraId="00000044">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23. The Mirror Doesn't Sell Clarity—It Sells the Cost of Avoiding It</w:t>
      </w:r>
      <w:r w:rsidDel="00000000" w:rsidR="00000000" w:rsidRPr="00000000">
        <w:rPr>
          <w:rtl w:val="0"/>
        </w:rPr>
      </w:r>
    </w:p>
    <w:p w:rsidR="00000000" w:rsidDel="00000000" w:rsidP="00000000" w:rsidRDefault="00000000" w:rsidRPr="00000000" w14:paraId="00000045">
      <w:pPr>
        <w:spacing w:after="210" w:line="360" w:lineRule="auto"/>
        <w:rPr/>
      </w:pPr>
      <w:r w:rsidDel="00000000" w:rsidR="00000000" w:rsidRPr="00000000">
        <w:rPr>
          <w:rFonts w:ascii="Inter" w:cs="Inter" w:eastAsia="Inter" w:hAnsi="Inter"/>
          <w:color w:val="000000"/>
          <w:rtl w:val="0"/>
        </w:rPr>
        <w:t xml:space="preserve">Philosophical episode on why organizations resist naming tensions and why the real value of governance isn't comfort but the consequences of continued ambiguity.</w:t>
      </w:r>
      <w:hyperlink w:anchor="ubtq5unh4927">
        <w:r w:rsidDel="00000000" w:rsidR="00000000" w:rsidRPr="00000000">
          <w:rPr>
            <w:rFonts w:ascii="Inter" w:cs="Inter" w:eastAsia="Inter" w:hAnsi="Inter"/>
            <w:color w:val="000000"/>
            <w:u w:val="single"/>
            <w:vertAlign w:val="superscript"/>
            <w:rtl w:val="0"/>
          </w:rPr>
          <w:t xml:space="preserve">[3]</w:t>
        </w:r>
      </w:hyperlink>
      <w:r w:rsidDel="00000000" w:rsidR="00000000" w:rsidRPr="00000000">
        <w:rPr>
          <w:rtl w:val="0"/>
        </w:rPr>
      </w:r>
    </w:p>
    <w:p w:rsidR="00000000" w:rsidDel="00000000" w:rsidP="00000000" w:rsidRDefault="00000000" w:rsidRPr="00000000" w14:paraId="00000046">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4" name=""/>
                <a:graphic>
                  <a:graphicData uri="http://schemas.microsoft.com/office/word/2010/wordprocessingShape">
                    <wps:wsp>
                      <wps:cNvSpPr/>
                      <wps:cNvPr id="5" name="Shape 5"/>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7">
      <w:pPr>
        <w:spacing w:after="210" w:line="360" w:lineRule="auto"/>
        <w:rPr/>
      </w:pPr>
      <w:r w:rsidDel="00000000" w:rsidR="00000000" w:rsidRPr="00000000">
        <w:rPr>
          <w:rFonts w:ascii="Inter" w:cs="Inter" w:eastAsia="Inter" w:hAnsi="Inter"/>
          <w:color w:val="000000"/>
          <w:rtl w:val="0"/>
        </w:rPr>
        <w:t xml:space="preserve">These topics can be sequenced from foundational to advanced, or mixed based on audience interest and current events in AI governance. Each episode naturally leads to deeper engagement with Phase Mirror services—from the free Community tier to strategic consulting.</w:t>
        <w:br w:type="textWrapping"/>
      </w:r>
      <w:r w:rsidDel="00000000" w:rsidR="00000000" w:rsidRPr="00000000">
        <w:rPr>
          <w:rtl w:val="0"/>
        </w:rPr>
      </w:r>
    </w:p>
    <w:p w:rsidR="00000000" w:rsidDel="00000000" w:rsidP="00000000" w:rsidRDefault="00000000" w:rsidRPr="00000000" w14:paraId="00000048">
      <w:pPr>
        <w:spacing w:line="360" w:lineRule="auto"/>
        <w:rPr/>
      </w:pP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49">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 name=""/>
                <a:graphic>
                  <a:graphicData uri="http://schemas.microsoft.com/office/word/2010/wordprocessingShape">
                    <wps:wsp>
                      <wps:cNvSpPr/>
                      <wps:cNvPr id="2" name="Shape 2"/>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8t4z4e7kxug4" w:id="0"/>
    <w:bookmarkEnd w:id="0"/>
    <w:p w:rsidR="00000000" w:rsidDel="00000000" w:rsidP="00000000" w:rsidRDefault="00000000" w:rsidRPr="00000000" w14:paraId="0000004A">
      <w:pPr>
        <w:numPr>
          <w:ilvl w:val="0"/>
          <w:numId w:val="1"/>
        </w:numPr>
        <w:spacing w:after="210" w:line="360" w:lineRule="auto"/>
        <w:ind w:left="540" w:hanging="360"/>
        <w:rPr/>
      </w:pPr>
      <w:r w:rsidDel="00000000" w:rsidR="00000000" w:rsidRPr="00000000">
        <w:rPr>
          <w:rFonts w:ascii="Inter" w:cs="Inter" w:eastAsia="Inter" w:hAnsi="Inter"/>
          <w:color w:val="000000"/>
          <w:sz w:val="18"/>
          <w:szCs w:val="18"/>
          <w:rtl w:val="0"/>
        </w:rPr>
        <w:t xml:space="preserve">Implementation-Guide_-Applying-Phase-Mirror-Dissonance.pdf            </w:t>
      </w:r>
      <w:r w:rsidDel="00000000" w:rsidR="00000000" w:rsidRPr="00000000">
        <w:rPr>
          <w:rtl w:val="0"/>
        </w:rPr>
      </w:r>
    </w:p>
    <w:bookmarkStart w:colFirst="0" w:colLast="0" w:name="82s79ev7an73" w:id="1"/>
    <w:bookmarkEnd w:id="1"/>
    <w:p w:rsidR="00000000" w:rsidDel="00000000" w:rsidP="00000000" w:rsidRDefault="00000000" w:rsidRPr="00000000" w14:paraId="0000004B">
      <w:pPr>
        <w:numPr>
          <w:ilvl w:val="0"/>
          <w:numId w:val="1"/>
        </w:numPr>
        <w:spacing w:after="210" w:line="360" w:lineRule="auto"/>
        <w:ind w:left="540" w:hanging="360"/>
        <w:rPr/>
      </w:pPr>
      <w:r w:rsidDel="00000000" w:rsidR="00000000" w:rsidRPr="00000000">
        <w:rPr>
          <w:rFonts w:ascii="Inter" w:cs="Inter" w:eastAsia="Inter" w:hAnsi="Inter"/>
          <w:color w:val="000000"/>
          <w:sz w:val="18"/>
          <w:szCs w:val="18"/>
          <w:rtl w:val="0"/>
        </w:rPr>
        <w:t xml:space="preserve">Phase-Mirror_-Consultation-SaaS.pdf  </w:t>
      </w:r>
      <w:r w:rsidDel="00000000" w:rsidR="00000000" w:rsidRPr="00000000">
        <w:rPr>
          <w:rtl w:val="0"/>
        </w:rPr>
      </w:r>
    </w:p>
    <w:bookmarkStart w:colFirst="0" w:colLast="0" w:name="ubtq5unh4927" w:id="2"/>
    <w:bookmarkEnd w:id="2"/>
    <w:p w:rsidR="00000000" w:rsidDel="00000000" w:rsidP="00000000" w:rsidRDefault="00000000" w:rsidRPr="00000000" w14:paraId="0000004C">
      <w:pPr>
        <w:numPr>
          <w:ilvl w:val="0"/>
          <w:numId w:val="1"/>
        </w:numPr>
        <w:spacing w:after="210" w:line="360" w:lineRule="auto"/>
        <w:ind w:left="540" w:hanging="360"/>
        <w:rPr/>
      </w:pPr>
      <w:r w:rsidDel="00000000" w:rsidR="00000000" w:rsidRPr="00000000">
        <w:rPr>
          <w:rFonts w:ascii="Inter" w:cs="Inter" w:eastAsia="Inter" w:hAnsi="Inter"/>
          <w:color w:val="000000"/>
          <w:sz w:val="18"/>
          <w:szCs w:val="18"/>
          <w:rtl w:val="0"/>
        </w:rPr>
        <w:t xml:space="preserve">Phase-mirror-dissonance___Open-core-must-be-useful.pdf    </w:t>
      </w:r>
      <w:r w:rsidDel="00000000" w:rsidR="00000000" w:rsidRPr="00000000">
        <w:rPr>
          <w:rtl w:val="0"/>
        </w:rPr>
      </w:r>
    </w:p>
    <w:bookmarkStart w:colFirst="0" w:colLast="0" w:name="57baz1kh8oc2" w:id="3"/>
    <w:bookmarkEnd w:id="3"/>
    <w:p w:rsidR="00000000" w:rsidDel="00000000" w:rsidP="00000000" w:rsidRDefault="00000000" w:rsidRPr="00000000" w14:paraId="0000004D">
      <w:pPr>
        <w:numPr>
          <w:ilvl w:val="0"/>
          <w:numId w:val="1"/>
        </w:numPr>
        <w:spacing w:after="210" w:line="360" w:lineRule="auto"/>
        <w:ind w:left="540" w:hanging="360"/>
        <w:rPr/>
      </w:pPr>
      <w:r w:rsidDel="00000000" w:rsidR="00000000" w:rsidRPr="00000000">
        <w:rPr>
          <w:rFonts w:ascii="Inter" w:cs="Inter" w:eastAsia="Inter" w:hAnsi="Inter"/>
          <w:color w:val="000000"/>
          <w:sz w:val="18"/>
          <w:szCs w:val="18"/>
          <w:rtl w:val="0"/>
        </w:rPr>
        <w:t xml:space="preserve">Phase-Mirror_-Comprehensive-Services-Catalog.docx.pdf   </w:t>
      </w:r>
      <w:r w:rsidDel="00000000" w:rsidR="00000000" w:rsidRPr="00000000">
        <w:rPr>
          <w:rtl w:val="0"/>
        </w:rPr>
      </w:r>
    </w:p>
    <w:bookmarkStart w:colFirst="0" w:colLast="0" w:name="y34ubjvb1vok" w:id="4"/>
    <w:bookmarkEnd w:id="4"/>
    <w:p w:rsidR="00000000" w:rsidDel="00000000" w:rsidP="00000000" w:rsidRDefault="00000000" w:rsidRPr="00000000" w14:paraId="0000004E">
      <w:pPr>
        <w:numPr>
          <w:ilvl w:val="0"/>
          <w:numId w:val="1"/>
        </w:numPr>
        <w:spacing w:after="210" w:line="360" w:lineRule="auto"/>
        <w:ind w:left="540" w:hanging="360"/>
        <w:rPr/>
      </w:pPr>
      <w:r w:rsidDel="00000000" w:rsidR="00000000" w:rsidRPr="00000000">
        <w:rPr>
          <w:rFonts w:ascii="Inter" w:cs="Inter" w:eastAsia="Inter" w:hAnsi="Inter"/>
          <w:color w:val="000000"/>
          <w:sz w:val="18"/>
          <w:szCs w:val="18"/>
          <w:rtl w:val="0"/>
        </w:rPr>
        <w:t xml:space="preserve">A-Clear-Guide-to-Phase-Mirror-s-Services.pdf </w:t>
      </w:r>
      <w:r w:rsidDel="00000000" w:rsidR="00000000" w:rsidRPr="00000000">
        <w:rPr>
          <w:rtl w:val="0"/>
        </w:rPr>
      </w:r>
    </w:p>
    <w:bookmarkStart w:colFirst="0" w:colLast="0" w:name="586e7g890iv3" w:id="5"/>
    <w:bookmarkEnd w:id="5"/>
    <w:p w:rsidR="00000000" w:rsidDel="00000000" w:rsidP="00000000" w:rsidRDefault="00000000" w:rsidRPr="00000000" w14:paraId="0000004F">
      <w:pPr>
        <w:numPr>
          <w:ilvl w:val="0"/>
          <w:numId w:val="1"/>
        </w:numPr>
        <w:spacing w:after="210" w:line="360" w:lineRule="auto"/>
        <w:ind w:left="540" w:hanging="360"/>
        <w:rPr/>
      </w:pPr>
      <w:r w:rsidDel="00000000" w:rsidR="00000000" w:rsidRPr="00000000">
        <w:rPr>
          <w:rFonts w:ascii="Inter" w:cs="Inter" w:eastAsia="Inter" w:hAnsi="Inter"/>
          <w:color w:val="000000"/>
          <w:sz w:val="18"/>
          <w:szCs w:val="18"/>
          <w:rtl w:val="0"/>
        </w:rPr>
        <w:t xml:space="preserve">License_ Strategic &amp; Legal Analysis.pdf </w:t>
      </w:r>
      <w:r w:rsidDel="00000000" w:rsidR="00000000" w:rsidRPr="00000000">
        <w:rPr>
          <w:rtl w:val="0"/>
        </w:rPr>
      </w:r>
    </w:p>
    <w:bookmarkStart w:colFirst="0" w:colLast="0" w:name="86b72yr3nc15" w:id="6"/>
    <w:bookmarkEnd w:id="6"/>
    <w:p w:rsidR="00000000" w:rsidDel="00000000" w:rsidP="00000000" w:rsidRDefault="00000000" w:rsidRPr="00000000" w14:paraId="00000050">
      <w:pPr>
        <w:numPr>
          <w:ilvl w:val="0"/>
          <w:numId w:val="1"/>
        </w:numPr>
        <w:spacing w:after="210" w:line="360" w:lineRule="auto"/>
        <w:ind w:left="540" w:hanging="360"/>
        <w:rPr/>
      </w:pPr>
      <w:r w:rsidDel="00000000" w:rsidR="00000000" w:rsidRPr="00000000">
        <w:rPr>
          <w:rFonts w:ascii="Inter" w:cs="Inter" w:eastAsia="Inter" w:hAnsi="Inter"/>
          <w:color w:val="000000"/>
          <w:sz w:val="18"/>
          <w:szCs w:val="18"/>
          <w:rtl w:val="0"/>
        </w:rPr>
        <w:t xml:space="preserve">Agentic Domain-Specific Reasoning.pdf </w:t>
      </w:r>
      <w:r w:rsidDel="00000000" w:rsidR="00000000" w:rsidRPr="00000000">
        <w:rPr>
          <w:rtl w:val="0"/>
        </w:rPr>
      </w:r>
    </w:p>
    <w:bookmarkStart w:colFirst="0" w:colLast="0" w:name="svm06atsqll1" w:id="7"/>
    <w:bookmarkEnd w:id="7"/>
    <w:p w:rsidR="00000000" w:rsidDel="00000000" w:rsidP="00000000" w:rsidRDefault="00000000" w:rsidRPr="00000000" w14:paraId="00000051">
      <w:pPr>
        <w:numPr>
          <w:ilvl w:val="0"/>
          <w:numId w:val="1"/>
        </w:numPr>
        <w:spacing w:after="210" w:line="360" w:lineRule="auto"/>
        <w:ind w:left="540" w:hanging="360"/>
        <w:rPr/>
      </w:pPr>
      <w:r w:rsidDel="00000000" w:rsidR="00000000" w:rsidRPr="00000000">
        <w:rPr>
          <w:rFonts w:ascii="Inter" w:cs="Inter" w:eastAsia="Inter" w:hAnsi="Inter"/>
          <w:color w:val="000000"/>
          <w:sz w:val="18"/>
          <w:szCs w:val="18"/>
          <w:rtl w:val="0"/>
        </w:rPr>
        <w:t xml:space="preserve">Policy Memo_ Managing Agentic AI Liability with the Phase Mirror Framework.pdf </w:t>
      </w:r>
      <w:r w:rsidDel="00000000" w:rsidR="00000000" w:rsidRPr="00000000">
        <w:rPr>
          <w:rtl w:val="0"/>
        </w:rPr>
      </w:r>
    </w:p>
    <w:bookmarkStart w:colFirst="0" w:colLast="0" w:name="w8g8fk8664dp" w:id="8"/>
    <w:bookmarkEnd w:id="8"/>
    <w:p w:rsidR="00000000" w:rsidDel="00000000" w:rsidP="00000000" w:rsidRDefault="00000000" w:rsidRPr="00000000" w14:paraId="00000052">
      <w:pPr>
        <w:numPr>
          <w:ilvl w:val="0"/>
          <w:numId w:val="1"/>
        </w:numPr>
        <w:spacing w:after="210" w:line="360" w:lineRule="auto"/>
        <w:ind w:left="540" w:hanging="360"/>
        <w:rPr/>
      </w:pPr>
      <w:r w:rsidDel="00000000" w:rsidR="00000000" w:rsidRPr="00000000">
        <w:rPr>
          <w:rFonts w:ascii="Inter" w:cs="Inter" w:eastAsia="Inter" w:hAnsi="Inter"/>
          <w:color w:val="000000"/>
          <w:sz w:val="18"/>
          <w:szCs w:val="18"/>
          <w:rtl w:val="0"/>
        </w:rPr>
        <w:t xml:space="preserve">The Phase Mirror does not resolve dissonance—it names it.pdf </w:t>
      </w:r>
      <w:r w:rsidDel="00000000" w:rsidR="00000000" w:rsidRPr="00000000">
        <w:rPr>
          <w:rtl w:val="0"/>
        </w:rPr>
      </w:r>
    </w:p>
    <w:bookmarkStart w:colFirst="0" w:colLast="0" w:name="k0ae3hflpchr" w:id="9"/>
    <w:bookmarkEnd w:id="9"/>
    <w:p w:rsidR="00000000" w:rsidDel="00000000" w:rsidP="00000000" w:rsidRDefault="00000000" w:rsidRPr="00000000" w14:paraId="00000053">
      <w:pPr>
        <w:numPr>
          <w:ilvl w:val="0"/>
          <w:numId w:val="1"/>
        </w:numPr>
        <w:spacing w:after="210" w:line="360" w:lineRule="auto"/>
        <w:ind w:left="540" w:hanging="360"/>
        <w:rPr/>
      </w:pPr>
      <w:r w:rsidDel="00000000" w:rsidR="00000000" w:rsidRPr="00000000">
        <w:rPr>
          <w:rFonts w:ascii="Inter" w:cs="Inter" w:eastAsia="Inter" w:hAnsi="Inter"/>
          <w:color w:val="000000"/>
          <w:sz w:val="18"/>
          <w:szCs w:val="18"/>
          <w:rtl w:val="0"/>
        </w:rPr>
        <w:t xml:space="preserve">Understanding Phase Mirror Dissonance_ A Beginner's Guide.pdf </w:t>
      </w:r>
      <w:r w:rsidDel="00000000" w:rsidR="00000000" w:rsidRPr="00000000">
        <w:rPr>
          <w:rtl w:val="0"/>
        </w:rPr>
      </w:r>
    </w:p>
    <w:bookmarkStart w:colFirst="0" w:colLast="0" w:name="sm3lq0l64ecd" w:id="10"/>
    <w:bookmarkEnd w:id="10"/>
    <w:p w:rsidR="00000000" w:rsidDel="00000000" w:rsidP="00000000" w:rsidRDefault="00000000" w:rsidRPr="00000000" w14:paraId="00000054">
      <w:pPr>
        <w:numPr>
          <w:ilvl w:val="0"/>
          <w:numId w:val="1"/>
        </w:numPr>
        <w:spacing w:after="210" w:line="360" w:lineRule="auto"/>
        <w:ind w:left="540" w:hanging="360"/>
        <w:rPr/>
      </w:pPr>
      <w:r w:rsidDel="00000000" w:rsidR="00000000" w:rsidRPr="00000000">
        <w:rPr>
          <w:rFonts w:ascii="Inter" w:cs="Inter" w:eastAsia="Inter" w:hAnsi="Inter"/>
          <w:color w:val="000000"/>
          <w:sz w:val="18"/>
          <w:szCs w:val="18"/>
          <w:rtl w:val="0"/>
        </w:rPr>
        <w:t xml:space="preserve">The Phase of Mirror Dissonance.pdf </w:t>
      </w:r>
      <w:r w:rsidDel="00000000" w:rsidR="00000000" w:rsidRPr="00000000">
        <w:rPr>
          <w:rtl w:val="0"/>
        </w:rPr>
      </w:r>
    </w:p>
    <w:bookmarkStart w:colFirst="0" w:colLast="0" w:name="qu3ytspot29" w:id="11"/>
    <w:bookmarkEnd w:id="11"/>
    <w:p w:rsidR="00000000" w:rsidDel="00000000" w:rsidP="00000000" w:rsidRDefault="00000000" w:rsidRPr="00000000" w14:paraId="00000055">
      <w:pPr>
        <w:numPr>
          <w:ilvl w:val="0"/>
          <w:numId w:val="1"/>
        </w:numPr>
        <w:spacing w:after="210" w:line="360" w:lineRule="auto"/>
        <w:ind w:left="540" w:hanging="360"/>
        <w:rPr/>
      </w:pPr>
      <w:r w:rsidDel="00000000" w:rsidR="00000000" w:rsidRPr="00000000">
        <w:rPr>
          <w:rFonts w:ascii="Inter" w:cs="Inter" w:eastAsia="Inter" w:hAnsi="Inter"/>
          <w:color w:val="000000"/>
          <w:sz w:val="18"/>
          <w:szCs w:val="18"/>
          <w:rtl w:val="0"/>
        </w:rPr>
        <w:t xml:space="preserve">should-we-create-a-phase-mirro-g0nIu619SN20l__3R5jUmA.md </w:t>
      </w:r>
      <w:r w:rsidDel="00000000" w:rsidR="00000000" w:rsidRPr="00000000">
        <w:rPr>
          <w:rtl w:val="0"/>
        </w:rPr>
      </w:r>
    </w:p>
    <w:bookmarkStart w:colFirst="0" w:colLast="0" w:name="wst7q2uq2ix3" w:id="12"/>
    <w:bookmarkEnd w:id="12"/>
    <w:p w:rsidR="00000000" w:rsidDel="00000000" w:rsidP="00000000" w:rsidRDefault="00000000" w:rsidRPr="00000000" w14:paraId="00000056">
      <w:pPr>
        <w:numPr>
          <w:ilvl w:val="0"/>
          <w:numId w:val="1"/>
        </w:numPr>
        <w:spacing w:after="210" w:line="360" w:lineRule="auto"/>
        <w:ind w:left="540" w:hanging="360"/>
        <w:rPr/>
      </w:pPr>
      <w:hyperlink r:id="rId8">
        <w:r w:rsidDel="00000000" w:rsidR="00000000" w:rsidRPr="00000000">
          <w:rPr>
            <w:rFonts w:ascii="Inter" w:cs="Inter" w:eastAsia="Inter" w:hAnsi="Inter"/>
            <w:color w:val="000000"/>
            <w:sz w:val="18"/>
            <w:szCs w:val="18"/>
            <w:u w:val="single"/>
            <w:rtl w:val="0"/>
          </w:rPr>
          <w:t xml:space="preserve">lets-analyze-the-phase-mirror-KxbpLF05TkmkJ5C3R17zHw.md</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bookmarkStart w:colFirst="0" w:colLast="0" w:name="bnmsq9jspg0q" w:id="13"/>
    <w:bookmarkEnd w:id="13"/>
    <w:p w:rsidR="00000000" w:rsidDel="00000000" w:rsidP="00000000" w:rsidRDefault="00000000" w:rsidRPr="00000000" w14:paraId="00000057">
      <w:pPr>
        <w:numPr>
          <w:ilvl w:val="0"/>
          <w:numId w:val="1"/>
        </w:numPr>
        <w:spacing w:after="210" w:line="360" w:lineRule="auto"/>
        <w:ind w:left="540" w:hanging="360"/>
        <w:rPr/>
      </w:pPr>
      <w:hyperlink r:id="rId9">
        <w:r w:rsidDel="00000000" w:rsidR="00000000" w:rsidRPr="00000000">
          <w:rPr>
            <w:rFonts w:ascii="Inter" w:cs="Inter" w:eastAsia="Inter" w:hAnsi="Inter"/>
            <w:color w:val="000000"/>
            <w:sz w:val="18"/>
            <w:szCs w:val="18"/>
            <w:u w:val="single"/>
            <w:rtl w:val="0"/>
          </w:rPr>
          <w:t xml:space="preserve">lets-do-a-research-study-on-ut-WhCi7IA6SCC96OPfPtuaGQ.md</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bookmarkStart w:colFirst="0" w:colLast="0" w:name="6bvfy6rey0h0" w:id="14"/>
    <w:bookmarkEnd w:id="14"/>
    <w:p w:rsidR="00000000" w:rsidDel="00000000" w:rsidP="00000000" w:rsidRDefault="00000000" w:rsidRPr="00000000" w14:paraId="00000058">
      <w:pPr>
        <w:numPr>
          <w:ilvl w:val="0"/>
          <w:numId w:val="1"/>
        </w:numPr>
        <w:spacing w:after="210" w:line="360" w:lineRule="auto"/>
        <w:ind w:left="540" w:hanging="360"/>
        <w:rPr/>
      </w:pPr>
      <w:r w:rsidDel="00000000" w:rsidR="00000000" w:rsidRPr="00000000">
        <w:rPr>
          <w:rFonts w:ascii="Inter" w:cs="Inter" w:eastAsia="Inter" w:hAnsi="Inter"/>
          <w:color w:val="000000"/>
          <w:sz w:val="18"/>
          <w:szCs w:val="18"/>
          <w:rtl w:val="0"/>
        </w:rPr>
        <w:t xml:space="preserve">lets-analyse-the-open-core-pha-7FE_xGkPSKKRr2TerT0cjw.md </w:t>
      </w:r>
      <w:r w:rsidDel="00000000" w:rsidR="00000000" w:rsidRPr="00000000">
        <w:rPr>
          <w:rtl w:val="0"/>
        </w:rPr>
      </w:r>
    </w:p>
    <w:bookmarkStart w:colFirst="0" w:colLast="0" w:name="2gru7mplzn1h" w:id="15"/>
    <w:bookmarkEnd w:id="15"/>
    <w:p w:rsidR="00000000" w:rsidDel="00000000" w:rsidP="00000000" w:rsidRDefault="00000000" w:rsidRPr="00000000" w14:paraId="00000059">
      <w:pPr>
        <w:numPr>
          <w:ilvl w:val="0"/>
          <w:numId w:val="1"/>
        </w:numPr>
        <w:spacing w:after="210" w:line="360" w:lineRule="auto"/>
        <w:ind w:left="540" w:hanging="360"/>
        <w:rPr/>
      </w:pPr>
      <w:hyperlink r:id="rId10">
        <w:r w:rsidDel="00000000" w:rsidR="00000000" w:rsidRPr="00000000">
          <w:rPr>
            <w:rFonts w:ascii="Inter" w:cs="Inter" w:eastAsia="Inter" w:hAnsi="Inter"/>
            <w:color w:val="000000"/>
            <w:sz w:val="18"/>
            <w:szCs w:val="18"/>
            <w:u w:val="single"/>
            <w:rtl w:val="0"/>
          </w:rPr>
          <w:t xml:space="preserve">lets-analyze-the-phase-mirror-kbBwuoY6QaWAaS93zZyABg.md</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sectPr>
      <w:pgSz w:h="15840" w:w="12240" w:orient="portrait"/>
      <w:pgMar w:bottom="1365" w:top="1365" w:left="1365" w:right="136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1"/>
        <w:szCs w:val="21"/>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lets-analyze-the-phase-mirror-kbbwuoy6qawaas93zzyabg.md" TargetMode="External"/><Relationship Id="rId9" Type="http://schemas.openxmlformats.org/officeDocument/2006/relationships/hyperlink" Target="http://lets-do-a-research-study-on-ut-whci7ia6scc96opfptuagq.md"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7.png"/><Relationship Id="rId8" Type="http://schemas.openxmlformats.org/officeDocument/2006/relationships/hyperlink" Target="http://lets-analyze-the-phase-mirror-kxbplf05tkmkj5c3r17zhw.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