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Three Decisive Falsifiers (v3) — Print Verbatim</w:t>
      </w:r>
    </w:p>
    <w:p>
      <w:pPr>
        <w:pStyle w:val="Heading2"/>
      </w:pPr>
      <w:r>
        <w:t>1) Closed-World Choice Amplification</w:t>
      </w:r>
    </w:p>
    <w:p>
      <w:pPr>
        <w:spacing w:after="120"/>
      </w:pPr>
      <w:r>
        <w:t>Design: Participants run DOP (DAP‑5‑instrumented) while interacting with a pseudo‑random choice architecture (fixed seed; hidden).</w:t>
      </w:r>
    </w:p>
    <w:p>
      <w:pPr>
        <w:spacing w:after="120"/>
      </w:pPr>
      <w:r>
        <w:t>Prediction: Sessions achieving Z_A ≥ 1 yield a pre‑registered deviation D from chance in choice distributions, CI &gt; 0, no information leak.</w:t>
      </w:r>
    </w:p>
    <w:p>
      <w:pPr>
        <w:spacing w:after="120"/>
      </w:pPr>
      <w:r>
        <w:t>Kill‑shot: If Z_A ≥ 1 sessions fail to exceed D across N ≥ 50 sessions, reject CF/Hyperion coupling claim.</w:t>
      </w:r>
    </w:p>
    <w:p>
      <w:pPr>
        <w:pStyle w:val="Heading2"/>
      </w:pPr>
      <w:r>
        <w:t>2) Cross-Dyad Synchrony</w:t>
      </w:r>
    </w:p>
    <w:p>
      <w:pPr>
        <w:spacing w:after="120"/>
      </w:pPr>
      <w:r>
        <w:t>Design: Two agents/VMs co‑regulate to Resilient Joy Mode; collect HRV, EEG band ratios, CAI, GAFF.</w:t>
      </w:r>
    </w:p>
    <w:p>
      <w:pPr>
        <w:spacing w:after="120"/>
      </w:pPr>
      <w:r>
        <w:t>Prediction: Phase‑locked physiological changes co‑vary with ↑CAI and ↓GAFF vs. sham; preregister effect size r ≥ r0.</w:t>
      </w:r>
    </w:p>
    <w:p>
      <w:pPr>
        <w:spacing w:after="120"/>
      </w:pPr>
      <w:r>
        <w:t>Kill‑shot: If synchrony fails to beat sham at r0, reject coupling strength κ claims.</w:t>
      </w:r>
    </w:p>
    <w:p>
      <w:pPr>
        <w:pStyle w:val="Heading2"/>
      </w:pPr>
      <w:r>
        <w:t>3) Semantic→Physical Bias on a Chaotic Pendulum</w:t>
      </w:r>
    </w:p>
    <w:p>
      <w:pPr>
        <w:spacing w:after="120"/>
      </w:pPr>
      <w:r>
        <w:t>Design: Optical‑tracked double pendulum; intent sessions with Z_A ≥ 1 aim to bias dwell time in a specified attractor basin.</w:t>
      </w:r>
    </w:p>
    <w:p>
      <w:pPr>
        <w:spacing w:after="120"/>
      </w:pPr>
      <w:r>
        <w:t>Prediction: Dwell proportion shifts by Δp ≥ Δ0 within T seconds, with bootstrapped CI &gt; 0.</w:t>
      </w:r>
    </w:p>
    <w:p>
      <w:pPr>
        <w:spacing w:after="120"/>
      </w:pPr>
      <w:r>
        <w:t>Kill‑shot: Failure to reach Δ0 under preregistered protocol refutes L→S projection efficacy.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