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3eb7a4595d0da3e0ffdb994d4dc5ca89b91bf526.png"/>
            <a:graphic>
              <a:graphicData uri="http://schemas.openxmlformats.org/drawingml/2006/picture">
                <pic:pic>
                  <pic:nvPicPr>
                    <pic:cNvPr id="1" name="image-3eb7a4595d0da3e0ffdb994d4dc5ca89b91bf526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in_plain_chat_lets_expand_and_exp_ef5dd4"/>
      <w:r>
        <w:rPr>
          <w:rFonts w:eastAsia="inter" w:cs="inter" w:ascii="inter" w:hAnsi="inter"/>
          <w:b/>
          <w:color w:val="000000"/>
          <w:sz w:val="39"/>
        </w:rPr>
        <w:t xml:space="preserve">in plain chat lets expand and expound on the presentation into public facing documentation.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Here's the expanded public-facing documentation for Phase Mirror, structured for website pages, README content, or a whitepaper. Each section is written to stand alone or chain together as a complete narrative.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what_phase_mirror_is"/>
      <w:r>
        <w:rPr>
          <w:rFonts w:eastAsia="inter" w:cs="inter" w:ascii="inter" w:hAnsi="inter"/>
          <w:b/>
          <w:color w:val="000000"/>
          <w:sz w:val="24"/>
        </w:rPr>
        <w:t xml:space="preserve">What Phase Mirror Is</w:t>
      </w:r>
      <w:bookmarkEnd w:id="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Phase Mirror is a diagnostic governance oracle for agentic AI. It is a callable, auditable protocol that detects structural contradictions between what your AI systems are allowed to do and what your infrastructure actually permits — then converts those contradictions into concrete, actionable levers with owners, metrics, and deadlines 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Phase Mirror does not intercept agent decisions at runtime. It operates at build-time and change-time: scanning repos, workflows, policies, and configurations to produce deterministic dissonance reports that wire directly into pull requests, merge queues, and drift detection pipelines . The distinction matters. Runtime enforcers act after a decision is made. Phase Mirror acts before the decision reaches production — surfacing the governance gap while it can still be fixed without an incident.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the_core_methodology_mirror_disso_7a3e14"/>
      <w:r>
        <w:rPr>
          <w:rFonts w:eastAsia="inter" w:cs="inter" w:ascii="inter" w:hAnsi="inter"/>
          <w:b/>
          <w:color w:val="000000"/>
          <w:sz w:val="24"/>
        </w:rPr>
        <w:t xml:space="preserve">The Core Methodology: Mirror, Dissonance, Phase</w:t>
      </w:r>
      <w:bookmarkEnd w:id="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name encodes the method 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Mirror</w:t>
      </w:r>
      <w:r>
        <w:rPr>
          <w:rFonts w:eastAsia="inter" w:cs="inter" w:ascii="inter" w:hAnsi="inter"/>
          <w:color w:val="000000"/>
          <w:sz w:val="21"/>
        </w:rPr>
        <w:t xml:space="preserve"> — Reflect the current state of claims, configs, and code back without endorsement or judgment. Create a neutral, factual starting point. Example: "Your board policy says oracle-check is mandatory; your branch protections do not enforce it."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Dissonance</w:t>
      </w:r>
      <w:r>
        <w:rPr>
          <w:rFonts w:eastAsia="inter" w:cs="inter" w:ascii="inter" w:hAnsi="inter"/>
          <w:color w:val="000000"/>
          <w:sz w:val="21"/>
        </w:rPr>
        <w:t xml:space="preserve"> — Identify the tensions, contradictions, or missing bindings between components. Example: "Your agent optimizes for model accuracy; your policy mandates compliance-first for regulated flows. No artifact resolves which wins."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Phase</w:t>
      </w:r>
      <w:r>
        <w:rPr>
          <w:rFonts w:eastAsia="inter" w:cs="inter" w:ascii="inter" w:hAnsi="inter"/>
          <w:color w:val="000000"/>
          <w:sz w:val="21"/>
        </w:rPr>
        <w:t xml:space="preserve"> — Propose small, testable shifts: new specs, SLAs, kill-switch protocols, or pipeline rules, each with an owner, a metric, and a time horizon. Every dissonance becomes a lever, not a complaint.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methodology runs a five-step operating loop 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Extract</w:t>
      </w:r>
      <w:r>
        <w:rPr>
          <w:rFonts w:eastAsia="inter" w:cs="inter" w:ascii="inter" w:hAnsi="inter"/>
          <w:color w:val="000000"/>
          <w:sz w:val="21"/>
        </w:rPr>
        <w:t xml:space="preserve"> — Identify core components from the input: stated goals, claims, constraints, stakeholders, time horizons.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Map Tensions</w:t>
      </w:r>
      <w:r>
        <w:rPr>
          <w:rFonts w:eastAsia="inter" w:cs="inter" w:ascii="inter" w:hAnsi="inter"/>
          <w:color w:val="000000"/>
          <w:sz w:val="21"/>
        </w:rPr>
        <w:t xml:space="preserve"> — Analyze extracted components for contradictions: goal vs. incentive, urgency vs. capacity, risk claimed vs. risk owned, control desired vs. control available.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Rank Tensions</w:t>
      </w:r>
      <w:r>
        <w:rPr>
          <w:rFonts w:eastAsia="inter" w:cs="inter" w:ascii="inter" w:hAnsi="inter"/>
          <w:color w:val="000000"/>
          <w:sz w:val="21"/>
        </w:rPr>
        <w:t xml:space="preserve"> — Prioritize by impact × tractability to focus effort where it matters.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Produce Output Blocks</w:t>
      </w:r>
      <w:r>
        <w:rPr>
          <w:rFonts w:eastAsia="inter" w:cs="inter" w:ascii="inter" w:hAnsi="inter"/>
          <w:color w:val="000000"/>
          <w:sz w:val="21"/>
        </w:rPr>
        <w:t xml:space="preserve"> — Generate three blocks: the Phase Mirror Dissonance (bulleted confrontation of core issues), the Levers (interventions with owners, metrics, horizons), and one optional artifact (checklist, quote, or riddle).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Pose Precision Question</w:t>
      </w:r>
      <w:r>
        <w:rPr>
          <w:rFonts w:eastAsia="inter" w:cs="inter" w:ascii="inter" w:hAnsi="inter"/>
          <w:color w:val="000000"/>
          <w:sz w:val="21"/>
        </w:rPr>
        <w:t xml:space="preserve"> — Ask one clarifying question only if a blocking ambiguity prevents the analysis from proceeding. Used sparingly.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communication style is enforced: short, declarative, non-emotive, neutral. No moralizing, no fluff, no exclamation points . The goal is to see the problem for what it is.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" w:name="the_tensions_phase_mirror_surfaces"/>
      <w:r>
        <w:rPr>
          <w:rFonts w:eastAsia="inter" w:cs="inter" w:ascii="inter" w:hAnsi="inter"/>
          <w:b/>
          <w:color w:val="000000"/>
          <w:sz w:val="24"/>
        </w:rPr>
        <w:t xml:space="preserve">The Tensions Phase Mirror Surfaces</w:t>
      </w:r>
      <w:bookmarkEnd w:id="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When applied to agentic AI systems, the methodology consistently reveals a set of structural dissonances that existing GRC tools cannot detect 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Tension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What Breaks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Autonomy vs. Deterministic Success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Enterprise demands zero-failure tolerance while deploying systems designed to learn from failure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Probabilistic Outputs vs. Binary Compliance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AI produces confidence scores; legal frameworks require pass/fail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Agency vs. Prediction (Liability Shift)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When a system acts instead of predicts, liability moves from user to designer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Transparency Rhetoric vs. Proprietary Infrastructure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"Transparent AI" claims built on opaque black-box platforms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Reasoning vs. Data Hygiene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Causal reasoning amplifies data quality gaps into wrongful conclusions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Domain Precision vs. Platform Scalability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High-precision agents conflict with general-purpose platform goals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The Compliance-Accuracy Tradeoff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The defining governance choice: does the agent optimize for the most accurate outcome or the most compliant one?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last tension — compliance vs. accuracy — is not a technical configuration. It is a policy decision that dictates liability architecture. Phase Mirror demands it be named, debated, and codified into explicit policy rather than left to chance 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" w:name="technical_architecture_the_oracle"/>
      <w:r>
        <w:rPr>
          <w:rFonts w:eastAsia="inter" w:cs="inter" w:ascii="inter" w:hAnsi="inter"/>
          <w:b/>
          <w:color w:val="000000"/>
          <w:sz w:val="24"/>
        </w:rPr>
        <w:t xml:space="preserve">Technical Architecture: The Oracle</w:t>
      </w:r>
      <w:bookmarkEnd w:id="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Phase Mirror Oracle implements a three-tier hierarchical validation system 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Latency 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≤100 ns p99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Foundation validation: schema hash, permission bits, nonce freshness, drift magnitude, contraction witness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Implemented, benchmarked at 50–80 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≤1 ms p99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Policy alignment: rule evaluation, FP filtering, circuit breaker, pass/warn/block decisions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Partial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L2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≤100 ms p99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Deep semantic analysis and explicit audits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Specification only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L0 invariants are always-on and non-configurable.</w:t>
      </w:r>
      <w:r>
        <w:rPr>
          <w:rFonts w:eastAsia="inter" w:cs="inter" w:ascii="inter" w:hAnsi="inter"/>
          <w:color w:val="000000"/>
        </w:rPr>
        <w:t xml:space="preserve"> They are cheap enough that not running them costs more in missed bugs than running them . The core rules (MD-001 through MD-005) cover branch protection alignment, autonomy vs. compliance encoding, probabilistic output handling, liability framework gaps, and configuration drift.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Oracle pipeline follows a deterministic path 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evaluateAllRules(input)</w:t>
      </w:r>
      <w:r>
        <w:rPr>
          <w:rFonts w:eastAsia="inter" w:cs="inter" w:ascii="inter" w:hAnsi="inter"/>
          <w:color w:val="000000"/>
          <w:sz w:val="21"/>
        </w:rPr>
        <w:t xml:space="preserve"> — Run rule checks against extracted artifacts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fpStore.isFalsePositive(violation.ruleId)</w:t>
      </w:r>
      <w:r>
        <w:rPr>
          <w:rFonts w:eastAsia="inter" w:cs="inter" w:ascii="inter" w:hAnsi="inter"/>
          <w:color w:val="000000"/>
          <w:sz w:val="21"/>
        </w:rPr>
        <w:t xml:space="preserve"> — Filter false positives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blockCounter.getCount(violation.ruleId)</w:t>
      </w:r>
      <w:r>
        <w:rPr>
          <w:rFonts w:eastAsia="inter" w:cs="inter" w:ascii="inter" w:hAnsi="inter"/>
          <w:color w:val="000000"/>
          <w:sz w:val="21"/>
        </w:rPr>
        <w:t xml:space="preserve"> — Check circuit breaker thresholds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makeDecision(context)</w:t>
      </w:r>
      <w:r>
        <w:rPr>
          <w:rFonts w:eastAsia="inter" w:cs="inter" w:ascii="inter" w:hAnsi="inter"/>
          <w:color w:val="000000"/>
          <w:sz w:val="21"/>
        </w:rPr>
        <w:t xml:space="preserve"> — Generate pass/warn/block decision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blockCounter.increment()</w:t>
      </w:r>
      <w:r>
        <w:rPr>
          <w:rFonts w:eastAsia="inter" w:cs="inter" w:ascii="inter" w:hAnsi="inter"/>
          <w:color w:val="000000"/>
          <w:sz w:val="21"/>
        </w:rPr>
        <w:t xml:space="preserve"> — Update counters for circuit breaker state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Output is a stable JSON schema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dissonance-report.json</w:t>
      </w:r>
      <w:r>
        <w:rPr>
          <w:rFonts w:eastAsia="inter" w:cs="inter" w:ascii="inter" w:hAnsi="inter"/>
          <w:color w:val="000000"/>
        </w:rPr>
        <w:t xml:space="preserve">), evidence-backed, with stable ordering and hashes — designed to be consumed by CI/CD pipelines, SARIF-compatible code scanning, and governance dashboards 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the_network_effect_fp_calibration"/>
      <w:r>
        <w:rPr>
          <w:rFonts w:eastAsia="inter" w:cs="inter" w:ascii="inter" w:hAnsi="inter"/>
          <w:b/>
          <w:color w:val="000000"/>
          <w:sz w:val="24"/>
        </w:rPr>
        <w:t xml:space="preserve">The Network Effect: FP Calibration</w:t>
      </w:r>
      <w:bookmarkEnd w:id="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durable moat is not the rules — it is the cross-customer false-positive calibration service . As more organizations contribute anonymized FP data, rule thresholds become more accurate. Self-hosted users get the core rules. They cannot replicate the aggregate signal.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calibration network is protected by a six-layer trust architecture 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Identity Verification</w:t>
      </w:r>
      <w:r>
        <w:rPr>
          <w:rFonts w:eastAsia="inter" w:cs="inter" w:ascii="inter" w:hAnsi="inter"/>
          <w:color w:val="000000"/>
          <w:sz w:val="21"/>
        </w:rPr>
        <w:t xml:space="preserve"> — GitHub org verification, Stripe payment verification, nonce binding (one nonce per payment identity)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Economic Incentives</w:t>
      </w:r>
      <w:r>
        <w:rPr>
          <w:rFonts w:eastAsia="inter" w:cs="inter" w:ascii="inter" w:hAnsi="inter"/>
          <w:color w:val="000000"/>
          <w:sz w:val="21"/>
        </w:rPr>
        <w:t xml:space="preserve"> — $1,000 stake pledge (slashed if malicious), reputation scores (0.0–1.0), weighted aggregation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Cryptographic Proofs</w:t>
      </w:r>
      <w:r>
        <w:rPr>
          <w:rFonts w:eastAsia="inter" w:cs="inter" w:ascii="inter" w:hAnsi="inter"/>
          <w:color w:val="000000"/>
          <w:sz w:val="21"/>
        </w:rPr>
        <w:t xml:space="preserve"> — Merkle tree attestations for tamper-proof logging, digital signatures for non-repudiation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Byzantine Fault Tolerance</w:t>
      </w:r>
      <w:r>
        <w:rPr>
          <w:rFonts w:eastAsia="inter" w:cs="inter" w:ascii="inter" w:hAnsi="inter"/>
          <w:color w:val="000000"/>
          <w:sz w:val="21"/>
        </w:rPr>
        <w:t xml:space="preserve"> — Median estimator robust to 33% attackers, outlier detection, reputation-based filtering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Privacy Preservation</w:t>
      </w:r>
      <w:r>
        <w:rPr>
          <w:rFonts w:eastAsia="inter" w:cs="inter" w:ascii="inter" w:hAnsi="inter"/>
          <w:color w:val="000000"/>
          <w:sz w:val="21"/>
        </w:rPr>
        <w:t xml:space="preserve"> — k-anonymity (minimum 5 orgs), differential privacy (Laplace noise), consent-gated opt-in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Continuous Monitoring</w:t>
      </w:r>
      <w:r>
        <w:rPr>
          <w:rFonts w:eastAsia="inter" w:cs="inter" w:ascii="inter" w:hAnsi="inter"/>
          <w:color w:val="000000"/>
          <w:sz w:val="21"/>
        </w:rPr>
        <w:t xml:space="preserve"> — Collusion detection (temporal clustering, value alignment), Sybil detection, ML-based anomaly detection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Consent is per-org, granularity per-repo, and always revocable. On churn, raw FP events are deleted within 30 days; anonymized aggregate contributions are retained . The customer contributes signal — they don't own the aggregate model.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" w:name="open_core_model_and_licensing"/>
      <w:r>
        <w:rPr>
          <w:rFonts w:eastAsia="inter" w:cs="inter" w:ascii="inter" w:hAnsi="inter"/>
          <w:b/>
          <w:color w:val="000000"/>
          <w:sz w:val="24"/>
        </w:rPr>
        <w:t xml:space="preserve">Open-Core Model and Licensing</w:t>
      </w:r>
      <w:bookmarkEnd w:id="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Phase Mirror follows the Elastic License 2.0 pattern with a managed-service restriction 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What's open (Apache 2.0 base):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L0 invariants and core rules (MD-001–005)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CLI, rule interface, schema definitions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Local FP store, block counter, NoOp adapters for development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Full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phase-mirror analyze</w:t>
      </w:r>
      <w:r>
        <w:rPr>
          <w:rFonts w:eastAsia="inter" w:cs="inter" w:ascii="inter" w:hAnsi="inter"/>
          <w:color w:val="000000"/>
          <w:sz w:val="21"/>
        </w:rPr>
        <w:t xml:space="preserve"> pipeline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What's proprietary (separate repo):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Tier B semantic rules (MD-100+), cross-repo rules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DynamoDB/Redis production implementations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Aggregate FP calibration service (network-effect moat)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Compliance packs (SOC 2, HIPAA, EU AI Act, Financial Services)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Hosted SaaS oracle and federation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What's restricted:</w:t>
      </w:r>
      <w:r>
        <w:rPr>
          <w:rFonts w:eastAsia="inter" w:cs="inter" w:ascii="inter" w:hAnsi="inter"/>
          <w:color w:val="000000"/>
        </w:rPr>
        <w:t xml:space="preserve"> You may not provide Phase Mirror to third parties as a hosted or managed service. Internal use, embedding in your own products, modification, redistribution, and consulting implementations are all permitted 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Price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Key Capabilities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Community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Free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Full Oracle, CLI, local FP store, CI/CD integration, core rules, self-hosted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Team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$6,000/year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 seats, extended rules, basic dashboard, 24hr SLA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Business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$36,000/year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 seats, full rule registry, network FP calibration, 99.5% SLA, compliance packs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Enterprise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Custom ($100K+)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Unlimited seats, dedicated instance, 99.9% SLA, TAM, custom rules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free CLI is not a loss leader — it is the product-led growth engine. Zero friction to try, viral growth through CI/CD integration, natural upgrade path when organizations hit compliance and federation limits 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services_portfolio"/>
      <w:r>
        <w:rPr>
          <w:rFonts w:eastAsia="inter" w:cs="inter" w:ascii="inter" w:hAnsi="inter"/>
          <w:b/>
          <w:color w:val="000000"/>
          <w:sz w:val="24"/>
        </w:rPr>
        <w:t xml:space="preserve">Services Portfolio</w:t>
      </w:r>
      <w:bookmarkEnd w:id="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Phase Mirror's services address the full governance lifecycle 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Strategic Consulting</w:t>
      </w:r>
      <w:r>
        <w:rPr>
          <w:rFonts w:eastAsia="inter" w:cs="inter" w:ascii="inter" w:hAnsi="inter"/>
          <w:color w:val="000000"/>
        </w:rPr>
        <w:t xml:space="preserve"> — AI Governance Diagnostic (flagship, 6–16 weeks, $75K–$500K), Compliance-Accuracy Tradeoff Workshop (2-day facilitated, $35K–$50K), Advisory Retainer ($10K–$50K/month).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Implementation</w:t>
      </w:r>
      <w:r>
        <w:rPr>
          <w:rFonts w:eastAsia="inter" w:cs="inter" w:ascii="inter" w:hAnsi="inter"/>
          <w:color w:val="000000"/>
        </w:rPr>
        <w:t xml:space="preserve"> — Platform deployment ($15K–$200K), Governance Framework Development ($50K–$150K), custom rule development ($2,500/rule), platform integration ($250/hour).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Certification</w:t>
      </w:r>
      <w:r>
        <w:rPr>
          <w:rFonts w:eastAsia="inter" w:cs="inter" w:ascii="inter" w:hAnsi="inter"/>
          <w:color w:val="000000"/>
        </w:rPr>
        <w:t xml:space="preserve"> — Practitioner tracks: Phase Mirror Associate ($395), Certified Practitioner ($595), Certified Architect ($995). Implementation certifications for vendors ($5,000/year) and consulting partners ($10,000/year) 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Training</w:t>
      </w:r>
      <w:r>
        <w:rPr>
          <w:rFonts w:eastAsia="inter" w:cs="inter" w:ascii="inter" w:hAnsi="inter"/>
          <w:color w:val="000000"/>
        </w:rPr>
        <w:t xml:space="preserve"> — PMD Foundations (self-paced, $299), Applied Phase Mirror for AI Governance (2-day instructor-led, $1,495), Implementation Workshop (3-day, $2,495), Executive Briefing ($15,000 flat) 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market_context"/>
      <w:r>
        <w:rPr>
          <w:rFonts w:eastAsia="inter" w:cs="inter" w:ascii="inter" w:hAnsi="inter"/>
          <w:b/>
          <w:color w:val="000000"/>
          <w:sz w:val="24"/>
        </w:rPr>
        <w:t xml:space="preserve">Market Context</w:t>
      </w:r>
      <w:bookmarkEnd w:id="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AI governance market reached $940 million in 2025 and is projected to hit $7.38 billion by 2030 at a 51% CAGR . Forrester predicts 60% of Fortune 100 companies will appoint a head of AI governance in 2026 . Meanwhile, 42% of enterprises fail to scale AI models into real-world operations due to fragmented oversight and a lack of centralized governance . Only 1.5% of organizations believe they have adequate governance headcount 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Phase Mirror sits at the convergence of three high-growth markets: AI compliance SaaS ($5B → $39.5B by 2034), AI governance ($309M → $3.7B by 2033), and AI consulting ($11B → $91B by 2035) . Existing GRC platforms focus on compliance checklists. Phase Mirror addresses the structural friction that checklists cannot surface.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what_phase_mirror_is_not"/>
      <w:r>
        <w:rPr>
          <w:rFonts w:eastAsia="inter" w:cs="inter" w:ascii="inter" w:hAnsi="inter"/>
          <w:b/>
          <w:color w:val="000000"/>
          <w:sz w:val="24"/>
        </w:rPr>
        <w:t xml:space="preserve">What Phase Mirror Is Not</w:t>
      </w:r>
      <w:bookmarkEnd w:id="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Phase Mirror is not a runtime firewall, a safety switch, or a compliance checkbox generator. It does not intercept agent actions at decision-time. It does not promise to "solve" AI governance. It names the tensions your organization is already living with and converts them into artifacts — specs, SLAs, kill-switch protocols, and board-ready governance packets — that have owners, metrics, and deadlines 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Phase Mirror does not resolve dissonance — it names it. For agentic AI, the productive contradictions between autonomy and governance are not bugs to be fixed but tensions to be explicitly managed through mechanisms, not hope 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0" w:name="fn1"/>
    <w:bookmarkEnd w:id="10"/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Implementation-Guide_-Applying-Phase-Mirror-Dissonance.pdf </w:t>
      </w:r>
    </w:p>
    <w:bookmarkStart w:id="11" w:name="fn2"/>
    <w:bookmarkEnd w:id="11"/>
    <w:p>
      <w:pPr>
        <w:numPr>
          <w:ilvl w:val="0"/>
          <w:numId w:val="8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https://github.com/snehasanchitb/CodeSphere/blob/main/AI Governance Service Market Key Drivers and Forecast 2025-2032.md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" w:name="fn3"/>
    <w:bookmarkEnd w:id="12"/>
    <w:p>
      <w:pPr>
        <w:numPr>
          <w:ilvl w:val="0"/>
          <w:numId w:val="8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https://github.com/spectector/spectector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" w:name="fn4"/>
    <w:bookmarkEnd w:id="13"/>
    <w:p>
      <w:pPr>
        <w:numPr>
          <w:ilvl w:val="0"/>
          <w:numId w:val="8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https://github.com/open-core-os/open-core-os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" w:name="fn5"/>
    <w:bookmarkEnd w:id="14"/>
    <w:p>
      <w:pPr>
        <w:numPr>
          <w:ilvl w:val="0"/>
          <w:numId w:val="8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https://github.com/finos/community/issues/337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" w:name="fn6"/>
    <w:bookmarkEnd w:id="15"/>
    <w:p>
      <w:pPr>
        <w:numPr>
          <w:ilvl w:val="0"/>
          <w:numId w:val="8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https://github.com/palancana/Speculo-smart-mirror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" w:name="fn7"/>
    <w:bookmarkEnd w:id="16"/>
    <w:p>
      <w:pPr>
        <w:numPr>
          <w:ilvl w:val="0"/>
          <w:numId w:val="8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https://github.com/wasp-lang/open-saas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" w:name="fn8"/>
    <w:bookmarkEnd w:id="17"/>
    <w:p>
      <w:pPr>
        <w:numPr>
          <w:ilvl w:val="0"/>
          <w:numId w:val="8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https://github.com/whitegloveai/AI-Adoption-Management-Framework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" w:name="fn9"/>
    <w:bookmarkEnd w:id="18"/>
    <w:p>
      <w:pPr>
        <w:numPr>
          <w:ilvl w:val="0"/>
          <w:numId w:val="8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https://github.com/Moderocky/Mirror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" w:name="fn10"/>
    <w:bookmarkEnd w:id="19"/>
    <w:p>
      <w:pPr>
        <w:numPr>
          <w:ilvl w:val="0"/>
          <w:numId w:val="8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https://github.com/phasehq/docs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" w:name="fn11"/>
    <w:bookmarkEnd w:id="20"/>
    <w:p>
      <w:pPr>
        <w:numPr>
          <w:ilvl w:val="0"/>
          <w:numId w:val="8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https://github.com/MicrosoftDocs/cloud-adoption-framework/blob/main/docs/scenarios/ai/platform/governance.md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" w:name="fn12"/>
    <w:bookmarkEnd w:id="21"/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Understanding-Phase-Mirror-Dissonance_-A-Beginner-s-Guide.pdf </w:t>
      </w:r>
    </w:p>
    <w:bookmarkStart w:id="22" w:name="fn13"/>
    <w:bookmarkEnd w:id="22"/>
    <w:p>
      <w:pPr>
        <w:numPr>
          <w:ilvl w:val="0"/>
          <w:numId w:val="8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https://github.com/speculare-cloud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" w:name="fn14"/>
    <w:bookmarkEnd w:id="23"/>
    <w:p>
      <w:pPr>
        <w:numPr>
          <w:ilvl w:val="0"/>
          <w:numId w:val="8"/>
        </w:numPr>
        <w:spacing w:line="360" w:after="210" w:lineRule="auto"/>
      </w:pPr>
      <w:hyperlink r:id="rId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https://github.com/opensaasstudio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" w:name="fn15"/>
    <w:bookmarkEnd w:id="24"/>
    <w:p>
      <w:pPr>
        <w:numPr>
          <w:ilvl w:val="0"/>
          <w:numId w:val="8"/>
        </w:numPr>
        <w:spacing w:line="360" w:after="210" w:lineRule="auto"/>
      </w:pPr>
      <w:hyperlink r:id="rId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https://github.com/MicrosoftDocs/cloud-adoption-framework/blob/main/docs/scenarios/ai/infrastructure/governance.md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" w:name="fn16"/>
    <w:bookmarkEnd w:id="25"/>
    <w:p>
      <w:pPr>
        <w:numPr>
          <w:ilvl w:val="0"/>
          <w:numId w:val="8"/>
        </w:numPr>
        <w:spacing w:line="360" w:after="210" w:lineRule="auto"/>
      </w:pPr>
      <w:hyperlink r:id="rId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https://github.com/LiquidGalaxyLAB/AI-Mirror/actions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" w:name="fn17"/>
    <w:bookmarkEnd w:id="26"/>
    <w:p>
      <w:pPr>
        <w:numPr>
          <w:ilvl w:val="0"/>
          <w:numId w:val="8"/>
        </w:numPr>
        <w:spacing w:line="360" w:after="210" w:lineRule="auto"/>
      </w:pPr>
      <w:hyperlink r:id="rId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https://github.com/topics/mirror-links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" w:name="fn18"/>
    <w:bookmarkEnd w:id="27"/>
    <w:p>
      <w:pPr>
        <w:numPr>
          <w:ilvl w:val="0"/>
          <w:numId w:val="8"/>
        </w:numPr>
        <w:spacing w:line="360" w:after="210" w:lineRule="auto"/>
      </w:pPr>
      <w:hyperlink r:id="rId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https://www.nextmsc.com/report/ai-governance-market-3562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" w:name="fn19"/>
    <w:bookmarkEnd w:id="28"/>
    <w:p>
      <w:pPr>
        <w:numPr>
          <w:ilvl w:val="0"/>
          <w:numId w:val="8"/>
        </w:numPr>
        <w:spacing w:line="360" w:after="210" w:lineRule="auto"/>
      </w:pPr>
      <w:hyperlink r:id="rId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https://arxiv.org/abs/2503.18666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" w:name="fn20"/>
    <w:bookmarkEnd w:id="29"/>
    <w:p>
      <w:pPr>
        <w:numPr>
          <w:ilvl w:val="0"/>
          <w:numId w:val="8"/>
        </w:numPr>
        <w:spacing w:line="360" w:after="210" w:lineRule="auto"/>
      </w:pPr>
      <w:hyperlink r:id="rId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https://www.reddit.com/r/SaaS/comments/1ibx76n/positioning_is_everything_tales_of_a_developer/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" w:name="fn21"/>
    <w:bookmarkEnd w:id="30"/>
    <w:p>
      <w:pPr>
        <w:numPr>
          <w:ilvl w:val="0"/>
          <w:numId w:val="8"/>
        </w:numPr>
        <w:spacing w:line="360" w:after="210" w:lineRule="auto"/>
      </w:pPr>
      <w:hyperlink r:id="rId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https://www.linkedin.com/pulse/ai-adoption-2026-part-2-what-2025-taught-us-winning-salim-sebkhi-exn0e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" w:name="fn22"/>
    <w:bookmarkEnd w:id="31"/>
    <w:p>
      <w:pPr>
        <w:numPr>
          <w:ilvl w:val="0"/>
          <w:numId w:val="8"/>
        </w:numPr>
        <w:spacing w:line="360" w:after="210" w:lineRule="auto"/>
      </w:pPr>
      <w:hyperlink r:id="rId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https://cposkitt.github.io/files/publications/agentspec_llm_enforcement_icse26.pdf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" w:name="fn23"/>
    <w:bookmarkEnd w:id="32"/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Phase-mirror-dissonance___Open-core-must-be-useful.pdf </w:t>
      </w:r>
    </w:p>
    <w:bookmarkStart w:id="33" w:name="fn24"/>
    <w:bookmarkEnd w:id="33"/>
    <w:p>
      <w:pPr>
        <w:numPr>
          <w:ilvl w:val="0"/>
          <w:numId w:val="8"/>
        </w:numPr>
        <w:spacing w:line="360" w:after="210" w:lineRule="auto"/>
      </w:pPr>
      <w:hyperlink r:id="rId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https://dev.to/thebitforge/building-scalable-saas-products-a-developers-guide-48a7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" w:name="fn25"/>
    <w:bookmarkEnd w:id="34"/>
    <w:p>
      <w:pPr>
        <w:numPr>
          <w:ilvl w:val="0"/>
          <w:numId w:val="8"/>
        </w:numPr>
        <w:spacing w:line="360" w:after="210" w:lineRule="auto"/>
      </w:pPr>
      <w:hyperlink r:id="rId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https://codewave.com/insights/ai-enterprise-adoption-2026/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" w:name="fn26"/>
    <w:bookmarkEnd w:id="35"/>
    <w:p>
      <w:pPr>
        <w:numPr>
          <w:ilvl w:val="0"/>
          <w:numId w:val="8"/>
        </w:numPr>
        <w:spacing w:line="360" w:after="210" w:lineRule="auto"/>
      </w:pPr>
      <w:hyperlink r:id="rId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https://accuknox.com/blog/ai-spm-tools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" w:name="fn27"/>
    <w:bookmarkEnd w:id="36"/>
    <w:p>
      <w:pPr>
        <w:numPr>
          <w:ilvl w:val="0"/>
          <w:numId w:val="8"/>
        </w:numPr>
        <w:spacing w:line="360" w:after="210" w:lineRule="auto"/>
      </w:pPr>
      <w:hyperlink r:id="rId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https://www.opencoreventures.com/blog/building-venture-scale-open-core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" w:name="fn28"/>
    <w:bookmarkEnd w:id="37"/>
    <w:p>
      <w:pPr>
        <w:numPr>
          <w:ilvl w:val="0"/>
          <w:numId w:val="8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https://www.techment.com/blogs/enterprise-ai-strategy-in-2026/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" w:name="fn29"/>
    <w:bookmarkEnd w:id="38"/>
    <w:p>
      <w:pPr>
        <w:numPr>
          <w:ilvl w:val="0"/>
          <w:numId w:val="8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https://www.linkedin.com/posts/dominiquetu_agenticai-aigovernance-aisecurity-activity-7421727196345573376-tPSn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" w:name="fn30"/>
    <w:bookmarkEnd w:id="39"/>
    <w:p>
      <w:pPr>
        <w:numPr>
          <w:ilvl w:val="0"/>
          <w:numId w:val="8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https://ferndesk.com/blog/knowledge-base-for-saas-startups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" w:name="fn31"/>
    <w:bookmarkEnd w:id="40"/>
    <w:p>
      <w:pPr>
        <w:numPr>
          <w:ilvl w:val="0"/>
          <w:numId w:val="8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https://legal.thomsonreuters.com/blog/why-leading-enterprises-are-turning-to-ai-collaboration-for-strategic-agility/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" w:name="fn32"/>
    <w:bookmarkEnd w:id="41"/>
    <w:p>
      <w:pPr>
        <w:numPr>
          <w:ilvl w:val="0"/>
          <w:numId w:val="8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https://www.linkedin.com/posts/josephdavis_sail-framework-a-practical-guide-for-ai-activity-7380344539850641408-lKAE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" w:name="fn33"/>
    <w:bookmarkEnd w:id="42"/>
    <w:p>
      <w:pPr>
        <w:numPr>
          <w:ilvl w:val="0"/>
          <w:numId w:val="8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https://innovecs.com/blog/how-to-create-a-saas-product-a-complete-guide/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" w:name="fn34"/>
    <w:bookmarkEnd w:id="43"/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Phase-Mirror_-Comprehensive-Services-Catalog.docx.pdf </w:t>
      </w:r>
    </w:p>
    <w:bookmarkStart w:id="44" w:name="fn35"/>
    <w:bookmarkEnd w:id="44"/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Phase-Mirror_-Consultation-SaaS.pdf </w:t>
      </w:r>
    </w:p>
    <w:bookmarkStart w:id="45" w:name="fn36"/>
    <w:bookmarkEnd w:id="45"/>
    <w:p>
      <w:pPr>
        <w:numPr>
          <w:ilvl w:val="0"/>
          <w:numId w:val="8"/>
        </w:numPr>
        <w:spacing w:line="360" w:after="210" w:lineRule="auto"/>
      </w:pPr>
      <w:r>
        <w:rPr>
          <w:rFonts w:eastAsia="inter" w:cs="inter" w:ascii="inter" w:hAnsi="inter"/>
          <w:color w:val="000000"/>
          <w:sz w:val="18"/>
        </w:rPr>
        <w:t xml:space="preserve">how-many-layers-is-the-phase-m-G.WN6_zTSWWBxS6_j3pt_A.md </w:t>
      </w:r>
    </w:p>
    <w:bookmarkStart w:id="46" w:name="fn37"/>
    <w:bookmarkEnd w:id="46"/>
    <w:p>
      <w:pPr>
        <w:numPr>
          <w:ilvl w:val="0"/>
          <w:numId w:val="8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if-phase-mirror-had-a-ui-ux-wh-42aRj49CSACSlpWdD.YCfA.md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" w:name="fn38"/>
    <w:bookmarkEnd w:id="47"/>
    <w:p>
      <w:pPr>
        <w:numPr>
          <w:ilvl w:val="0"/>
          <w:numId w:val="8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summary-i-have-successfully-co-NQB9tmvNTLe1yBugWvvJbA.md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" w:name="fn39"/>
    <w:bookmarkEnd w:id="48"/>
    <w:p>
      <w:pPr>
        <w:numPr>
          <w:ilvl w:val="0"/>
          <w:numId w:val="8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lets-analyze-the-phase-mirror-KxbpLF05TkmkJ5C3R17zHw.md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</w:abstractNum>
  <w:abstractNum w:abstractNumId="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3eb7a4595d0da3e0ffdb994d4dc5ca89b91bf526.png" TargetMode="Internal"/><Relationship Id="rId6" Type="http://schemas.openxmlformats.org/officeDocument/2006/relationships/hyperlink" Target="https://github.com/snehasanchitb/CodeSphere/blob/main/AI%20Governance%20Service%20Market%20Key%20Drivers%20and%20Forecast%202025-2032.md" TargetMode="External"/><Relationship Id="rId7" Type="http://schemas.openxmlformats.org/officeDocument/2006/relationships/hyperlink" Target="https://github.com/spectector/spectector" TargetMode="External"/><Relationship Id="rId8" Type="http://schemas.openxmlformats.org/officeDocument/2006/relationships/hyperlink" Target="https://github.com/open-core-os/open-core-os" TargetMode="External"/><Relationship Id="rId9" Type="http://schemas.openxmlformats.org/officeDocument/2006/relationships/hyperlink" Target="https://github.com/finos/community/issues/337" TargetMode="External"/><Relationship Id="rId10" Type="http://schemas.openxmlformats.org/officeDocument/2006/relationships/hyperlink" Target="https://github.com/palancana/Speculo-smart-mirror" TargetMode="External"/><Relationship Id="rId11" Type="http://schemas.openxmlformats.org/officeDocument/2006/relationships/hyperlink" Target="https://github.com/wasp-lang/open-saas" TargetMode="External"/><Relationship Id="rId12" Type="http://schemas.openxmlformats.org/officeDocument/2006/relationships/hyperlink" Target="https://github.com/whitegloveai/AI-Adoption-Management-Framework" TargetMode="External"/><Relationship Id="rId13" Type="http://schemas.openxmlformats.org/officeDocument/2006/relationships/hyperlink" Target="https://github.com/Moderocky/Mirror" TargetMode="External"/><Relationship Id="rId14" Type="http://schemas.openxmlformats.org/officeDocument/2006/relationships/hyperlink" Target="https://github.com/phasehq/docs" TargetMode="External"/><Relationship Id="rId15" Type="http://schemas.openxmlformats.org/officeDocument/2006/relationships/hyperlink" Target="https://github.com/MicrosoftDocs/cloud-adoption-framework/blob/main/docs/scenarios/ai/platform/governance.md" TargetMode="External"/><Relationship Id="rId16" Type="http://schemas.openxmlformats.org/officeDocument/2006/relationships/hyperlink" Target="https://github.com/speculare-cloud" TargetMode="External"/><Relationship Id="rId17" Type="http://schemas.openxmlformats.org/officeDocument/2006/relationships/hyperlink" Target="https://github.com/opensaasstudio" TargetMode="External"/><Relationship Id="rId18" Type="http://schemas.openxmlformats.org/officeDocument/2006/relationships/hyperlink" Target="https://github.com/MicrosoftDocs/cloud-adoption-framework/blob/main/docs/scenarios/ai/infrastructure/governance.md" TargetMode="External"/><Relationship Id="rId19" Type="http://schemas.openxmlformats.org/officeDocument/2006/relationships/hyperlink" Target="https://github.com/LiquidGalaxyLAB/AI-Mirror/actions" TargetMode="External"/><Relationship Id="rId20" Type="http://schemas.openxmlformats.org/officeDocument/2006/relationships/hyperlink" Target="https://github.com/topics/mirror-links" TargetMode="External"/><Relationship Id="rId21" Type="http://schemas.openxmlformats.org/officeDocument/2006/relationships/hyperlink" Target="https://www.nextmsc.com/report/ai-governance-market-3562" TargetMode="External"/><Relationship Id="rId22" Type="http://schemas.openxmlformats.org/officeDocument/2006/relationships/hyperlink" Target="https://arxiv.org/abs/2503.18666" TargetMode="External"/><Relationship Id="rId23" Type="http://schemas.openxmlformats.org/officeDocument/2006/relationships/hyperlink" Target="https://www.reddit.com/r/SaaS/comments/1ibx76n/positioning_is_everything_tales_of_a_developer/" TargetMode="External"/><Relationship Id="rId24" Type="http://schemas.openxmlformats.org/officeDocument/2006/relationships/hyperlink" Target="https://www.linkedin.com/pulse/ai-adoption-2026-part-2-what-2025-taught-us-winning-salim-sebkhi-exn0e" TargetMode="External"/><Relationship Id="rId25" Type="http://schemas.openxmlformats.org/officeDocument/2006/relationships/hyperlink" Target="https://cposkitt.github.io/files/publications/agentspec_llm_enforcement_icse26.pdf" TargetMode="External"/><Relationship Id="rId26" Type="http://schemas.openxmlformats.org/officeDocument/2006/relationships/hyperlink" Target="https://dev.to/thebitforge/building-scalable-saas-products-a-developers-guide-48a7" TargetMode="External"/><Relationship Id="rId27" Type="http://schemas.openxmlformats.org/officeDocument/2006/relationships/hyperlink" Target="https://codewave.com/insights/ai-enterprise-adoption-2026/" TargetMode="External"/><Relationship Id="rId28" Type="http://schemas.openxmlformats.org/officeDocument/2006/relationships/hyperlink" Target="https://accuknox.com/blog/ai-spm-tools" TargetMode="External"/><Relationship Id="rId29" Type="http://schemas.openxmlformats.org/officeDocument/2006/relationships/hyperlink" Target="https://www.opencoreventures.com/blog/building-venture-scale-open-core" TargetMode="External"/><Relationship Id="rId30" Type="http://schemas.openxmlformats.org/officeDocument/2006/relationships/hyperlink" Target="https://www.techment.com/blogs/enterprise-ai-strategy-in-2026/" TargetMode="External"/><Relationship Id="rId31" Type="http://schemas.openxmlformats.org/officeDocument/2006/relationships/hyperlink" Target="https://www.linkedin.com/posts/dominiquetu_agenticai-aigovernance-aisecurity-activity-7421727196345573376-tPSn" TargetMode="External"/><Relationship Id="rId32" Type="http://schemas.openxmlformats.org/officeDocument/2006/relationships/hyperlink" Target="https://ferndesk.com/blog/knowledge-base-for-saas-startups" TargetMode="External"/><Relationship Id="rId33" Type="http://schemas.openxmlformats.org/officeDocument/2006/relationships/hyperlink" Target="https://legal.thomsonreuters.com/blog/why-leading-enterprises-are-turning-to-ai-collaboration-for-strategic-agility/" TargetMode="External"/><Relationship Id="rId34" Type="http://schemas.openxmlformats.org/officeDocument/2006/relationships/hyperlink" Target="https://www.linkedin.com/posts/josephdavis_sail-framework-a-practical-guide-for-ai-activity-7380344539850641408-lKAE" TargetMode="External"/><Relationship Id="rId35" Type="http://schemas.openxmlformats.org/officeDocument/2006/relationships/hyperlink" Target="https://innovecs.com/blog/how-to-create-a-saas-product-a-complete-guide/" TargetMode="External"/><Relationship Id="rId36" Type="http://schemas.openxmlformats.org/officeDocument/2006/relationships/hyperlink" Target="http://if-phase-mirror-had-a-ui-ux-wh-42aRj49CSACSlpWdD.YCfA.md" TargetMode="External"/><Relationship Id="rId37" Type="http://schemas.openxmlformats.org/officeDocument/2006/relationships/hyperlink" Target="http://summary-i-have-successfully-co-NQB9tmvNTLe1yBugWvvJbA.md" TargetMode="External"/><Relationship Id="rId38" Type="http://schemas.openxmlformats.org/officeDocument/2006/relationships/hyperlink" Target="http://lets-analyze-the-phase-mirror-KxbpLF05TkmkJ5C3R17zHw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2026-02-11T12:38:12.986Z</dcterms:created>
  <dcterms:modified xsi:type="dcterms:W3CDTF">2026-02-11T12:38:12.986Z</dcterms:modified>
</cp:coreProperties>
</file>