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EduMS — Sơ đồ ERD tổng quát</w:t>
      </w:r>
    </w:p>
    <w:p>
      <w:pPr>
        <w:jc w:val="center"/>
      </w:pPr>
      <w:r>
        <w:rPr>
          <w:b/>
          <w:color w:val="6A5AA3"/>
          <w:sz w:val="30"/>
        </w:rPr>
        <w:t>AI-Native Education Management &amp; University Entrance Exam Support System</w:t>
      </w:r>
    </w:p>
    <w:p/>
    <w:p>
      <w:pPr>
        <w:jc w:val="center"/>
      </w:pPr>
      <w:r>
        <w:t>Tài liệu được đối chiếu từ SQLAlchemy metadata hiện tại: 132 bảng vật lý. Các sơ đồ dưới đây tập trung vào bảng nghiệp vụ và quan hệ cốt lõi.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1E5B43"/>
          </w:tcPr>
          <w:p>
            <w:r>
              <w:rPr>
                <w:b/>
                <w:color w:val="FFFFFF"/>
              </w:rPr>
              <w:t>Phạm vi</w:t>
            </w:r>
          </w:p>
        </w:tc>
        <w:tc>
          <w:tcPr>
            <w:tcW w:type="dxa" w:w="3812"/>
            <w:shd w:fill="1E5B43"/>
          </w:tcPr>
          <w:p>
            <w:r>
              <w:rPr>
                <w:b/>
                <w:color w:val="FFFFFF"/>
              </w:rPr>
              <w:t>Cấu trúc cây</w:t>
            </w:r>
          </w:p>
        </w:tc>
        <w:tc>
          <w:tcPr>
            <w:tcW w:type="dxa" w:w="3812"/>
            <w:shd w:fill="1E5B43"/>
          </w:tcPr>
          <w:p>
            <w:r>
              <w:rPr>
                <w:b/>
                <w:color w:val="FFFFFF"/>
              </w:rPr>
              <w:t>Mastery</w:t>
            </w:r>
          </w:p>
        </w:tc>
        <w:tc>
          <w:tcPr>
            <w:tcW w:type="dxa" w:w="3812"/>
            <w:shd w:fill="1E5B43"/>
          </w:tcPr>
          <w:p>
            <w:r>
              <w:rPr>
                <w:b/>
                <w:color w:val="FFFFFF"/>
              </w:rPr>
              <w:t>Database</w:t>
            </w:r>
          </w:p>
        </w:tc>
      </w:tr>
      <w:tr>
        <w:tc>
          <w:tcPr>
            <w:tcW w:type="dxa" w:w="3812"/>
            <w:shd w:fill="F6FBF8"/>
          </w:tcPr>
          <w:p>
            <w:r>
              <w:t>Student · Teacher · Parent · Admin</w:t>
            </w:r>
          </w:p>
        </w:tc>
        <w:tc>
          <w:tcPr>
            <w:tcW w:type="dxa" w:w="3812"/>
            <w:shd w:fill="F6FBF8"/>
          </w:tcPr>
          <w:p>
            <w:r>
              <w:t>6 Chapter · 25 Topic · 75 ProblemType</w:t>
            </w:r>
          </w:p>
        </w:tc>
        <w:tc>
          <w:tcPr>
            <w:tcW w:type="dxa" w:w="3812"/>
            <w:shd w:fill="F6FBF8"/>
          </w:tcPr>
          <w:p>
            <w:r>
              <w:t>Concept + ProblemType</w:t>
            </w:r>
          </w:p>
        </w:tc>
        <w:tc>
          <w:tcPr>
            <w:tcW w:type="dxa" w:w="3812"/>
            <w:shd w:fill="F6FBF8"/>
          </w:tcPr>
          <w:p>
            <w:r>
              <w:t>PostgreSQL · 132 bảng</w:t>
            </w:r>
          </w:p>
        </w:tc>
      </w:tr>
    </w:tbl>
    <w:p/>
    <w:p>
      <w:pPr>
        <w:pStyle w:val="Heading1"/>
      </w:pPr>
      <w:r>
        <w:t>Quy ước</w:t>
      </w:r>
    </w:p>
    <w:p>
      <w:pPr>
        <w:pStyle w:val="ListBullet"/>
      </w:pPr>
      <w:r>
        <w:t>PK: khóa chính; FK: khóa ngoại; UK: ràng buộc duy nhất.</w:t>
      </w:r>
    </w:p>
    <w:p>
      <w:pPr>
        <w:pStyle w:val="ListBullet"/>
      </w:pPr>
      <w:r>
        <w:t>1 : N là quan hệ một-nhiều; 1 : 0..1 là quan hệ một-không hoặc một.</w:t>
      </w:r>
    </w:p>
    <w:p>
      <w:pPr>
        <w:pStyle w:val="ListBullet"/>
      </w:pPr>
      <w:r>
        <w:t>Bảng mapping biểu diễn quan hệ nhiều-nhiều và có thể chứa weight/is_primary.</w:t>
      </w:r>
    </w:p>
    <w:p>
      <w:pPr>
        <w:pStyle w:val="ListBullet"/>
      </w:pPr>
      <w:r>
        <w:t>Student Digital Twin là read model tổng hợp, không phải bảng giant JSON.</w:t>
      </w:r>
    </w:p>
    <w:p>
      <w:pPr>
        <w:pStyle w:val="ListBullet"/>
      </w:pPr>
      <w:r>
        <w:t>Các dataset staging/review trên filesystem không được xem là dữ liệu production trong ERD.</w:t>
      </w:r>
    </w:p>
    <w:p>
      <w:r>
        <w:br w:type="page"/>
      </w:r>
    </w:p>
    <w:p>
      <w:pPr>
        <w:pStyle w:val="Heading1"/>
      </w:pPr>
      <w:r>
        <w:t>1. Identity, RBAC, Profile và Classroom</w:t>
      </w:r>
    </w:p>
    <w:p>
      <w:r>
        <w:t>Người dùng có đúng một role. Profile tách theo vai trò; quyền Teacher/Parent kiểm tra qua bảng quan hệ thật.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4356" cy="5349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dentity_classr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356" cy="53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Curriculum, Knowledge Graph và Question Bank</w:t>
      </w:r>
    </w:p>
    <w:p>
      <w:r>
        <w:t>Cây học thuật đi từ CurriculumVersion đến ProblemType. Concept Graph chạy song song và được nối bằng các bảng mapping có trọng số.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4750" cy="534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urriculum_ques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475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Practice, Evidence, Mastery và Digital Twin</w:t>
      </w:r>
    </w:p>
    <w:p>
      <w:r>
        <w:t>Attempt tạo evidence sau khi được đánh giá. Mastery lưu riêng cho Concept và ProblemType; Chapter/Topic là aggregate khi đọc.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81773" cy="5349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arning_mast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1773" cy="53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Diagnostic, Misconception và Adaptive Repair</w:t>
      </w:r>
    </w:p>
    <w:p>
      <w:r>
        <w:t>Diagnostic thu evidence; Root Cause phân tích ứng viên nguyên nhân; Repair tạo chuỗi bài sửa lỗi có kiểm chứng.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4294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nosis_rep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29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Teaching, Assignment, Exam, Planning và Admission</w:t>
      </w:r>
    </w:p>
    <w:p>
      <w:r>
        <w:t>Các lớp học và kế hoạch giảng dạy có thể giao bài, nhưng self-study vẫn hoạt động độc lập với Classroom.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75178" cy="5349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nagement_exam_admi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5178" cy="53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Luồng dữ liệu học tập tổng thể</w:t>
      </w:r>
    </w:p>
    <w:p>
      <w:r>
        <w:t>Database là source of truth. AI chỉ hỗ trợ giải thích hoặc phân tích khi cần; chấm điểm cơ bản, evidence, mastery và recommendation nền tảng vẫn deterministic.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892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arning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89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Trạng thái dữ liệu Toán 12 tại thời điểm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1E5B43"/>
          </w:tcPr>
          <w:p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7625"/>
            <w:shd w:fill="1E5B43"/>
          </w:tcPr>
          <w:p>
            <w:r>
              <w:rPr>
                <w:b/>
                <w:color w:val="FFFFFF"/>
              </w:rPr>
              <w:t>Số lượng / trạng thái</w:t>
            </w:r>
          </w:p>
        </w:tc>
      </w:tr>
      <w:tr>
        <w:tc>
          <w:tcPr>
            <w:tcW w:type="dxa" w:w="7625"/>
          </w:tcPr>
          <w:p>
            <w:r>
              <w:t>Chapter đang hoạt động</w:t>
            </w:r>
          </w:p>
        </w:tc>
        <w:tc>
          <w:tcPr>
            <w:tcW w:type="dxa" w:w="7625"/>
          </w:tcPr>
          <w:p>
            <w:r>
              <w:t>6</w:t>
            </w:r>
          </w:p>
        </w:tc>
      </w:tr>
      <w:tr>
        <w:tc>
          <w:tcPr>
            <w:tcW w:type="dxa" w:w="7625"/>
          </w:tcPr>
          <w:p>
            <w:r>
              <w:t>Topic đang hoạt động</w:t>
            </w:r>
          </w:p>
        </w:tc>
        <w:tc>
          <w:tcPr>
            <w:tcW w:type="dxa" w:w="7625"/>
          </w:tcPr>
          <w:p>
            <w:r>
              <w:t>25</w:t>
            </w:r>
          </w:p>
        </w:tc>
      </w:tr>
      <w:tr>
        <w:tc>
          <w:tcPr>
            <w:tcW w:type="dxa" w:w="7625"/>
          </w:tcPr>
          <w:p>
            <w:r>
              <w:t>ProblemType đang hoạt động</w:t>
            </w:r>
          </w:p>
        </w:tc>
        <w:tc>
          <w:tcPr>
            <w:tcW w:type="dxa" w:w="7625"/>
          </w:tcPr>
          <w:p>
            <w:r>
              <w:t>75</w:t>
            </w:r>
          </w:p>
        </w:tc>
      </w:tr>
      <w:tr>
        <w:tc>
          <w:tcPr>
            <w:tcW w:type="dxa" w:w="7625"/>
          </w:tcPr>
          <w:p>
            <w:r>
              <w:t>Concept trong read model</w:t>
            </w:r>
          </w:p>
        </w:tc>
        <w:tc>
          <w:tcPr>
            <w:tcW w:type="dxa" w:w="7625"/>
          </w:tcPr>
          <w:p>
            <w:r>
              <w:t>89</w:t>
            </w:r>
          </w:p>
        </w:tc>
      </w:tr>
      <w:tr>
        <w:tc>
          <w:tcPr>
            <w:tcW w:type="dxa" w:w="7625"/>
          </w:tcPr>
          <w:p>
            <w:r>
              <w:t>LearningOutcome</w:t>
            </w:r>
          </w:p>
        </w:tc>
        <w:tc>
          <w:tcPr>
            <w:tcW w:type="dxa" w:w="7625"/>
          </w:tcPr>
          <w:p>
            <w:r>
              <w:t>34</w:t>
            </w:r>
          </w:p>
        </w:tc>
      </w:tr>
      <w:tr>
        <w:tc>
          <w:tcPr>
            <w:tcW w:type="dxa" w:w="7625"/>
          </w:tcPr>
          <w:p>
            <w:r>
              <w:t>ConceptRelation</w:t>
            </w:r>
          </w:p>
        </w:tc>
        <w:tc>
          <w:tcPr>
            <w:tcW w:type="dxa" w:w="7625"/>
          </w:tcPr>
          <w:p>
            <w:r>
              <w:t>93</w:t>
            </w:r>
          </w:p>
        </w:tc>
      </w:tr>
      <w:tr>
        <w:tc>
          <w:tcPr>
            <w:tcW w:type="dxa" w:w="7625"/>
          </w:tcPr>
          <w:p>
            <w:r>
              <w:t>Question production trong database</w:t>
            </w:r>
          </w:p>
        </w:tc>
        <w:tc>
          <w:tcPr>
            <w:tcW w:type="dxa" w:w="7625"/>
          </w:tcPr>
          <w:p>
            <w:r>
              <w:t>0 — cây xem được, Practice chưa có câu hỏi để phân phối</w:t>
            </w:r>
          </w:p>
        </w:tc>
      </w:tr>
      <w:tr>
        <w:tc>
          <w:tcPr>
            <w:tcW w:type="dxa" w:w="7625"/>
          </w:tcPr>
          <w:p>
            <w:r>
              <w:t>Synthetic data</w:t>
            </w:r>
          </w:p>
        </w:tc>
        <w:tc>
          <w:tcPr>
            <w:tcW w:type="dxa" w:w="7625"/>
          </w:tcPr>
          <w:p>
            <w:r>
              <w:t>Có marker riêng; production analytics có thể loại trừ</w:t>
            </w:r>
          </w:p>
        </w:tc>
      </w:tr>
    </w:tbl>
    <w:p>
      <w:pPr>
        <w:pStyle w:val="Heading2"/>
      </w:pPr>
      <w:r>
        <w:t>Các domain phụ trợ không bung chi tiết trong sơ đồ</w:t>
      </w:r>
    </w:p>
    <w:p>
      <w:pPr>
        <w:pStyle w:val="ListBullet"/>
      </w:pPr>
      <w:r>
        <w:t>Question import, acquisition, validation và supply-gap audit.</w:t>
      </w:r>
    </w:p>
    <w:p>
      <w:pPr>
        <w:pStyle w:val="ListBullet"/>
      </w:pPr>
      <w:r>
        <w:t>Teacher materials, material item taxonomy và bài làm tự luận theo từng bước.</w:t>
      </w:r>
    </w:p>
    <w:p>
      <w:pPr>
        <w:pStyle w:val="ListBullet"/>
      </w:pPr>
      <w:r>
        <w:t>RAG documents/document_chunks và AI request logs.</w:t>
      </w:r>
    </w:p>
    <w:p>
      <w:pPr>
        <w:pStyle w:val="ListBullet"/>
      </w:pPr>
      <w:r>
        <w:t>Tutor sessions, student learning memory và tutor summaries.</w:t>
      </w:r>
    </w:p>
    <w:p>
      <w:pPr>
        <w:pStyle w:val="ListBullet"/>
      </w:pPr>
      <w:r>
        <w:t>Import history, provenance, review overlay và visual assets trên filesystem.</w:t>
      </w:r>
    </w:p>
    <w:sectPr w:rsidR="00FC693F" w:rsidRPr="0006063C" w:rsidSect="00034616">
      <w:footerReference w:type="default" r:id="rId15"/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5B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B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5B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EduMS — Sơ đồ ERD tổng quát</dc:title>
  <dc:subject>Kiến trúc dữ liệu tổng quát của Coach Learning / EduMS</dc:subject>
  <dc:creator>EduMS Development Team</dc:creator>
  <cp:keywords>EduMS, Coach Learning, ERD, PostgreSQL, SQLAlchemy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