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line="247" w:lineRule="auto"/>
      </w:pPr>
      <w:r>
        <w:t>Lựa chọn công cụ giao tiếp cho CampusPay</w:t>
      </w:r>
    </w:p>
    <w:p>
      <w:pPr>
        <w:spacing w:after="140" w:line="247" w:lineRule="auto"/>
      </w:pPr>
      <w:r>
        <w:rPr>
          <w:i/>
          <w:color w:val="64737D"/>
        </w:rPr>
        <w:t>Phân tích ngắn cho nhóm startup sinh viên 4–5 người</w:t>
      </w:r>
    </w:p>
    <w:p>
      <w:pPr>
        <w:pStyle w:val="Heading1"/>
        <w:spacing w:line="247" w:lineRule="auto"/>
      </w:pPr>
      <w:r>
        <w:t>1. Nhu cầu và mục tiêu</w:t>
      </w:r>
    </w:p>
    <w:p>
      <w:pPr>
        <w:spacing w:after="80" w:line="247" w:lineRule="auto"/>
      </w:pPr>
      <w:r>
        <w:t>CampusPay cần giữ thông báo và quyết định khỏi bị trôi, giao việc có người phụ trách và hạn hoàn thành, tìm lại lịch sử và phối hợp được trên điện thoại. Nhóm cũng cần xử lý sự cố mất file, đồng thời vẫn liên lạc với đối tác đang dùng Zalo.</w:t>
      </w:r>
    </w:p>
    <w:p>
      <w:pPr>
        <w:spacing w:after="120" w:line="247" w:lineRule="auto"/>
      </w:pPr>
      <w:r>
        <w:rPr>
          <w:b/>
        </w:rPr>
        <w:t xml:space="preserve">Mục tiêu: </w:t>
      </w:r>
      <w:r>
        <w:t>chọn cách làm giảm thất lạc thông tin mà không làm chậm tiến độ hiện tại.</w:t>
      </w:r>
    </w:p>
    <w:p>
      <w:pPr>
        <w:pStyle w:val="Heading1"/>
        <w:spacing w:line="247" w:lineRule="auto"/>
      </w:pPr>
      <w:r>
        <w:t>2. So sánh theo tiêu chí</w:t>
      </w:r>
    </w:p>
    <w:tbl>
      <w:tblPr>
        <w:tblW w:type="auto" w:w="0"/>
        <w:jc w:val="center"/>
        <w:tblLayout w:type="fixed"/>
        <w:tblLook w:firstColumn="1" w:firstRow="1" w:lastColumn="0" w:lastRow="0" w:noHBand="0" w:noVBand="1" w:val="04A0"/>
      </w:tblPr>
      <w:tblGrid>
        <w:gridCol w:w="3389"/>
        <w:gridCol w:w="3389"/>
        <w:gridCol w:w="3389"/>
      </w:tblGrid>
      <w:tr>
        <w:tc>
          <w:tcPr>
            <w:tcW w:type="dxa" w:w="2088"/>
            <w:vAlign w:val="center"/>
            <w:shd w:fill="153A5B"/>
          </w:tcPr>
          <w:p>
            <w:pPr>
              <w:spacing w:after="0" w:before="0"/>
            </w:pPr>
            <w:r/>
            <w:r>
              <w:rPr>
                <w:rFonts w:ascii="Aptos" w:hAnsi="Aptos" w:eastAsia="Aptos"/>
                <w:b/>
                <w:color w:val="FFFFFF"/>
                <w:sz w:val="18"/>
              </w:rPr>
              <w:t>Tiêu chí</w:t>
            </w:r>
          </w:p>
        </w:tc>
        <w:tc>
          <w:tcPr>
            <w:tcW w:type="dxa" w:w="3672"/>
            <w:vAlign w:val="center"/>
            <w:shd w:fill="153A5B"/>
          </w:tcPr>
          <w:p>
            <w:pPr>
              <w:spacing w:after="0" w:before="0"/>
            </w:pPr>
            <w:r/>
            <w:r>
              <w:rPr>
                <w:rFonts w:ascii="Aptos" w:hAnsi="Aptos" w:eastAsia="Aptos"/>
                <w:b/>
                <w:color w:val="FFFFFF"/>
                <w:sz w:val="18"/>
              </w:rPr>
              <w:t>Zalo</w:t>
            </w:r>
          </w:p>
        </w:tc>
        <w:tc>
          <w:tcPr>
            <w:tcW w:type="dxa" w:w="3888"/>
            <w:vAlign w:val="center"/>
            <w:shd w:fill="153A5B"/>
          </w:tcPr>
          <w:p>
            <w:pPr>
              <w:spacing w:after="0" w:before="0"/>
            </w:pPr>
            <w:r/>
            <w:r>
              <w:rPr>
                <w:rFonts w:ascii="Aptos" w:hAnsi="Aptos" w:eastAsia="Aptos"/>
                <w:b/>
                <w:color w:val="FFFFFF"/>
                <w:sz w:val="18"/>
              </w:rPr>
              <w:t>Lark</w:t>
            </w:r>
          </w:p>
        </w:tc>
      </w:tr>
      <w:tr>
        <w:tc>
          <w:tcPr>
            <w:tcW w:type="dxa" w:w="2088"/>
            <w:vAlign w:val="center"/>
            <w:shd w:fill="EAF1F5"/>
          </w:tcPr>
          <w:p>
            <w:pPr>
              <w:spacing w:after="0" w:before="0"/>
            </w:pPr>
            <w:r/>
            <w:r>
              <w:rPr>
                <w:rFonts w:ascii="Aptos" w:hAnsi="Aptos" w:eastAsia="Aptos"/>
                <w:b/>
                <w:color w:val="153A5B"/>
                <w:sz w:val="17"/>
              </w:rPr>
              <w:t>Tin nhắn quan trọng</w:t>
            </w:r>
          </w:p>
        </w:tc>
        <w:tc>
          <w:tcPr>
            <w:tcW w:type="dxa" w:w="3672"/>
            <w:vAlign w:val="center"/>
            <w:shd w:fill="EAF1F5"/>
          </w:tcPr>
          <w:p>
            <w:pPr>
              <w:spacing w:after="0" w:before="0"/>
            </w:pPr>
            <w:r/>
            <w:r>
              <w:rPr>
                <w:rFonts w:ascii="Aptos" w:hAnsi="Aptos" w:eastAsia="Aptos"/>
                <w:b w:val="0"/>
                <w:color w:val="2D3741"/>
                <w:sz w:val="17"/>
              </w:rPr>
              <w:t>Trung bình — ghim được, nhưng chat chung dễ lẫn chủ đề.</w:t>
            </w:r>
          </w:p>
        </w:tc>
        <w:tc>
          <w:tcPr>
            <w:tcW w:type="dxa" w:w="3888"/>
            <w:vAlign w:val="center"/>
            <w:shd w:fill="EAF1F5"/>
          </w:tcPr>
          <w:p>
            <w:pPr>
              <w:spacing w:after="0" w:before="0"/>
            </w:pPr>
            <w:r/>
            <w:r>
              <w:rPr>
                <w:rFonts w:ascii="Aptos" w:hAnsi="Aptos" w:eastAsia="Aptos"/>
                <w:b w:val="0"/>
                <w:color w:val="2D3741"/>
                <w:sz w:val="17"/>
              </w:rPr>
              <w:t>Tốt — channel và thread phân tách trao đổi.</w:t>
            </w:r>
          </w:p>
        </w:tc>
      </w:tr>
      <w:tr>
        <w:tc>
          <w:tcPr>
            <w:tcW w:type="dxa" w:w="2088"/>
            <w:vAlign w:val="center"/>
            <w:shd w:fill="F7F9FA"/>
          </w:tcPr>
          <w:p>
            <w:pPr>
              <w:spacing w:after="0" w:before="0"/>
            </w:pPr>
            <w:r/>
            <w:r>
              <w:rPr>
                <w:rFonts w:ascii="Aptos" w:hAnsi="Aptos" w:eastAsia="Aptos"/>
                <w:b/>
                <w:color w:val="153A5B"/>
                <w:sz w:val="17"/>
              </w:rPr>
              <w:t>Quản lý công việc</w:t>
            </w:r>
          </w:p>
        </w:tc>
        <w:tc>
          <w:tcPr>
            <w:tcW w:type="dxa" w:w="3672"/>
            <w:vAlign w:val="center"/>
            <w:shd w:fill="F7F9FA"/>
          </w:tcPr>
          <w:p>
            <w:pPr>
              <w:spacing w:after="0" w:before="0"/>
            </w:pPr>
            <w:r/>
            <w:r>
              <w:rPr>
                <w:rFonts w:ascii="Aptos" w:hAnsi="Aptos" w:eastAsia="Aptos"/>
                <w:b w:val="0"/>
                <w:color w:val="2D3741"/>
                <w:sz w:val="17"/>
              </w:rPr>
              <w:t>Trung bình — có nhắc hẹn; theo dõi task và người phụ trách hạn chế.</w:t>
            </w:r>
          </w:p>
        </w:tc>
        <w:tc>
          <w:tcPr>
            <w:tcW w:type="dxa" w:w="3888"/>
            <w:vAlign w:val="center"/>
            <w:shd w:fill="F7F9FA"/>
          </w:tcPr>
          <w:p>
            <w:pPr>
              <w:spacing w:after="0" w:before="0"/>
            </w:pPr>
            <w:r/>
            <w:r>
              <w:rPr>
                <w:rFonts w:ascii="Aptos" w:hAnsi="Aptos" w:eastAsia="Aptos"/>
                <w:b w:val="0"/>
                <w:color w:val="2D3741"/>
                <w:sz w:val="17"/>
              </w:rPr>
              <w:t>Tốt — task có người phụ trách và deadline.</w:t>
            </w:r>
          </w:p>
        </w:tc>
      </w:tr>
      <w:tr>
        <w:tc>
          <w:tcPr>
            <w:tcW w:type="dxa" w:w="2088"/>
            <w:vAlign w:val="center"/>
            <w:shd w:fill="EAF1F5"/>
          </w:tcPr>
          <w:p>
            <w:pPr>
              <w:spacing w:after="0" w:before="0"/>
            </w:pPr>
            <w:r/>
            <w:r>
              <w:rPr>
                <w:rFonts w:ascii="Aptos" w:hAnsi="Aptos" w:eastAsia="Aptos"/>
                <w:b/>
                <w:color w:val="153A5B"/>
                <w:sz w:val="17"/>
              </w:rPr>
              <w:t>Miễn phí, dễ bắt đầu</w:t>
            </w:r>
          </w:p>
        </w:tc>
        <w:tc>
          <w:tcPr>
            <w:tcW w:type="dxa" w:w="3672"/>
            <w:vAlign w:val="center"/>
            <w:shd w:fill="EAF1F5"/>
          </w:tcPr>
          <w:p>
            <w:pPr>
              <w:spacing w:after="0" w:before="0"/>
            </w:pPr>
            <w:r/>
            <w:r>
              <w:rPr>
                <w:rFonts w:ascii="Aptos" w:hAnsi="Aptos" w:eastAsia="Aptos"/>
                <w:b w:val="0"/>
                <w:color w:val="2D3741"/>
                <w:sz w:val="17"/>
              </w:rPr>
              <w:t>Tốt — quen thuộc, không cần thời gian học đáng kể.</w:t>
            </w:r>
          </w:p>
        </w:tc>
        <w:tc>
          <w:tcPr>
            <w:tcW w:type="dxa" w:w="3888"/>
            <w:vAlign w:val="center"/>
            <w:shd w:fill="EAF1F5"/>
          </w:tcPr>
          <w:p>
            <w:pPr>
              <w:spacing w:after="0" w:before="0"/>
            </w:pPr>
            <w:r/>
            <w:r>
              <w:rPr>
                <w:rFonts w:ascii="Aptos" w:hAnsi="Aptos" w:eastAsia="Aptos"/>
                <w:b w:val="0"/>
                <w:color w:val="2D3741"/>
                <w:sz w:val="17"/>
              </w:rPr>
              <w:t>Trung bình — có gói miễn phí; cần 1–2 ngày làm quen.</w:t>
            </w:r>
          </w:p>
        </w:tc>
      </w:tr>
      <w:tr>
        <w:tc>
          <w:tcPr>
            <w:tcW w:type="dxa" w:w="2088"/>
            <w:vAlign w:val="center"/>
            <w:shd w:fill="F7F9FA"/>
          </w:tcPr>
          <w:p>
            <w:pPr>
              <w:spacing w:after="0" w:before="0"/>
            </w:pPr>
            <w:r/>
            <w:r>
              <w:rPr>
                <w:rFonts w:ascii="Aptos" w:hAnsi="Aptos" w:eastAsia="Aptos"/>
                <w:b/>
                <w:color w:val="153A5B"/>
                <w:sz w:val="17"/>
              </w:rPr>
              <w:t>Tìm lịch sử</w:t>
            </w:r>
          </w:p>
        </w:tc>
        <w:tc>
          <w:tcPr>
            <w:tcW w:type="dxa" w:w="3672"/>
            <w:vAlign w:val="center"/>
            <w:shd w:fill="F7F9FA"/>
          </w:tcPr>
          <w:p>
            <w:pPr>
              <w:spacing w:after="0" w:before="0"/>
            </w:pPr>
            <w:r/>
            <w:r>
              <w:rPr>
                <w:rFonts w:ascii="Aptos" w:hAnsi="Aptos" w:eastAsia="Aptos"/>
                <w:b w:val="0"/>
                <w:color w:val="2D3741"/>
                <w:sz w:val="17"/>
              </w:rPr>
              <w:t>Trung bình — tìm từ khóa và duyệt file được, nhưng chat ít phân loại.</w:t>
            </w:r>
          </w:p>
        </w:tc>
        <w:tc>
          <w:tcPr>
            <w:tcW w:type="dxa" w:w="3888"/>
            <w:vAlign w:val="center"/>
            <w:shd w:fill="F7F9FA"/>
          </w:tcPr>
          <w:p>
            <w:pPr>
              <w:spacing w:after="0" w:before="0"/>
            </w:pPr>
            <w:r/>
            <w:r>
              <w:rPr>
                <w:rFonts w:ascii="Aptos" w:hAnsi="Aptos" w:eastAsia="Aptos"/>
                <w:b w:val="0"/>
                <w:color w:val="2D3741"/>
                <w:sz w:val="17"/>
              </w:rPr>
              <w:t>Tốt — tìm theo channel; gói miễn phí hiện có 18 tháng lịch sử.</w:t>
            </w:r>
          </w:p>
        </w:tc>
      </w:tr>
      <w:tr>
        <w:tc>
          <w:tcPr>
            <w:tcW w:type="dxa" w:w="2088"/>
            <w:vAlign w:val="center"/>
            <w:shd w:fill="EAF1F5"/>
          </w:tcPr>
          <w:p>
            <w:pPr>
              <w:spacing w:after="0" w:before="0"/>
            </w:pPr>
            <w:r/>
            <w:r>
              <w:rPr>
                <w:rFonts w:ascii="Aptos" w:hAnsi="Aptos" w:eastAsia="Aptos"/>
                <w:b/>
                <w:color w:val="153A5B"/>
                <w:sz w:val="17"/>
              </w:rPr>
              <w:t>Bất đồng bộ</w:t>
            </w:r>
          </w:p>
        </w:tc>
        <w:tc>
          <w:tcPr>
            <w:tcW w:type="dxa" w:w="3672"/>
            <w:vAlign w:val="center"/>
            <w:shd w:fill="EAF1F5"/>
          </w:tcPr>
          <w:p>
            <w:pPr>
              <w:spacing w:after="0" w:before="0"/>
            </w:pPr>
            <w:r/>
            <w:r>
              <w:rPr>
                <w:rFonts w:ascii="Aptos" w:hAnsi="Aptos" w:eastAsia="Aptos"/>
                <w:b w:val="0"/>
                <w:color w:val="2D3741"/>
                <w:sz w:val="17"/>
              </w:rPr>
              <w:t>Trung bình — trao đổi nhanh, nhưng ngữ cảnh và việc cần làm dễ rời rạc.</w:t>
            </w:r>
          </w:p>
        </w:tc>
        <w:tc>
          <w:tcPr>
            <w:tcW w:type="dxa" w:w="3888"/>
            <w:vAlign w:val="center"/>
            <w:shd w:fill="EAF1F5"/>
          </w:tcPr>
          <w:p>
            <w:pPr>
              <w:spacing w:after="0" w:before="0"/>
            </w:pPr>
            <w:r/>
            <w:r>
              <w:rPr>
                <w:rFonts w:ascii="Aptos" w:hAnsi="Aptos" w:eastAsia="Aptos"/>
                <w:b w:val="0"/>
                <w:color w:val="2D3741"/>
                <w:sz w:val="17"/>
              </w:rPr>
              <w:t>Tốt — thread, Docs và task giữ bối cảnh tốt hơn.</w:t>
            </w:r>
          </w:p>
        </w:tc>
      </w:tr>
    </w:tbl>
    <w:p>
      <w:pPr>
        <w:pStyle w:val="Heading1"/>
        <w:spacing w:line="247" w:lineRule="auto"/>
      </w:pPr>
      <w:r>
        <w:t>3. Đề xuất</w:t>
      </w:r>
    </w:p>
    <w:p>
      <w:pPr>
        <w:spacing w:after="80" w:line="247" w:lineRule="auto"/>
      </w:pPr>
      <w:r>
        <w:rPr>
          <w:b/>
        </w:rPr>
        <w:t xml:space="preserve">Dùng mô hình lai: Lark cho nội bộ, Zalo cho đối tác. </w:t>
      </w:r>
      <w:r>
        <w:t>Lark phù hợp hơn để gom thảo luận theo ban, theo dõi công việc và lưu quyết định. Thành viên chỉ có điện thoại vẫn dùng được ứng dụng Lark mobile.</w:t>
      </w:r>
    </w:p>
    <w:p>
      <w:pPr>
        <w:spacing w:after="80" w:line="247" w:lineRule="auto"/>
      </w:pPr>
      <w:r>
        <w:t>Do deadline gần, triển khai tối giản trước: tạo các channel cần thiết, hướng dẫn cách trả lời trong thread, tạo task và lưu quyết định. Trong 1–2 ngày làm quen, duy trì Zalo để báo việc khẩn và liên lạc đối tác; chuyển quyết định và file nội bộ chính thức sang Lark. Chỉ chia sẻ tài liệu nhạy cảm qua nơi có quyền truy cập được kiểm soát.</w:t>
      </w:r>
    </w:p>
    <w:p>
      <w:pPr>
        <w:pStyle w:val="Heading1"/>
        <w:spacing w:line="247" w:lineRule="auto"/>
      </w:pPr>
      <w:r>
        <w:t>4. Channel và quy tắc sử dụng</w:t>
      </w:r>
    </w:p>
    <w:p>
      <w:pPr>
        <w:spacing w:after="30" w:line="247" w:lineRule="auto"/>
        <w:ind w:left="173"/>
      </w:pPr>
      <w:r>
        <w:rPr>
          <w:b/>
          <w:color w:val="197278"/>
        </w:rPr>
        <w:t xml:space="preserve">#thong-bao — </w:t>
      </w:r>
      <w:r>
        <w:t>Thông báo, lịch họp, quyết định chung. Trưởng nhóm đăng; trao đổi qua thread.</w:t>
      </w:r>
    </w:p>
    <w:p>
      <w:pPr>
        <w:spacing w:after="30" w:line="247" w:lineRule="auto"/>
        <w:ind w:left="173"/>
      </w:pPr>
      <w:r>
        <w:rPr>
          <w:b/>
          <w:color w:val="197278"/>
        </w:rPr>
        <w:t xml:space="preserve">#dev — </w:t>
      </w:r>
      <w:r>
        <w:t>Tiến độ kỹ thuật, lỗi và kiến trúc. Ban Kỹ thuật đăng chính; ban khác góp ý trong thread.</w:t>
      </w:r>
    </w:p>
    <w:p>
      <w:pPr>
        <w:spacing w:after="30" w:line="247" w:lineRule="auto"/>
        <w:ind w:left="173"/>
      </w:pPr>
      <w:r>
        <w:rPr>
          <w:b/>
          <w:color w:val="197278"/>
        </w:rPr>
        <w:t xml:space="preserve">#design — </w:t>
      </w:r>
      <w:r>
        <w:t>Thiết kế và trải nghiệm người dùng. Ban Thiết kế đăng chính; các ban góp ý trong thread.</w:t>
      </w:r>
    </w:p>
    <w:p>
      <w:pPr>
        <w:spacing w:after="30" w:line="247" w:lineRule="auto"/>
        <w:ind w:left="173"/>
      </w:pPr>
      <w:r>
        <w:rPr>
          <w:b/>
          <w:color w:val="197278"/>
        </w:rPr>
        <w:t xml:space="preserve">#kinh-doanh — </w:t>
      </w:r>
      <w:r>
        <w:t>Khách hàng, đối tác và phản hồi thị trường. Ban Kinh doanh đăng chính.</w:t>
      </w:r>
    </w:p>
    <w:p>
      <w:pPr>
        <w:spacing w:after="30" w:line="247" w:lineRule="auto"/>
        <w:ind w:left="173"/>
      </w:pPr>
      <w:r>
        <w:rPr>
          <w:b/>
          <w:color w:val="197278"/>
        </w:rPr>
        <w:t xml:space="preserve">#van-hanh-task — </w:t>
      </w:r>
      <w:r>
        <w:t>Việc liên ban và deadline. Mọi thành viên tạo task, người được giao cập nhật trạng thái.</w:t>
      </w:r>
    </w:p>
    <w:p>
      <w:pPr>
        <w:spacing w:after="30" w:line="247" w:lineRule="auto"/>
        <w:ind w:left="173"/>
      </w:pPr>
      <w:r>
        <w:rPr>
          <w:b/>
          <w:color w:val="197278"/>
        </w:rPr>
        <w:t xml:space="preserve">#tai-lieu-quyet-dinh — </w:t>
      </w:r>
      <w:r>
        <w:t>Tài liệu chuẩn và quyết định đã chốt. Trưởng nhóm hoặc người được giao đăng bản chính thức.</w:t>
      </w:r>
    </w:p>
    <w:p>
      <w:pPr>
        <w:spacing w:before="80" w:after="60" w:line="247" w:lineRule="auto"/>
      </w:pPr>
      <w:r>
        <w:rPr>
          <w:b/>
        </w:rPr>
        <w:t xml:space="preserve">Quy tắc cờ đỏ @all: </w:t>
      </w:r>
      <w:r>
        <w:t>chỉ dùng khi sự việc khẩn, ảnh hưởng nhiều người và cần hành động ngay. Chỉ trưởng nhóm hoặc người được ủy quyền dùng @all; tin thường tag đúng người hoặc tạo task. Thông báo khẩn phải nêu sự việc, người cần làm và thời hạn.</w:t>
      </w:r>
    </w:p>
    <w:p>
      <w:pPr>
        <w:pStyle w:val="Heading1"/>
        <w:spacing w:line="247" w:lineRule="auto"/>
      </w:pPr>
      <w:r>
        <w:t>5. Lưu ý triển khai</w:t>
      </w:r>
    </w:p>
    <w:p>
      <w:pPr>
        <w:spacing w:after="80" w:line="247" w:lineRule="auto"/>
      </w:pPr>
      <w:r>
        <w:t>Zalo vẫn tìm được tin nhắn cũ và có chức năng ghim, nên không xem đây là công cụ không có khả năng lưu trữ. Điểm yếu là quản lý công việc và phân luồng nội bộ. Lark miễn phí có giới hạn lịch sử 18 tháng theo trang giá hiện tại; nhóm nên lưu quyết định quan trọng trong Docs để dễ tra cứu lâu dài.</w:t>
      </w:r>
    </w:p>
    <w:p>
      <w:pPr>
        <w:spacing w:before="40" w:after="0" w:line="247" w:lineRule="auto"/>
      </w:pPr>
      <w:r>
        <w:rPr>
          <w:b/>
        </w:rPr>
        <w:t xml:space="preserve">Nguồn tính năng: </w:t>
      </w:r>
      <w:r>
        <w:t>Trang giá Lark và hướng dẫn tải ứng dụng Lark; Trung tâm trợ giúp Zalo về tìm kiếm và ghim tin nhắn.</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53A5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972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53A5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Lựa chọn công cụ giao tiếp cho CampusPay</dc:title>
  <dc:subject>So sánh Zalo và Lark cho nhóm startup sinh viên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