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F4DD9" w14:textId="77777777" w:rsidR="00AB5AE1" w:rsidRPr="005D7A60" w:rsidRDefault="00AB5AE1" w:rsidP="00AB5AE1">
      <w:pPr>
        <w:widowControl w:val="0"/>
        <w:autoSpaceDE w:val="0"/>
        <w:autoSpaceDN w:val="0"/>
        <w:adjustRightInd w:val="0"/>
        <w:jc w:val="center"/>
        <w:rPr>
          <w:rFonts w:ascii="Times New Roman" w:hAnsi="Times New Roman"/>
          <w:b/>
          <w:sz w:val="36"/>
          <w:szCs w:val="36"/>
          <w:u w:val="single"/>
        </w:rPr>
      </w:pPr>
      <w:bookmarkStart w:id="0" w:name="Introduction"/>
      <w:bookmarkStart w:id="1" w:name="_Toc205137752"/>
      <w:r w:rsidRPr="005D7A60">
        <w:rPr>
          <w:rFonts w:ascii="Times New Roman" w:hAnsi="Times New Roman"/>
          <w:b/>
          <w:sz w:val="36"/>
          <w:szCs w:val="36"/>
          <w:u w:val="single"/>
        </w:rPr>
        <w:t>Synopsis</w:t>
      </w:r>
    </w:p>
    <w:p w14:paraId="2B1A3CA0" w14:textId="77777777" w:rsidR="00AB5AE1" w:rsidRPr="005D7A60" w:rsidRDefault="00AB5AE1" w:rsidP="00AB5AE1">
      <w:pPr>
        <w:widowControl w:val="0"/>
        <w:autoSpaceDE w:val="0"/>
        <w:autoSpaceDN w:val="0"/>
        <w:adjustRightInd w:val="0"/>
        <w:jc w:val="center"/>
        <w:rPr>
          <w:rFonts w:ascii="Times New Roman" w:hAnsi="Times New Roman"/>
          <w:b/>
          <w:sz w:val="28"/>
          <w:szCs w:val="28"/>
        </w:rPr>
      </w:pPr>
    </w:p>
    <w:p w14:paraId="289481D8" w14:textId="77777777" w:rsidR="00AB5AE1" w:rsidRPr="005D7A60" w:rsidRDefault="00AB5AE1" w:rsidP="00AB5AE1">
      <w:pPr>
        <w:widowControl w:val="0"/>
        <w:autoSpaceDE w:val="0"/>
        <w:autoSpaceDN w:val="0"/>
        <w:adjustRightInd w:val="0"/>
        <w:jc w:val="center"/>
        <w:rPr>
          <w:rFonts w:ascii="Times New Roman" w:hAnsi="Times New Roman"/>
          <w:b/>
          <w:sz w:val="28"/>
          <w:szCs w:val="28"/>
        </w:rPr>
      </w:pPr>
      <w:proofErr w:type="gramStart"/>
      <w:r w:rsidRPr="005D7A60">
        <w:rPr>
          <w:rFonts w:ascii="Times New Roman" w:hAnsi="Times New Roman"/>
          <w:b/>
          <w:sz w:val="28"/>
          <w:szCs w:val="28"/>
        </w:rPr>
        <w:t>on</w:t>
      </w:r>
      <w:proofErr w:type="gramEnd"/>
    </w:p>
    <w:p w14:paraId="64460C64" w14:textId="77777777" w:rsidR="00AB5AE1" w:rsidRPr="005D7A60" w:rsidRDefault="00AB5AE1" w:rsidP="00AB5AE1">
      <w:pPr>
        <w:widowControl w:val="0"/>
        <w:autoSpaceDE w:val="0"/>
        <w:autoSpaceDN w:val="0"/>
        <w:adjustRightInd w:val="0"/>
        <w:jc w:val="center"/>
        <w:rPr>
          <w:rFonts w:ascii="Times New Roman" w:hAnsi="Times New Roman"/>
          <w:b/>
          <w:sz w:val="28"/>
          <w:szCs w:val="28"/>
        </w:rPr>
      </w:pPr>
    </w:p>
    <w:p w14:paraId="6E5638C2" w14:textId="77777777" w:rsidR="00AB5AE1" w:rsidRPr="005D7A60" w:rsidRDefault="00AB5AE1" w:rsidP="00AB5AE1">
      <w:pPr>
        <w:widowControl w:val="0"/>
        <w:autoSpaceDE w:val="0"/>
        <w:autoSpaceDN w:val="0"/>
        <w:adjustRightInd w:val="0"/>
        <w:jc w:val="center"/>
        <w:rPr>
          <w:rFonts w:ascii="Times New Roman" w:hAnsi="Times New Roman"/>
          <w:b/>
          <w:sz w:val="28"/>
          <w:szCs w:val="28"/>
        </w:rPr>
      </w:pPr>
    </w:p>
    <w:p w14:paraId="7CCC61E9" w14:textId="33DA6494" w:rsidR="00AB5AE1" w:rsidRPr="005D7A60" w:rsidRDefault="00A17FD6" w:rsidP="00AB5AE1">
      <w:pPr>
        <w:widowControl w:val="0"/>
        <w:autoSpaceDE w:val="0"/>
        <w:autoSpaceDN w:val="0"/>
        <w:adjustRightInd w:val="0"/>
        <w:jc w:val="center"/>
        <w:rPr>
          <w:rFonts w:ascii="Times New Roman" w:hAnsi="Times New Roman"/>
          <w:sz w:val="28"/>
          <w:szCs w:val="28"/>
        </w:rPr>
      </w:pPr>
      <w:bookmarkStart w:id="2" w:name="_Hlk202078919"/>
      <w:r w:rsidRPr="005D7A60">
        <w:rPr>
          <w:rFonts w:ascii="Times New Roman" w:hAnsi="Times New Roman"/>
          <w:b/>
          <w:sz w:val="28"/>
          <w:szCs w:val="28"/>
        </w:rPr>
        <w:t>Integrating Predictive and Generative AI for Credit Risk Assessment under Basel 3.1</w:t>
      </w:r>
    </w:p>
    <w:bookmarkEnd w:id="2"/>
    <w:p w14:paraId="47D5162A" w14:textId="77777777" w:rsidR="00AB5AE1" w:rsidRPr="005D7A60" w:rsidRDefault="00E16347" w:rsidP="00AB5AE1">
      <w:pPr>
        <w:widowControl w:val="0"/>
        <w:autoSpaceDE w:val="0"/>
        <w:autoSpaceDN w:val="0"/>
        <w:adjustRightInd w:val="0"/>
        <w:spacing w:before="104" w:after="160"/>
        <w:ind w:left="74" w:right="68"/>
        <w:jc w:val="center"/>
        <w:rPr>
          <w:rFonts w:ascii="Times New Roman" w:hAnsi="Times New Roman"/>
        </w:rPr>
      </w:pPr>
      <w:r>
        <w:rPr>
          <w:rFonts w:ascii="Times New Roman" w:hAnsi="Times New Roman"/>
        </w:rPr>
        <w:pict w14:anchorId="1D6794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35pt;height:134pt" o:allowincell="f">
            <v:imagedata r:id="rId8" o:title=""/>
          </v:shape>
        </w:pict>
      </w:r>
    </w:p>
    <w:p w14:paraId="54C02019" w14:textId="77777777" w:rsidR="00AB5AE1" w:rsidRPr="005D7A60" w:rsidRDefault="00AB5AE1" w:rsidP="00AB5AE1">
      <w:pPr>
        <w:widowControl w:val="0"/>
        <w:autoSpaceDE w:val="0"/>
        <w:autoSpaceDN w:val="0"/>
        <w:adjustRightInd w:val="0"/>
        <w:spacing w:before="104" w:after="160"/>
        <w:ind w:left="74" w:right="68"/>
        <w:jc w:val="center"/>
        <w:rPr>
          <w:rFonts w:ascii="Times New Roman" w:hAnsi="Times New Roman"/>
        </w:rPr>
      </w:pPr>
    </w:p>
    <w:p w14:paraId="699C4CED" w14:textId="77777777" w:rsidR="00AB5AE1" w:rsidRPr="005D7A60" w:rsidRDefault="00AB5AE1" w:rsidP="00AB5AE1">
      <w:pPr>
        <w:widowControl w:val="0"/>
        <w:autoSpaceDE w:val="0"/>
        <w:autoSpaceDN w:val="0"/>
        <w:adjustRightInd w:val="0"/>
        <w:spacing w:before="104" w:after="160"/>
        <w:ind w:left="72" w:right="72"/>
        <w:jc w:val="center"/>
        <w:rPr>
          <w:rFonts w:ascii="Times New Roman" w:hAnsi="Times New Roman"/>
        </w:rPr>
      </w:pPr>
      <w:r w:rsidRPr="005D7A60">
        <w:rPr>
          <w:rFonts w:ascii="Times New Roman" w:hAnsi="Times New Roman"/>
        </w:rPr>
        <w:t>Submitted by:</w:t>
      </w:r>
    </w:p>
    <w:p w14:paraId="2C4004E1" w14:textId="77777777" w:rsidR="00AB5AE1" w:rsidRPr="005D7A60" w:rsidRDefault="00AB5AE1" w:rsidP="00AB5AE1">
      <w:pPr>
        <w:widowControl w:val="0"/>
        <w:autoSpaceDE w:val="0"/>
        <w:autoSpaceDN w:val="0"/>
        <w:adjustRightInd w:val="0"/>
        <w:spacing w:before="104" w:after="160"/>
        <w:ind w:left="72" w:right="72"/>
        <w:jc w:val="center"/>
        <w:rPr>
          <w:rFonts w:ascii="Times New Roman" w:hAnsi="Times New Roman"/>
        </w:rPr>
      </w:pPr>
      <w:r w:rsidRPr="005D7A60">
        <w:rPr>
          <w:rFonts w:ascii="Times New Roman" w:hAnsi="Times New Roman"/>
        </w:rPr>
        <w:t>Ravi Kumar Jain</w:t>
      </w:r>
    </w:p>
    <w:p w14:paraId="2F07EAFB" w14:textId="77777777" w:rsidR="00AB5AE1" w:rsidRPr="005D7A60" w:rsidRDefault="00AB5AE1" w:rsidP="00AB5AE1">
      <w:pPr>
        <w:widowControl w:val="0"/>
        <w:autoSpaceDE w:val="0"/>
        <w:autoSpaceDN w:val="0"/>
        <w:adjustRightInd w:val="0"/>
        <w:spacing w:before="104" w:after="160"/>
        <w:ind w:left="72" w:right="72"/>
        <w:jc w:val="center"/>
        <w:rPr>
          <w:rFonts w:ascii="Times New Roman" w:hAnsi="Times New Roman"/>
        </w:rPr>
      </w:pPr>
      <w:r w:rsidRPr="005D7A60">
        <w:rPr>
          <w:rFonts w:ascii="Times New Roman" w:hAnsi="Times New Roman"/>
        </w:rPr>
        <w:t>Roll No: 07 (Part Time)</w:t>
      </w:r>
    </w:p>
    <w:p w14:paraId="5DCE5E59" w14:textId="77777777" w:rsidR="00AB5AE1" w:rsidRPr="005D7A60" w:rsidRDefault="00AB5AE1" w:rsidP="00AB5AE1">
      <w:pPr>
        <w:widowControl w:val="0"/>
        <w:autoSpaceDE w:val="0"/>
        <w:autoSpaceDN w:val="0"/>
        <w:adjustRightInd w:val="0"/>
        <w:spacing w:before="104" w:after="160"/>
        <w:ind w:left="72" w:right="72"/>
        <w:jc w:val="center"/>
        <w:rPr>
          <w:rFonts w:ascii="Times New Roman" w:hAnsi="Times New Roman"/>
        </w:rPr>
      </w:pPr>
      <w:r w:rsidRPr="005D7A60">
        <w:rPr>
          <w:rFonts w:ascii="Times New Roman" w:hAnsi="Times New Roman"/>
        </w:rPr>
        <w:t>Research Scholar</w:t>
      </w:r>
    </w:p>
    <w:p w14:paraId="51065AE4" w14:textId="77777777" w:rsidR="00AB5AE1" w:rsidRPr="005D7A60" w:rsidRDefault="00AB5AE1" w:rsidP="00AB5AE1">
      <w:pPr>
        <w:widowControl w:val="0"/>
        <w:autoSpaceDE w:val="0"/>
        <w:autoSpaceDN w:val="0"/>
        <w:adjustRightInd w:val="0"/>
        <w:spacing w:before="104" w:after="160"/>
        <w:ind w:left="72" w:right="72"/>
        <w:jc w:val="center"/>
        <w:rPr>
          <w:rFonts w:ascii="Times New Roman" w:hAnsi="Times New Roman"/>
        </w:rPr>
      </w:pPr>
    </w:p>
    <w:p w14:paraId="7BD9BF81" w14:textId="77777777" w:rsidR="00AB5AE1" w:rsidRPr="005D7A60" w:rsidRDefault="00AB5AE1" w:rsidP="00AB5AE1">
      <w:pPr>
        <w:widowControl w:val="0"/>
        <w:autoSpaceDE w:val="0"/>
        <w:autoSpaceDN w:val="0"/>
        <w:adjustRightInd w:val="0"/>
        <w:spacing w:before="104" w:after="160"/>
        <w:ind w:left="72" w:right="72"/>
        <w:jc w:val="center"/>
        <w:rPr>
          <w:rFonts w:ascii="Times New Roman" w:hAnsi="Times New Roman"/>
        </w:rPr>
      </w:pPr>
      <w:r w:rsidRPr="005D7A60">
        <w:rPr>
          <w:rFonts w:ascii="Times New Roman" w:hAnsi="Times New Roman"/>
        </w:rPr>
        <w:t>Indian Institute of Foreign Trade, New Delhi</w:t>
      </w:r>
    </w:p>
    <w:p w14:paraId="6B94C088" w14:textId="77777777" w:rsidR="00AB5AE1" w:rsidRPr="005D7A60" w:rsidRDefault="00AB5AE1" w:rsidP="00AB5AE1">
      <w:pPr>
        <w:widowControl w:val="0"/>
        <w:autoSpaceDE w:val="0"/>
        <w:autoSpaceDN w:val="0"/>
        <w:adjustRightInd w:val="0"/>
        <w:spacing w:before="104" w:after="160"/>
        <w:ind w:left="72" w:right="72"/>
        <w:jc w:val="center"/>
        <w:rPr>
          <w:rFonts w:ascii="Times New Roman" w:hAnsi="Times New Roman"/>
        </w:rPr>
      </w:pPr>
      <w:r w:rsidRPr="005D7A60">
        <w:rPr>
          <w:rFonts w:ascii="Times New Roman" w:hAnsi="Times New Roman"/>
        </w:rPr>
        <w:t>Email: ravi_phdm23@iift.edu</w:t>
      </w:r>
    </w:p>
    <w:p w14:paraId="44AB073C" w14:textId="77777777" w:rsidR="00AB5AE1" w:rsidRPr="005D7A60" w:rsidRDefault="00AB5AE1" w:rsidP="00AB5AE1">
      <w:pPr>
        <w:widowControl w:val="0"/>
        <w:autoSpaceDE w:val="0"/>
        <w:autoSpaceDN w:val="0"/>
        <w:adjustRightInd w:val="0"/>
        <w:spacing w:before="104" w:after="160"/>
        <w:ind w:left="72" w:right="72"/>
        <w:jc w:val="center"/>
        <w:rPr>
          <w:rFonts w:ascii="Times New Roman" w:hAnsi="Times New Roman"/>
        </w:rPr>
      </w:pPr>
      <w:r w:rsidRPr="005D7A60">
        <w:rPr>
          <w:rFonts w:ascii="Times New Roman" w:hAnsi="Times New Roman"/>
        </w:rPr>
        <w:t>Under the Guidance of:</w:t>
      </w:r>
    </w:p>
    <w:p w14:paraId="70415CF0" w14:textId="77777777" w:rsidR="00AB5AE1" w:rsidRPr="005D7A60" w:rsidRDefault="00AB5AE1" w:rsidP="00AB5AE1">
      <w:pPr>
        <w:widowControl w:val="0"/>
        <w:autoSpaceDE w:val="0"/>
        <w:autoSpaceDN w:val="0"/>
        <w:adjustRightInd w:val="0"/>
        <w:spacing w:before="104" w:after="160"/>
        <w:ind w:left="72" w:right="72"/>
        <w:jc w:val="center"/>
        <w:rPr>
          <w:rFonts w:ascii="Times New Roman" w:hAnsi="Times New Roman"/>
        </w:rPr>
      </w:pPr>
      <w:r w:rsidRPr="005D7A60">
        <w:rPr>
          <w:rFonts w:ascii="Times New Roman" w:hAnsi="Times New Roman"/>
        </w:rPr>
        <w:t>Dr. Anju Goswami</w:t>
      </w:r>
    </w:p>
    <w:p w14:paraId="169762B8" w14:textId="77777777" w:rsidR="00AB5AE1" w:rsidRPr="005D7A60" w:rsidRDefault="00AB5AE1" w:rsidP="00AB5AE1">
      <w:pPr>
        <w:widowControl w:val="0"/>
        <w:autoSpaceDE w:val="0"/>
        <w:autoSpaceDN w:val="0"/>
        <w:adjustRightInd w:val="0"/>
        <w:spacing w:before="104" w:after="160"/>
        <w:ind w:left="72" w:right="72"/>
        <w:jc w:val="center"/>
        <w:rPr>
          <w:rFonts w:ascii="Times New Roman" w:hAnsi="Times New Roman"/>
        </w:rPr>
      </w:pPr>
      <w:r w:rsidRPr="005D7A60">
        <w:rPr>
          <w:rFonts w:ascii="Times New Roman" w:hAnsi="Times New Roman"/>
        </w:rPr>
        <w:t>Indian Institute of Foreign Trade, New Delhi</w:t>
      </w:r>
    </w:p>
    <w:p w14:paraId="3F30F783" w14:textId="77777777" w:rsidR="00D84B4A" w:rsidRPr="005D7A60" w:rsidRDefault="00AF58BF" w:rsidP="00D84B4A">
      <w:pPr>
        <w:widowControl w:val="0"/>
        <w:autoSpaceDE w:val="0"/>
        <w:autoSpaceDN w:val="0"/>
        <w:adjustRightInd w:val="0"/>
        <w:spacing w:before="104" w:after="160"/>
        <w:ind w:left="72" w:right="72"/>
        <w:jc w:val="center"/>
        <w:rPr>
          <w:rFonts w:ascii="Times New Roman" w:hAnsi="Times New Roman"/>
        </w:rPr>
      </w:pPr>
      <w:r w:rsidRPr="005D7A60">
        <w:rPr>
          <w:rFonts w:ascii="Times New Roman" w:hAnsi="Times New Roman"/>
        </w:rPr>
        <w:br w:type="page"/>
      </w:r>
      <w:r w:rsidR="00D84B4A" w:rsidRPr="005D7A60">
        <w:rPr>
          <w:rFonts w:ascii="Times New Roman" w:hAnsi="Times New Roman"/>
          <w:sz w:val="36"/>
        </w:rPr>
        <w:lastRenderedPageBreak/>
        <w:t>Indian Institute of Foreign Trade</w:t>
      </w:r>
    </w:p>
    <w:p w14:paraId="54943933" w14:textId="77777777" w:rsidR="00D84B4A" w:rsidRPr="005D7A60" w:rsidRDefault="00D84B4A" w:rsidP="00D84B4A">
      <w:pPr>
        <w:widowControl w:val="0"/>
        <w:autoSpaceDE w:val="0"/>
        <w:autoSpaceDN w:val="0"/>
        <w:adjustRightInd w:val="0"/>
        <w:spacing w:before="180" w:after="180"/>
        <w:jc w:val="center"/>
        <w:rPr>
          <w:rFonts w:ascii="Times New Roman" w:hAnsi="Times New Roman"/>
        </w:rPr>
      </w:pPr>
      <w:r w:rsidRPr="005D7A60">
        <w:rPr>
          <w:rFonts w:ascii="Times New Roman" w:hAnsi="Times New Roman"/>
          <w:sz w:val="36"/>
        </w:rPr>
        <w:t xml:space="preserve">Ph.D. </w:t>
      </w:r>
      <w:proofErr w:type="spellStart"/>
      <w:r w:rsidRPr="005D7A60">
        <w:rPr>
          <w:rFonts w:ascii="Times New Roman" w:hAnsi="Times New Roman"/>
          <w:sz w:val="36"/>
        </w:rPr>
        <w:t>Programme</w:t>
      </w:r>
      <w:proofErr w:type="spellEnd"/>
    </w:p>
    <w:p w14:paraId="556346D9" w14:textId="77777777" w:rsidR="00D84B4A" w:rsidRPr="005D7A60" w:rsidRDefault="00D84B4A" w:rsidP="00D84B4A">
      <w:pPr>
        <w:widowControl w:val="0"/>
        <w:autoSpaceDE w:val="0"/>
        <w:autoSpaceDN w:val="0"/>
        <w:adjustRightInd w:val="0"/>
        <w:spacing w:before="180" w:after="180"/>
        <w:jc w:val="center"/>
        <w:rPr>
          <w:rFonts w:ascii="Times New Roman" w:hAnsi="Times New Roman"/>
        </w:rPr>
      </w:pPr>
      <w:r w:rsidRPr="005D7A60">
        <w:rPr>
          <w:rFonts w:ascii="Times New Roman" w:hAnsi="Times New Roman"/>
          <w:color w:val="0745CE"/>
          <w:sz w:val="28"/>
        </w:rPr>
        <w:t>DECLARATION</w:t>
      </w:r>
    </w:p>
    <w:p w14:paraId="5CA1CD32" w14:textId="157119D1" w:rsidR="00D84B4A" w:rsidRPr="005D7A60" w:rsidRDefault="00D84B4A" w:rsidP="00D84B4A">
      <w:pPr>
        <w:widowControl w:val="0"/>
        <w:autoSpaceDE w:val="0"/>
        <w:autoSpaceDN w:val="0"/>
        <w:adjustRightInd w:val="0"/>
        <w:jc w:val="both"/>
        <w:rPr>
          <w:rFonts w:ascii="Times New Roman" w:hAnsi="Times New Roman"/>
          <w:sz w:val="28"/>
          <w:szCs w:val="28"/>
        </w:rPr>
      </w:pPr>
      <w:r w:rsidRPr="005D7A60">
        <w:rPr>
          <w:rFonts w:ascii="Times New Roman" w:hAnsi="Times New Roman"/>
          <w:sz w:val="28"/>
        </w:rPr>
        <w:t xml:space="preserve">This is to certify that I, a student of the Ph.D. </w:t>
      </w:r>
      <w:proofErr w:type="spellStart"/>
      <w:r w:rsidRPr="005D7A60">
        <w:rPr>
          <w:rFonts w:ascii="Times New Roman" w:hAnsi="Times New Roman"/>
          <w:sz w:val="28"/>
        </w:rPr>
        <w:t>Programme</w:t>
      </w:r>
      <w:proofErr w:type="spellEnd"/>
      <w:r w:rsidRPr="005D7A60">
        <w:rPr>
          <w:rFonts w:ascii="Times New Roman" w:hAnsi="Times New Roman"/>
          <w:sz w:val="28"/>
        </w:rPr>
        <w:t xml:space="preserve"> (2023) at the Indian Institute of Foreign Trade, have submitted the </w:t>
      </w:r>
      <w:r w:rsidR="00C24087" w:rsidRPr="005D7A60">
        <w:rPr>
          <w:rFonts w:ascii="Times New Roman" w:hAnsi="Times New Roman"/>
          <w:sz w:val="28"/>
        </w:rPr>
        <w:t>synopsis</w:t>
      </w:r>
      <w:r w:rsidRPr="005D7A60">
        <w:rPr>
          <w:rFonts w:ascii="Times New Roman" w:hAnsi="Times New Roman"/>
          <w:sz w:val="28"/>
        </w:rPr>
        <w:t xml:space="preserve"> entitled "</w:t>
      </w:r>
      <w:r w:rsidR="00A17FD6" w:rsidRPr="005D7A60">
        <w:rPr>
          <w:rFonts w:ascii="Times New Roman" w:hAnsi="Times New Roman"/>
          <w:bCs/>
          <w:sz w:val="28"/>
          <w:szCs w:val="28"/>
        </w:rPr>
        <w:t>Integrating Predictive and Generative AI for Credit Risk Assessment under Basel 3.1</w:t>
      </w:r>
      <w:r w:rsidRPr="005D7A60">
        <w:rPr>
          <w:rFonts w:ascii="Times New Roman" w:hAnsi="Times New Roman"/>
          <w:sz w:val="28"/>
        </w:rPr>
        <w:t xml:space="preserve">" as a part of the </w:t>
      </w:r>
      <w:proofErr w:type="gramStart"/>
      <w:r w:rsidRPr="005D7A60">
        <w:rPr>
          <w:rFonts w:ascii="Times New Roman" w:hAnsi="Times New Roman"/>
          <w:sz w:val="28"/>
        </w:rPr>
        <w:t>Course-Work</w:t>
      </w:r>
      <w:proofErr w:type="gramEnd"/>
      <w:r w:rsidRPr="005D7A60">
        <w:rPr>
          <w:rFonts w:ascii="Times New Roman" w:hAnsi="Times New Roman"/>
          <w:sz w:val="28"/>
        </w:rPr>
        <w:t xml:space="preserve"> of the Ph.D. </w:t>
      </w:r>
      <w:proofErr w:type="spellStart"/>
      <w:r w:rsidRPr="005D7A60">
        <w:rPr>
          <w:rFonts w:ascii="Times New Roman" w:hAnsi="Times New Roman"/>
          <w:sz w:val="28"/>
        </w:rPr>
        <w:t>Programme</w:t>
      </w:r>
      <w:proofErr w:type="spellEnd"/>
      <w:r w:rsidRPr="005D7A60">
        <w:rPr>
          <w:rFonts w:ascii="Times New Roman" w:hAnsi="Times New Roman"/>
          <w:sz w:val="28"/>
        </w:rPr>
        <w:t>. This is an original work. It is neither copied (partially/fully) from any scholastic work, nor is it submitted for any other degree or diploma. I remain fully responsible for any error and plagiarism.</w:t>
      </w:r>
    </w:p>
    <w:p w14:paraId="4649D340" w14:textId="77777777" w:rsidR="00D84B4A" w:rsidRPr="005D7A60" w:rsidRDefault="00D84B4A" w:rsidP="00D84B4A">
      <w:pPr>
        <w:widowControl w:val="0"/>
        <w:autoSpaceDE w:val="0"/>
        <w:autoSpaceDN w:val="0"/>
        <w:adjustRightInd w:val="0"/>
        <w:spacing w:before="180" w:after="180"/>
        <w:rPr>
          <w:rFonts w:ascii="Times New Roman" w:hAnsi="Times New Roman"/>
        </w:rPr>
      </w:pPr>
      <w:r w:rsidRPr="005D7A60">
        <w:rPr>
          <w:rFonts w:ascii="Times New Roman" w:hAnsi="Times New Roman"/>
          <w:sz w:val="28"/>
        </w:rPr>
        <w:t>..……………...………………..</w:t>
      </w:r>
    </w:p>
    <w:p w14:paraId="193A2128" w14:textId="77777777" w:rsidR="00D84B4A" w:rsidRPr="005D7A60" w:rsidRDefault="00D84B4A" w:rsidP="00D84B4A">
      <w:pPr>
        <w:widowControl w:val="0"/>
        <w:autoSpaceDE w:val="0"/>
        <w:autoSpaceDN w:val="0"/>
        <w:adjustRightInd w:val="0"/>
        <w:spacing w:before="180" w:after="180"/>
        <w:rPr>
          <w:rFonts w:ascii="Times New Roman" w:hAnsi="Times New Roman"/>
        </w:rPr>
      </w:pPr>
      <w:r w:rsidRPr="005D7A60">
        <w:rPr>
          <w:rFonts w:ascii="Times New Roman" w:hAnsi="Times New Roman"/>
          <w:sz w:val="28"/>
        </w:rPr>
        <w:t>Ravi Kumar Jain</w:t>
      </w:r>
    </w:p>
    <w:p w14:paraId="6616CC60" w14:textId="77777777" w:rsidR="00D84B4A" w:rsidRPr="005D7A60" w:rsidRDefault="00D84B4A" w:rsidP="00D84B4A">
      <w:pPr>
        <w:widowControl w:val="0"/>
        <w:autoSpaceDE w:val="0"/>
        <w:autoSpaceDN w:val="0"/>
        <w:adjustRightInd w:val="0"/>
        <w:spacing w:before="180" w:after="180"/>
        <w:rPr>
          <w:rFonts w:ascii="Times New Roman" w:hAnsi="Times New Roman"/>
        </w:rPr>
      </w:pPr>
      <w:r w:rsidRPr="005D7A60">
        <w:rPr>
          <w:rFonts w:ascii="Times New Roman" w:hAnsi="Times New Roman"/>
          <w:sz w:val="28"/>
        </w:rPr>
        <w:t>(Name / Signature of the student)</w:t>
      </w:r>
    </w:p>
    <w:p w14:paraId="13AB7EB5" w14:textId="77777777" w:rsidR="00D84B4A" w:rsidRPr="005D7A60" w:rsidRDefault="00D84B4A" w:rsidP="00D84B4A">
      <w:pPr>
        <w:widowControl w:val="0"/>
        <w:tabs>
          <w:tab w:val="left" w:pos="9000"/>
        </w:tabs>
        <w:autoSpaceDE w:val="0"/>
        <w:autoSpaceDN w:val="0"/>
        <w:adjustRightInd w:val="0"/>
        <w:spacing w:before="180" w:after="180"/>
        <w:rPr>
          <w:rFonts w:ascii="Times New Roman" w:hAnsi="Times New Roman"/>
        </w:rPr>
      </w:pPr>
      <w:r w:rsidRPr="005D7A60">
        <w:rPr>
          <w:rFonts w:ascii="Times New Roman" w:hAnsi="Times New Roman"/>
          <w:sz w:val="28"/>
          <w:u w:val="single"/>
        </w:rPr>
        <w:t> </w:t>
      </w:r>
      <w:r w:rsidRPr="005D7A60">
        <w:rPr>
          <w:rFonts w:ascii="Times New Roman" w:hAnsi="Times New Roman"/>
          <w:sz w:val="28"/>
          <w:u w:val="single"/>
        </w:rPr>
        <w:tab/>
      </w:r>
    </w:p>
    <w:p w14:paraId="35289496" w14:textId="77777777" w:rsidR="00D84B4A" w:rsidRPr="005D7A60" w:rsidRDefault="00D84B4A" w:rsidP="00D84B4A">
      <w:pPr>
        <w:widowControl w:val="0"/>
        <w:autoSpaceDE w:val="0"/>
        <w:autoSpaceDN w:val="0"/>
        <w:adjustRightInd w:val="0"/>
        <w:spacing w:before="180" w:after="180"/>
        <w:jc w:val="center"/>
        <w:rPr>
          <w:rFonts w:ascii="Times New Roman" w:hAnsi="Times New Roman"/>
        </w:rPr>
      </w:pPr>
      <w:r w:rsidRPr="005D7A60">
        <w:rPr>
          <w:rFonts w:ascii="Times New Roman" w:hAnsi="Times New Roman"/>
          <w:color w:val="0745CE"/>
          <w:sz w:val="28"/>
        </w:rPr>
        <w:t>CERTIFICATE</w:t>
      </w:r>
    </w:p>
    <w:p w14:paraId="70D9061F" w14:textId="2EF8129C" w:rsidR="00D84B4A" w:rsidRPr="005D7A60" w:rsidRDefault="00D84B4A" w:rsidP="00D84B4A">
      <w:pPr>
        <w:widowControl w:val="0"/>
        <w:autoSpaceDE w:val="0"/>
        <w:autoSpaceDN w:val="0"/>
        <w:adjustRightInd w:val="0"/>
        <w:spacing w:before="180" w:after="180"/>
        <w:jc w:val="both"/>
        <w:rPr>
          <w:rFonts w:ascii="Times New Roman" w:hAnsi="Times New Roman"/>
        </w:rPr>
      </w:pPr>
      <w:r w:rsidRPr="005D7A60">
        <w:rPr>
          <w:rFonts w:ascii="Times New Roman" w:hAnsi="Times New Roman"/>
          <w:sz w:val="28"/>
        </w:rPr>
        <w:t xml:space="preserve">This is to </w:t>
      </w:r>
      <w:proofErr w:type="gramStart"/>
      <w:r w:rsidRPr="005D7A60">
        <w:rPr>
          <w:rFonts w:ascii="Times New Roman" w:hAnsi="Times New Roman"/>
          <w:sz w:val="28"/>
        </w:rPr>
        <w:t>inform</w:t>
      </w:r>
      <w:proofErr w:type="gramEnd"/>
      <w:r w:rsidRPr="005D7A60">
        <w:rPr>
          <w:rFonts w:ascii="Times New Roman" w:hAnsi="Times New Roman"/>
          <w:sz w:val="28"/>
        </w:rPr>
        <w:t xml:space="preserve"> that Ravi Kumar Jain, student of the Ph.D. </w:t>
      </w:r>
      <w:proofErr w:type="spellStart"/>
      <w:r w:rsidRPr="005D7A60">
        <w:rPr>
          <w:rFonts w:ascii="Times New Roman" w:hAnsi="Times New Roman"/>
          <w:sz w:val="28"/>
        </w:rPr>
        <w:t>Programme</w:t>
      </w:r>
      <w:proofErr w:type="spellEnd"/>
      <w:r w:rsidRPr="005D7A60">
        <w:rPr>
          <w:rFonts w:ascii="Times New Roman" w:hAnsi="Times New Roman"/>
          <w:sz w:val="28"/>
        </w:rPr>
        <w:t xml:space="preserve"> (2023), has completed the </w:t>
      </w:r>
      <w:r w:rsidR="00292207" w:rsidRPr="005D7A60">
        <w:rPr>
          <w:rFonts w:ascii="Times New Roman" w:hAnsi="Times New Roman"/>
          <w:sz w:val="28"/>
        </w:rPr>
        <w:t>synopsis</w:t>
      </w:r>
      <w:r w:rsidRPr="005D7A60">
        <w:rPr>
          <w:rFonts w:ascii="Times New Roman" w:hAnsi="Times New Roman"/>
          <w:sz w:val="28"/>
        </w:rPr>
        <w:t xml:space="preserve"> on the topic "</w:t>
      </w:r>
      <w:r w:rsidR="00A17FD6" w:rsidRPr="005D7A60">
        <w:rPr>
          <w:rFonts w:ascii="Times New Roman" w:hAnsi="Times New Roman"/>
          <w:sz w:val="28"/>
        </w:rPr>
        <w:t>Integrating Predictive and Generative AI for Credit Risk Assessment under Basel 3.1</w:t>
      </w:r>
      <w:r w:rsidRPr="005D7A60">
        <w:rPr>
          <w:rFonts w:ascii="Times New Roman" w:hAnsi="Times New Roman"/>
          <w:sz w:val="28"/>
        </w:rPr>
        <w:t>" under my guidance.</w:t>
      </w:r>
    </w:p>
    <w:p w14:paraId="50CCC5FA" w14:textId="77777777" w:rsidR="00D84B4A" w:rsidRPr="005D7A60" w:rsidRDefault="00D84B4A" w:rsidP="00D84B4A">
      <w:pPr>
        <w:widowControl w:val="0"/>
        <w:autoSpaceDE w:val="0"/>
        <w:autoSpaceDN w:val="0"/>
        <w:adjustRightInd w:val="0"/>
        <w:spacing w:before="180" w:after="180"/>
        <w:rPr>
          <w:rFonts w:ascii="Times New Roman" w:hAnsi="Times New Roman"/>
          <w:sz w:val="28"/>
        </w:rPr>
      </w:pPr>
    </w:p>
    <w:p w14:paraId="5AD3E541" w14:textId="77777777" w:rsidR="00D84B4A" w:rsidRPr="005D7A60" w:rsidRDefault="00D84B4A" w:rsidP="00D84B4A">
      <w:pPr>
        <w:widowControl w:val="0"/>
        <w:autoSpaceDE w:val="0"/>
        <w:autoSpaceDN w:val="0"/>
        <w:adjustRightInd w:val="0"/>
        <w:spacing w:before="180" w:after="180"/>
        <w:rPr>
          <w:rFonts w:ascii="Times New Roman" w:hAnsi="Times New Roman"/>
        </w:rPr>
      </w:pPr>
      <w:r w:rsidRPr="005D7A60">
        <w:rPr>
          <w:rFonts w:ascii="Times New Roman" w:hAnsi="Times New Roman"/>
          <w:sz w:val="28"/>
        </w:rPr>
        <w:t>..……………...………………..</w:t>
      </w:r>
    </w:p>
    <w:p w14:paraId="0E0EDBDD" w14:textId="77777777" w:rsidR="00D84B4A" w:rsidRPr="005D7A60" w:rsidRDefault="00D84B4A" w:rsidP="00D84B4A">
      <w:pPr>
        <w:widowControl w:val="0"/>
        <w:autoSpaceDE w:val="0"/>
        <w:autoSpaceDN w:val="0"/>
        <w:adjustRightInd w:val="0"/>
        <w:spacing w:before="180" w:after="180"/>
        <w:rPr>
          <w:rFonts w:ascii="Times New Roman" w:hAnsi="Times New Roman"/>
        </w:rPr>
      </w:pPr>
      <w:r w:rsidRPr="005D7A60">
        <w:rPr>
          <w:rFonts w:ascii="Times New Roman" w:hAnsi="Times New Roman"/>
          <w:sz w:val="28"/>
        </w:rPr>
        <w:t>Prof. (Dr.) Anju Goswami</w:t>
      </w:r>
    </w:p>
    <w:p w14:paraId="6B155A51" w14:textId="0AA0D4A8" w:rsidR="00DF1465" w:rsidRPr="005D7A60" w:rsidRDefault="00D84B4A" w:rsidP="00D84B4A">
      <w:pPr>
        <w:widowControl w:val="0"/>
        <w:autoSpaceDE w:val="0"/>
        <w:autoSpaceDN w:val="0"/>
        <w:adjustRightInd w:val="0"/>
        <w:spacing w:before="180" w:after="180"/>
        <w:rPr>
          <w:rFonts w:ascii="Times New Roman" w:hAnsi="Times New Roman"/>
          <w:sz w:val="28"/>
        </w:rPr>
      </w:pPr>
      <w:r w:rsidRPr="005D7A60">
        <w:rPr>
          <w:rFonts w:ascii="Times New Roman" w:hAnsi="Times New Roman"/>
          <w:sz w:val="28"/>
        </w:rPr>
        <w:t>(Name / Signature of Supervisor)</w:t>
      </w:r>
    </w:p>
    <w:p w14:paraId="53E439DF" w14:textId="27214DEE" w:rsidR="00700F0C" w:rsidRPr="005D7A60" w:rsidRDefault="00DF1465" w:rsidP="00285FE6">
      <w:pPr>
        <w:pStyle w:val="Heading1"/>
      </w:pPr>
      <w:r w:rsidRPr="005D7A60">
        <w:br w:type="page"/>
      </w:r>
      <w:r w:rsidR="00ED6127" w:rsidRPr="005D7A60" w:rsidDel="00ED6127">
        <w:lastRenderedPageBreak/>
        <w:t xml:space="preserve"> </w:t>
      </w:r>
      <w:bookmarkStart w:id="3" w:name="_Toc208463191"/>
      <w:r w:rsidR="00052ECB" w:rsidRPr="005D7A60">
        <w:t>Introduction</w:t>
      </w:r>
      <w:bookmarkEnd w:id="0"/>
      <w:bookmarkEnd w:id="1"/>
      <w:bookmarkEnd w:id="3"/>
    </w:p>
    <w:p w14:paraId="15900BEB" w14:textId="77777777" w:rsidR="00805DAF" w:rsidRPr="005D7A60" w:rsidRDefault="00805DAF" w:rsidP="00805DAF">
      <w:pPr>
        <w:spacing w:line="480" w:lineRule="auto"/>
        <w:ind w:firstLine="720"/>
        <w:jc w:val="both"/>
        <w:rPr>
          <w:rFonts w:ascii="Times New Roman" w:hAnsi="Times New Roman"/>
          <w:lang w:val="en-IN"/>
        </w:rPr>
      </w:pPr>
      <w:r w:rsidRPr="005D7A60">
        <w:rPr>
          <w:rFonts w:ascii="Times New Roman" w:hAnsi="Times New Roman"/>
          <w:lang w:val="en-IN"/>
        </w:rPr>
        <w:t xml:space="preserve">Banking is a cornerstone of the modern economy, enabling financial intermediation and supporting sustainable economic development </w:t>
      </w:r>
      <w:proofErr w:type="spellStart"/>
      <w:r w:rsidRPr="005D7A60">
        <w:rPr>
          <w:rFonts w:ascii="Times New Roman" w:hAnsi="Times New Roman"/>
          <w:lang w:val="en-IN"/>
        </w:rPr>
        <w:t>Aracil</w:t>
      </w:r>
      <w:proofErr w:type="spellEnd"/>
      <w:r w:rsidRPr="005D7A60">
        <w:rPr>
          <w:rFonts w:ascii="Times New Roman" w:hAnsi="Times New Roman"/>
          <w:lang w:val="en-IN"/>
        </w:rPr>
        <w:t xml:space="preserve"> et al. (2021). Its central role in maintaining monetary stability underscores its critical contribution to national progress. However, banks remain inherently exposed to systemic risks, including financial crises, which can undermine operational resilience and erode public trust. The 2008 global financial crisis illustrated how interconnected banking networks can transmit and amplify economic shocks (Beutel et al., 2019; </w:t>
      </w:r>
      <w:proofErr w:type="spellStart"/>
      <w:r w:rsidRPr="005D7A60">
        <w:rPr>
          <w:rFonts w:ascii="Times New Roman" w:hAnsi="Times New Roman"/>
          <w:lang w:val="en-IN"/>
        </w:rPr>
        <w:t>Coffinet</w:t>
      </w:r>
      <w:proofErr w:type="spellEnd"/>
      <w:r w:rsidRPr="005D7A60">
        <w:rPr>
          <w:rFonts w:ascii="Times New Roman" w:hAnsi="Times New Roman"/>
          <w:lang w:val="en-IN"/>
        </w:rPr>
        <w:t xml:space="preserve"> and Kien, 2019; Shrivastav, 2019; Ari, Chen and Ratnovski, 2021).</w:t>
      </w:r>
    </w:p>
    <w:p w14:paraId="5225EA68" w14:textId="0D66420C" w:rsidR="00805DAF" w:rsidRPr="005D7A60" w:rsidRDefault="00805DAF" w:rsidP="00805DAF">
      <w:pPr>
        <w:spacing w:line="480" w:lineRule="auto"/>
        <w:ind w:firstLine="720"/>
        <w:jc w:val="both"/>
        <w:rPr>
          <w:rFonts w:ascii="Times New Roman" w:hAnsi="Times New Roman"/>
          <w:lang w:val="en-IN"/>
        </w:rPr>
      </w:pPr>
      <w:r w:rsidRPr="005D7A60">
        <w:rPr>
          <w:rFonts w:ascii="Times New Roman" w:hAnsi="Times New Roman"/>
          <w:lang w:val="en-IN"/>
        </w:rPr>
        <w:t xml:space="preserve">Financial institutions face multiple categories of risk that challenge their stability, including credit risk from borrower defaults, market risk from asset value fluctuations, and operational risk arising from internal process failures or external disruptions. Non-performing assets (NPAs), a direct manifestation of credit risk, threaten both profitability and solvency. Addressing these risks requires robust, adaptive risk management frameworks that protect institutional viability while safeguarding economic continuity </w:t>
      </w:r>
      <w:r w:rsidR="00DB2BB8" w:rsidRPr="005D7A60">
        <w:rPr>
          <w:rFonts w:ascii="Times New Roman" w:hAnsi="Times New Roman"/>
        </w:rPr>
        <w:t>Goswami and Gulati, 2019</w:t>
      </w:r>
      <w:r w:rsidRPr="005D7A60">
        <w:rPr>
          <w:rFonts w:ascii="Times New Roman" w:hAnsi="Times New Roman"/>
          <w:lang w:val="en-IN"/>
        </w:rPr>
        <w:t>. Prior research highlights how advanced methods—support vector machines, neural networks, adaptive neuro-fuzzy inference systems, and ensemble models—improve credit risk modelling and stress testing (</w:t>
      </w:r>
      <w:proofErr w:type="spellStart"/>
      <w:r w:rsidRPr="005D7A60">
        <w:rPr>
          <w:rFonts w:ascii="Times New Roman" w:hAnsi="Times New Roman"/>
          <w:lang w:val="en-IN"/>
        </w:rPr>
        <w:t>Khandani</w:t>
      </w:r>
      <w:proofErr w:type="spellEnd"/>
      <w:r w:rsidRPr="005D7A60">
        <w:rPr>
          <w:rFonts w:ascii="Times New Roman" w:hAnsi="Times New Roman"/>
          <w:lang w:val="en-IN"/>
        </w:rPr>
        <w:t xml:space="preserve">, Kim and Lo, 2010; </w:t>
      </w:r>
      <w:proofErr w:type="spellStart"/>
      <w:r w:rsidRPr="005D7A60">
        <w:rPr>
          <w:rFonts w:ascii="Times New Roman" w:hAnsi="Times New Roman"/>
          <w:lang w:val="en-IN"/>
        </w:rPr>
        <w:t>Butaru</w:t>
      </w:r>
      <w:proofErr w:type="spellEnd"/>
      <w:r w:rsidRPr="005D7A60">
        <w:rPr>
          <w:rFonts w:ascii="Times New Roman" w:hAnsi="Times New Roman"/>
          <w:lang w:val="en-IN"/>
        </w:rPr>
        <w:t xml:space="preserve"> et al., 2016; Sigrist and Leuenberger, 2023; Ahmed, Mehdi and Mohamed, 2023; Kumar et al., 2023; Tavana et al., 2018; Kellner, Nagl and Rösch, 2022).</w:t>
      </w:r>
    </w:p>
    <w:p w14:paraId="139E8A89" w14:textId="77C39577" w:rsidR="00805DAF" w:rsidRPr="005D7A60" w:rsidRDefault="00805DAF" w:rsidP="00805DAF">
      <w:pPr>
        <w:spacing w:line="480" w:lineRule="auto"/>
        <w:ind w:firstLine="720"/>
        <w:jc w:val="both"/>
        <w:rPr>
          <w:rFonts w:ascii="Times New Roman" w:hAnsi="Times New Roman"/>
          <w:lang w:val="en-IN"/>
        </w:rPr>
      </w:pPr>
      <w:r w:rsidRPr="005D7A60">
        <w:rPr>
          <w:rFonts w:ascii="Times New Roman" w:hAnsi="Times New Roman"/>
          <w:lang w:val="en-IN"/>
        </w:rPr>
        <w:t xml:space="preserve">In response, international regulatory frameworks such as the Basel Accords have sought to strengthen financial stability through harmonised standards for capital adequacy, stress testing, and liquidity management </w:t>
      </w:r>
      <w:proofErr w:type="spellStart"/>
      <w:r w:rsidRPr="005D7A60">
        <w:rPr>
          <w:rFonts w:ascii="Times New Roman" w:hAnsi="Times New Roman"/>
          <w:lang w:val="en-IN"/>
        </w:rPr>
        <w:t>Anguren</w:t>
      </w:r>
      <w:proofErr w:type="spellEnd"/>
      <w:r w:rsidRPr="005D7A60">
        <w:rPr>
          <w:rFonts w:ascii="Times New Roman" w:hAnsi="Times New Roman"/>
          <w:lang w:val="en-IN"/>
        </w:rPr>
        <w:t xml:space="preserve"> et al. (2024). Yet, the regulatory corpus has grown substantially in both length and complexity, moving from approximately 30 pages in Basel I to </w:t>
      </w:r>
      <w:r w:rsidRPr="005D7A60">
        <w:rPr>
          <w:rFonts w:ascii="Times New Roman" w:hAnsi="Times New Roman"/>
          <w:lang w:val="en-IN"/>
        </w:rPr>
        <w:lastRenderedPageBreak/>
        <w:t>over 600 pages in Basel III Jones and Zeitz (2017) and Basel 3.1 expanded to 1847 pages (The Basel Framework, n.d.). This expansion imposes significant compliance costs Junge and Kugler (2018) and intensifies the operational challenge of maintaining continuous alignment with supervisory expectations II and Katz (2017). Non-compliance carries material consequences, including financial penalties, operational restrictions, reputational damage, and reduced market access (Park et al., 2021; Wong and Wong, 2021; Moffo, 2024).</w:t>
      </w:r>
      <w:r w:rsidR="00BA1404" w:rsidRPr="005D7A60">
        <w:rPr>
          <w:rFonts w:ascii="Times New Roman" w:hAnsi="Times New Roman"/>
        </w:rPr>
        <w:t xml:space="preserve"> For India, the global financial crisis was also shown to have weakened intermediation efficiency, especially in the presence of rising NPAs (Goswami, 2022c).</w:t>
      </w:r>
    </w:p>
    <w:p w14:paraId="44357765" w14:textId="77777777" w:rsidR="00805DAF" w:rsidRPr="005D7A60" w:rsidRDefault="00805DAF" w:rsidP="00805DAF">
      <w:pPr>
        <w:spacing w:line="480" w:lineRule="auto"/>
        <w:ind w:firstLine="720"/>
        <w:jc w:val="both"/>
        <w:rPr>
          <w:rFonts w:ascii="Times New Roman" w:hAnsi="Times New Roman"/>
          <w:lang w:val="en-IN"/>
        </w:rPr>
      </w:pPr>
      <w:r w:rsidRPr="005D7A60">
        <w:rPr>
          <w:rFonts w:ascii="Times New Roman" w:hAnsi="Times New Roman"/>
          <w:lang w:val="en-IN"/>
        </w:rPr>
        <w:t>Parallel to these regulatory developments, the financial sector’s digital transformation has created new opportunities to improve risk management and compliance processes. Artificial intelligence (AI)</w:t>
      </w:r>
      <w:proofErr w:type="gramStart"/>
      <w:r w:rsidRPr="005D7A60">
        <w:rPr>
          <w:rFonts w:ascii="Times New Roman" w:hAnsi="Times New Roman"/>
          <w:lang w:val="en-IN"/>
        </w:rPr>
        <w:t>, in particular, offers</w:t>
      </w:r>
      <w:proofErr w:type="gramEnd"/>
      <w:r w:rsidRPr="005D7A60">
        <w:rPr>
          <w:rFonts w:ascii="Times New Roman" w:hAnsi="Times New Roman"/>
          <w:lang w:val="en-IN"/>
        </w:rPr>
        <w:t xml:space="preserve"> capabilities that extend beyond process automation to include advanced analytics, predictive modelling, and knowledge extraction. Two subfields—predictive AI and Generative AI—hold </w:t>
      </w:r>
      <w:proofErr w:type="gramStart"/>
      <w:r w:rsidRPr="005D7A60">
        <w:rPr>
          <w:rFonts w:ascii="Times New Roman" w:hAnsi="Times New Roman"/>
          <w:lang w:val="en-IN"/>
        </w:rPr>
        <w:t>particular relevance</w:t>
      </w:r>
      <w:proofErr w:type="gramEnd"/>
      <w:r w:rsidRPr="005D7A60">
        <w:rPr>
          <w:rFonts w:ascii="Times New Roman" w:hAnsi="Times New Roman"/>
          <w:lang w:val="en-IN"/>
        </w:rPr>
        <w:t xml:space="preserve">. Predictive AI uses historical and real-time data to anticipate future outcomes, supporting applications such as dynamic credit scoring, early-warning systems, and stress testing (Hu et al., 2021; Kyeong, Kim and Shin, 2022; Fraisse and Laporte, 2022; Kellner et al., 2022; </w:t>
      </w:r>
      <w:proofErr w:type="spellStart"/>
      <w:r w:rsidRPr="005D7A60">
        <w:rPr>
          <w:rFonts w:ascii="Times New Roman" w:hAnsi="Times New Roman"/>
          <w:lang w:val="en-IN"/>
        </w:rPr>
        <w:t>Krivorotov</w:t>
      </w:r>
      <w:proofErr w:type="spellEnd"/>
      <w:r w:rsidRPr="005D7A60">
        <w:rPr>
          <w:rFonts w:ascii="Times New Roman" w:hAnsi="Times New Roman"/>
          <w:lang w:val="en-IN"/>
        </w:rPr>
        <w:t xml:space="preserve">, 2023). Generative AI can interpret complex regulatory provisions, translate them into structured logic, and potentially assist in the automation of risk-weighted asset (RWA) calculations under Basel 3.1 (Fazlija et al., 2025; Haeri, Vitrano and </w:t>
      </w:r>
      <w:proofErr w:type="spellStart"/>
      <w:r w:rsidRPr="005D7A60">
        <w:rPr>
          <w:rFonts w:ascii="Times New Roman" w:hAnsi="Times New Roman"/>
          <w:lang w:val="en-IN"/>
        </w:rPr>
        <w:t>Ghelichi</w:t>
      </w:r>
      <w:proofErr w:type="spellEnd"/>
      <w:r w:rsidRPr="005D7A60">
        <w:rPr>
          <w:rFonts w:ascii="Times New Roman" w:hAnsi="Times New Roman"/>
          <w:lang w:val="en-IN"/>
        </w:rPr>
        <w:t>, 2025; Cao and Feinstein, 2024; Joshi, n.d.).</w:t>
      </w:r>
    </w:p>
    <w:p w14:paraId="52323E6C" w14:textId="77777777" w:rsidR="00805DAF" w:rsidRPr="005D7A60" w:rsidRDefault="00805DAF" w:rsidP="00805DAF">
      <w:pPr>
        <w:spacing w:line="480" w:lineRule="auto"/>
        <w:ind w:firstLine="720"/>
        <w:jc w:val="both"/>
        <w:rPr>
          <w:rFonts w:ascii="Times New Roman" w:hAnsi="Times New Roman"/>
          <w:lang w:val="en-IN"/>
        </w:rPr>
      </w:pPr>
      <w:r w:rsidRPr="005D7A60">
        <w:rPr>
          <w:rFonts w:ascii="Times New Roman" w:hAnsi="Times New Roman"/>
          <w:lang w:val="en-IN"/>
        </w:rPr>
        <w:t>Despite these advances, existing literature and practice largely treat predictive and Generative AI as separate tools. Traditional credit assessment frameworks remain constrained by their retrospective orientation and limited adaptability to rapidly changing borrower and market conditions (Altman et al., 1994; Singh et al., 2024; Dawood et al., 2019; Al-Sultan and Al-</w:t>
      </w:r>
      <w:r w:rsidRPr="005D7A60">
        <w:rPr>
          <w:rFonts w:ascii="Times New Roman" w:hAnsi="Times New Roman"/>
          <w:lang w:val="en-IN"/>
        </w:rPr>
        <w:lastRenderedPageBreak/>
        <w:t xml:space="preserve">Baltah, 2024; </w:t>
      </w:r>
      <w:proofErr w:type="spellStart"/>
      <w:r w:rsidRPr="005D7A60">
        <w:rPr>
          <w:rFonts w:ascii="Times New Roman" w:hAnsi="Times New Roman"/>
          <w:lang w:val="en-IN"/>
        </w:rPr>
        <w:t>Kozodoi</w:t>
      </w:r>
      <w:proofErr w:type="spellEnd"/>
      <w:r w:rsidRPr="005D7A60">
        <w:rPr>
          <w:rFonts w:ascii="Times New Roman" w:hAnsi="Times New Roman"/>
          <w:lang w:val="en-IN"/>
        </w:rPr>
        <w:t xml:space="preserve"> et al., 2022). Similarly, regulatory interpretation processes often rely on manual analysis, which can be slow and resource-intensive (de Lange et al., 2022; Sigrist and Leuenberger, 2023; Joshi, n.d.; </w:t>
      </w:r>
      <w:proofErr w:type="spellStart"/>
      <w:r w:rsidRPr="005D7A60">
        <w:rPr>
          <w:rFonts w:ascii="Times New Roman" w:hAnsi="Times New Roman"/>
          <w:lang w:val="en-IN"/>
        </w:rPr>
        <w:t>Lokanan</w:t>
      </w:r>
      <w:proofErr w:type="spellEnd"/>
      <w:r w:rsidRPr="005D7A60">
        <w:rPr>
          <w:rFonts w:ascii="Times New Roman" w:hAnsi="Times New Roman"/>
          <w:lang w:val="en-IN"/>
        </w:rPr>
        <w:t>, 2024). This separation creates a conceptual and methodological gap: there is little empirical evidence on the benefits, challenges, and feasibility of combining predictive analytics for forward-looking credit evaluation with Generative AI for dynamic, machine-readable regulatory interpretation.</w:t>
      </w:r>
    </w:p>
    <w:p w14:paraId="6C91A22D" w14:textId="77777777" w:rsidR="00805DAF" w:rsidRPr="005D7A60" w:rsidRDefault="00805DAF" w:rsidP="00805DAF">
      <w:pPr>
        <w:spacing w:line="480" w:lineRule="auto"/>
        <w:ind w:firstLine="720"/>
        <w:jc w:val="both"/>
        <w:rPr>
          <w:rFonts w:ascii="Times New Roman" w:hAnsi="Times New Roman"/>
          <w:lang w:val="en-IN"/>
        </w:rPr>
      </w:pPr>
      <w:r w:rsidRPr="005D7A60">
        <w:rPr>
          <w:rFonts w:ascii="Times New Roman" w:hAnsi="Times New Roman"/>
          <w:lang w:val="en-IN"/>
        </w:rPr>
        <w:t>This gap motivates the present study, which aims to investigate whether an integrated, explainable AI framework can improve the timeliness, transparency, and regulatory alignment of credit risk assessment under Basel 3.1. The research focuses on methodological evaluation rather than system deployment, contributing to the scholarly discourse on AI-enabled risk management and regulatory technology (Haeri et al., 2025; Fazlija et al., 2025; Cao and Feinstein, 2024; Joshi, n.d.).</w:t>
      </w:r>
    </w:p>
    <w:p w14:paraId="2A079C99" w14:textId="31356882" w:rsidR="00547F39" w:rsidRPr="005D7A60" w:rsidRDefault="00805DAF" w:rsidP="00805DAF">
      <w:pPr>
        <w:spacing w:line="480" w:lineRule="auto"/>
        <w:ind w:firstLine="720"/>
        <w:jc w:val="both"/>
        <w:rPr>
          <w:rFonts w:ascii="Times New Roman" w:hAnsi="Times New Roman"/>
          <w:lang w:val="en-IN"/>
        </w:rPr>
      </w:pPr>
      <w:r w:rsidRPr="005D7A60">
        <w:rPr>
          <w:rFonts w:ascii="Times New Roman" w:hAnsi="Times New Roman"/>
          <w:lang w:val="en-IN"/>
        </w:rPr>
        <w:t xml:space="preserve">More specifically, the study will provide an empirically grounded assessment of whether combining predictive modelling with regulatory capital computation can enhance credit decision-making, extend explainable AI frameworks in finance by uniting predictive validity with supervisory interpretability, and demonstrate the methodological potential of Generative AI for automating compliance logic. It will also examine the role of unstructured data in strengthening early-warning signals of credit deterioration and deliver curated synthetic datasets and benchmarks to enable replicability and comparative research (Nazemi and Fabozzi, 2024; Dawood et al., 2019; Al-Sultan and Al-Baltah, 2024; </w:t>
      </w:r>
      <w:proofErr w:type="spellStart"/>
      <w:r w:rsidRPr="005D7A60">
        <w:rPr>
          <w:rFonts w:ascii="Times New Roman" w:hAnsi="Times New Roman"/>
          <w:lang w:val="en-IN"/>
        </w:rPr>
        <w:t>Khandani</w:t>
      </w:r>
      <w:proofErr w:type="spellEnd"/>
      <w:r w:rsidRPr="005D7A60">
        <w:rPr>
          <w:rFonts w:ascii="Times New Roman" w:hAnsi="Times New Roman"/>
          <w:lang w:val="en-IN"/>
        </w:rPr>
        <w:t xml:space="preserve"> et al., 2010; de Lange et al., 2022).</w:t>
      </w:r>
    </w:p>
    <w:p w14:paraId="1D825BDB" w14:textId="585E6DAD" w:rsidR="00852691" w:rsidRPr="005D7A60" w:rsidRDefault="00547F39" w:rsidP="008B59DE">
      <w:pPr>
        <w:spacing w:line="480" w:lineRule="auto"/>
        <w:jc w:val="both"/>
        <w:rPr>
          <w:rFonts w:ascii="Times New Roman" w:hAnsi="Times New Roman"/>
          <w:b/>
          <w:bCs/>
          <w:kern w:val="32"/>
          <w:sz w:val="28"/>
          <w:szCs w:val="32"/>
        </w:rPr>
      </w:pPr>
      <w:r w:rsidRPr="005D7A60">
        <w:rPr>
          <w:rFonts w:ascii="Times New Roman" w:hAnsi="Times New Roman"/>
          <w:lang w:val="en-IN"/>
        </w:rPr>
        <w:br w:type="page"/>
      </w:r>
      <w:bookmarkStart w:id="4" w:name="Objectives_of_the_Study"/>
      <w:r w:rsidR="008C159C" w:rsidRPr="005D7A60">
        <w:rPr>
          <w:rFonts w:ascii="Times New Roman" w:hAnsi="Times New Roman"/>
          <w:b/>
          <w:bCs/>
          <w:kern w:val="32"/>
          <w:sz w:val="28"/>
          <w:szCs w:val="32"/>
        </w:rPr>
        <w:lastRenderedPageBreak/>
        <w:t>Literature Review</w:t>
      </w:r>
    </w:p>
    <w:p w14:paraId="2B91FA03" w14:textId="77777777" w:rsidR="00111434" w:rsidRPr="005D7A60" w:rsidRDefault="00111434" w:rsidP="00111434">
      <w:pPr>
        <w:spacing w:line="480" w:lineRule="auto"/>
        <w:ind w:firstLine="709"/>
        <w:jc w:val="both"/>
        <w:rPr>
          <w:rFonts w:ascii="Times New Roman" w:hAnsi="Times New Roman"/>
          <w:lang w:val="en-IN"/>
        </w:rPr>
      </w:pPr>
      <w:r w:rsidRPr="005D7A60">
        <w:rPr>
          <w:rFonts w:ascii="Times New Roman" w:hAnsi="Times New Roman"/>
          <w:lang w:val="en-IN"/>
        </w:rPr>
        <w:t>Research on AI in banking and financial regulation has developed along two complementary dimensions: (</w:t>
      </w:r>
      <w:proofErr w:type="spellStart"/>
      <w:r w:rsidRPr="005D7A60">
        <w:rPr>
          <w:rFonts w:ascii="Times New Roman" w:hAnsi="Times New Roman"/>
          <w:lang w:val="en-IN"/>
        </w:rPr>
        <w:t>i</w:t>
      </w:r>
      <w:proofErr w:type="spellEnd"/>
      <w:r w:rsidRPr="005D7A60">
        <w:rPr>
          <w:rFonts w:ascii="Times New Roman" w:hAnsi="Times New Roman"/>
          <w:lang w:val="en-IN"/>
        </w:rPr>
        <w:t xml:space="preserve">) theoretical models that advance methods and architectures for credit risk and regulatory automation, and (ii) empirical studies that evaluate these approaches on real data or worked regulatory cases. The combined evidence shows substantial gains from predictive machine learning in credit risk modelling and a growing body of work on Generative AI (Gen-AI) for regulatory interpretation. At the same time, both strands treat prediction and regulation as separate problems, with little integration across the two. (See Tables 1–4.) </w:t>
      </w:r>
    </w:p>
    <w:p w14:paraId="1A31181D" w14:textId="77777777" w:rsidR="00111434" w:rsidRPr="005D7A60" w:rsidRDefault="00111434" w:rsidP="00111434">
      <w:pPr>
        <w:spacing w:line="480" w:lineRule="auto"/>
        <w:jc w:val="both"/>
        <w:rPr>
          <w:rFonts w:ascii="Times New Roman" w:hAnsi="Times New Roman"/>
          <w:i/>
          <w:iCs/>
          <w:lang w:val="en-IN"/>
        </w:rPr>
      </w:pPr>
      <w:r w:rsidRPr="005D7A60">
        <w:rPr>
          <w:rFonts w:ascii="Times New Roman" w:hAnsi="Times New Roman"/>
          <w:i/>
          <w:iCs/>
          <w:lang w:val="en-IN"/>
        </w:rPr>
        <w:t>2.1 Theoretical approaches for modelling credit risk and regulatory AI</w:t>
      </w:r>
    </w:p>
    <w:p w14:paraId="6876CDE6" w14:textId="77777777" w:rsidR="00111434" w:rsidRPr="005D7A60" w:rsidRDefault="00111434" w:rsidP="00111434">
      <w:pPr>
        <w:spacing w:line="480" w:lineRule="auto"/>
        <w:jc w:val="both"/>
        <w:rPr>
          <w:rFonts w:ascii="Times New Roman" w:hAnsi="Times New Roman"/>
          <w:i/>
          <w:iCs/>
          <w:lang w:val="en-IN"/>
        </w:rPr>
      </w:pPr>
      <w:r w:rsidRPr="005D7A60">
        <w:rPr>
          <w:rFonts w:ascii="Times New Roman" w:hAnsi="Times New Roman"/>
          <w:i/>
          <w:iCs/>
          <w:lang w:val="en-IN"/>
        </w:rPr>
        <w:t>2.1.1 Predictive AI for credit risk</w:t>
      </w:r>
    </w:p>
    <w:p w14:paraId="30C5E7B1" w14:textId="77777777" w:rsidR="00111434" w:rsidRPr="005D7A60" w:rsidRDefault="00111434" w:rsidP="00111434">
      <w:pPr>
        <w:spacing w:line="480" w:lineRule="auto"/>
        <w:ind w:firstLine="709"/>
        <w:jc w:val="both"/>
        <w:rPr>
          <w:rFonts w:ascii="Times New Roman" w:hAnsi="Times New Roman"/>
          <w:lang w:val="en-IN"/>
        </w:rPr>
      </w:pPr>
      <w:r w:rsidRPr="005D7A60">
        <w:rPr>
          <w:rFonts w:ascii="Times New Roman" w:hAnsi="Times New Roman"/>
          <w:lang w:val="en-IN"/>
        </w:rPr>
        <w:t>Foundational statistical models established the template for borrower-level default prediction (Altman, 1968; Altman et al., 1994). Subsequent machine-learning work broadened the repertoire to decision trees, ensembles, and neural networks (</w:t>
      </w:r>
      <w:proofErr w:type="spellStart"/>
      <w:r w:rsidRPr="005D7A60">
        <w:rPr>
          <w:rFonts w:ascii="Times New Roman" w:hAnsi="Times New Roman"/>
          <w:lang w:val="en-IN"/>
        </w:rPr>
        <w:t>Baesens</w:t>
      </w:r>
      <w:proofErr w:type="spellEnd"/>
      <w:r w:rsidRPr="005D7A60">
        <w:rPr>
          <w:rFonts w:ascii="Times New Roman" w:hAnsi="Times New Roman"/>
          <w:lang w:val="en-IN"/>
        </w:rPr>
        <w:t xml:space="preserve"> et al., 2003; Bellotti &amp; Crook, 2009; </w:t>
      </w:r>
      <w:proofErr w:type="spellStart"/>
      <w:r w:rsidRPr="005D7A60">
        <w:rPr>
          <w:rFonts w:ascii="Times New Roman" w:hAnsi="Times New Roman"/>
          <w:lang w:val="en-IN"/>
        </w:rPr>
        <w:t>Khandani</w:t>
      </w:r>
      <w:proofErr w:type="spellEnd"/>
      <w:r w:rsidRPr="005D7A60">
        <w:rPr>
          <w:rFonts w:ascii="Times New Roman" w:hAnsi="Times New Roman"/>
          <w:lang w:val="en-IN"/>
        </w:rPr>
        <w:t>, Kim &amp; Lo, 2010; Lessmann et al., 2015; Louzada et al., 2016), with dynamic and frailty-aware formulations improving multi-period risk estimation (Sigrist &amp; Leuenberger, 2023). Recent studies explore fairness–accuracy trade-offs in consumer credit (</w:t>
      </w:r>
      <w:proofErr w:type="spellStart"/>
      <w:r w:rsidRPr="005D7A60">
        <w:rPr>
          <w:rFonts w:ascii="Times New Roman" w:hAnsi="Times New Roman"/>
          <w:lang w:val="en-IN"/>
        </w:rPr>
        <w:t>Kozodoi</w:t>
      </w:r>
      <w:proofErr w:type="spellEnd"/>
      <w:r w:rsidRPr="005D7A60">
        <w:rPr>
          <w:rFonts w:ascii="Times New Roman" w:hAnsi="Times New Roman"/>
          <w:lang w:val="en-IN"/>
        </w:rPr>
        <w:t xml:space="preserve"> et al., 2022) and report deep-learning/transformer advances on card and retail datasets (</w:t>
      </w:r>
      <w:proofErr w:type="spellStart"/>
      <w:r w:rsidRPr="005D7A60">
        <w:rPr>
          <w:rFonts w:ascii="Times New Roman" w:hAnsi="Times New Roman"/>
          <w:lang w:val="en-IN"/>
        </w:rPr>
        <w:t>DeRisk</w:t>
      </w:r>
      <w:proofErr w:type="spellEnd"/>
      <w:r w:rsidRPr="005D7A60">
        <w:rPr>
          <w:rFonts w:ascii="Times New Roman" w:hAnsi="Times New Roman"/>
          <w:lang w:val="en-IN"/>
        </w:rPr>
        <w:t xml:space="preserve">, 2023; Transformer Credit Default Study, 2024). (Table 1.) </w:t>
      </w:r>
    </w:p>
    <w:p w14:paraId="335643CC" w14:textId="77777777" w:rsidR="00111434" w:rsidRPr="005D7A60" w:rsidRDefault="00111434" w:rsidP="00AB669D">
      <w:pPr>
        <w:spacing w:line="480" w:lineRule="auto"/>
        <w:jc w:val="both"/>
        <w:rPr>
          <w:rFonts w:ascii="Times New Roman" w:hAnsi="Times New Roman"/>
          <w:i/>
          <w:iCs/>
          <w:lang w:val="en-IN"/>
        </w:rPr>
      </w:pPr>
      <w:r w:rsidRPr="005D7A60">
        <w:rPr>
          <w:rFonts w:ascii="Times New Roman" w:hAnsi="Times New Roman"/>
          <w:i/>
          <w:iCs/>
          <w:lang w:val="en-IN"/>
        </w:rPr>
        <w:t>2.1.2 Generative AI for regulatory interpretation (Basel 3.1)</w:t>
      </w:r>
    </w:p>
    <w:p w14:paraId="0F73C26D" w14:textId="77777777" w:rsidR="00111434" w:rsidRPr="005D7A60" w:rsidRDefault="00111434" w:rsidP="00111434">
      <w:pPr>
        <w:spacing w:line="480" w:lineRule="auto"/>
        <w:ind w:firstLine="709"/>
        <w:jc w:val="both"/>
        <w:rPr>
          <w:rFonts w:ascii="Times New Roman" w:hAnsi="Times New Roman"/>
          <w:lang w:val="en-IN"/>
        </w:rPr>
      </w:pPr>
      <w:r w:rsidRPr="005D7A60">
        <w:rPr>
          <w:rFonts w:ascii="Times New Roman" w:hAnsi="Times New Roman"/>
          <w:lang w:val="en-IN"/>
        </w:rPr>
        <w:t xml:space="preserve">The Gen-AI literature relevant to regulation builds on the transformer family (Vaswani et al., 2017; Devlin et al., 2018; Radford et al., 2018; Brown et al., 2020; Raffel et al., 2020; </w:t>
      </w:r>
      <w:proofErr w:type="spellStart"/>
      <w:r w:rsidRPr="005D7A60">
        <w:rPr>
          <w:rFonts w:ascii="Times New Roman" w:hAnsi="Times New Roman"/>
          <w:lang w:val="en-IN"/>
        </w:rPr>
        <w:t>Touvron</w:t>
      </w:r>
      <w:proofErr w:type="spellEnd"/>
      <w:r w:rsidRPr="005D7A60">
        <w:rPr>
          <w:rFonts w:ascii="Times New Roman" w:hAnsi="Times New Roman"/>
          <w:lang w:val="en-IN"/>
        </w:rPr>
        <w:t xml:space="preserve"> et al., 2023) and applies prompt-engineering, retrieval, and reasoning strategies to financial rules. Studies show improved question-answering and clause-to-logic translation for </w:t>
      </w:r>
      <w:r w:rsidRPr="005D7A60">
        <w:rPr>
          <w:rFonts w:ascii="Times New Roman" w:hAnsi="Times New Roman"/>
          <w:lang w:val="en-IN"/>
        </w:rPr>
        <w:lastRenderedPageBreak/>
        <w:t xml:space="preserve">Basel topics (Cao &amp; Feinstein, 2024; Nazemi &amp; Fabozzi, 2024; Fazlija et al., 2025; Haeri, Vitrano &amp; </w:t>
      </w:r>
      <w:proofErr w:type="spellStart"/>
      <w:r w:rsidRPr="005D7A60">
        <w:rPr>
          <w:rFonts w:ascii="Times New Roman" w:hAnsi="Times New Roman"/>
          <w:lang w:val="en-IN"/>
        </w:rPr>
        <w:t>Ghelichi</w:t>
      </w:r>
      <w:proofErr w:type="spellEnd"/>
      <w:r w:rsidRPr="005D7A60">
        <w:rPr>
          <w:rFonts w:ascii="Times New Roman" w:hAnsi="Times New Roman"/>
          <w:lang w:val="en-IN"/>
        </w:rPr>
        <w:t xml:space="preserve">, 2025), alongside architectural blueprints for end-to-end regulatory workflows (Joshi, 2025). Collectively, these papers motivate translating Basel 3.1 Credit Risk (CRE) provisions into machine-readable logic but stop short of integrating live borrower-level risk estimates. (Table 2.) </w:t>
      </w:r>
    </w:p>
    <w:p w14:paraId="66F696DA" w14:textId="5AB27714" w:rsidR="00111434" w:rsidRPr="005D7A60" w:rsidRDefault="00111434" w:rsidP="00111434">
      <w:pPr>
        <w:spacing w:line="480" w:lineRule="auto"/>
        <w:ind w:firstLine="709"/>
        <w:jc w:val="both"/>
        <w:rPr>
          <w:rFonts w:ascii="Times New Roman" w:hAnsi="Times New Roman"/>
          <w:lang w:val="en-IN"/>
        </w:rPr>
      </w:pPr>
      <w:r w:rsidRPr="005D7A60">
        <w:rPr>
          <w:rFonts w:ascii="Times New Roman" w:hAnsi="Times New Roman"/>
          <w:lang w:val="en-IN"/>
        </w:rPr>
        <w:t xml:space="preserve">The theoretical corpus therefore offers two mature yet siloed lines: (a) predictive AI for </w:t>
      </w:r>
      <w:r w:rsidR="008F24D1" w:rsidRPr="005D7A60">
        <w:rPr>
          <w:rFonts w:ascii="Times New Roman" w:hAnsi="Times New Roman"/>
          <w:lang w:val="en-IN"/>
        </w:rPr>
        <w:t>credit risk</w:t>
      </w:r>
      <w:r w:rsidRPr="005D7A60">
        <w:rPr>
          <w:rFonts w:ascii="Times New Roman" w:hAnsi="Times New Roman"/>
          <w:lang w:val="en-IN"/>
        </w:rPr>
        <w:t xml:space="preserve"> estimation with explainability and fairness controls (Altman, 1968; Lessmann et al., 2015; </w:t>
      </w:r>
      <w:proofErr w:type="spellStart"/>
      <w:r w:rsidRPr="005D7A60">
        <w:rPr>
          <w:rFonts w:ascii="Times New Roman" w:hAnsi="Times New Roman"/>
          <w:lang w:val="en-IN"/>
        </w:rPr>
        <w:t>Kozodoi</w:t>
      </w:r>
      <w:proofErr w:type="spellEnd"/>
      <w:r w:rsidRPr="005D7A60">
        <w:rPr>
          <w:rFonts w:ascii="Times New Roman" w:hAnsi="Times New Roman"/>
          <w:lang w:val="en-IN"/>
        </w:rPr>
        <w:t xml:space="preserve"> et al., 2022; Sigrist &amp; Leuenberger, 2023), and (b) Gen-AI for regulatory comprehension and clause operationalisation (Cao &amp; Feinstein, 2024; Fazlija et al., 2025; Haeri et al., 2025; Joshi, 2025). A unifying framework that connects these strands remains largely absent. </w:t>
      </w:r>
    </w:p>
    <w:p w14:paraId="1D061F6F" w14:textId="77777777" w:rsidR="00111434" w:rsidRPr="005D7A60" w:rsidRDefault="00111434" w:rsidP="00AB669D">
      <w:pPr>
        <w:spacing w:line="480" w:lineRule="auto"/>
        <w:jc w:val="both"/>
        <w:rPr>
          <w:rFonts w:ascii="Times New Roman" w:hAnsi="Times New Roman"/>
          <w:i/>
          <w:iCs/>
          <w:lang w:val="en-IN"/>
        </w:rPr>
      </w:pPr>
      <w:r w:rsidRPr="005D7A60">
        <w:rPr>
          <w:rFonts w:ascii="Times New Roman" w:hAnsi="Times New Roman"/>
          <w:i/>
          <w:iCs/>
          <w:lang w:val="en-IN"/>
        </w:rPr>
        <w:t>2.2 Empirical literature on AI-enabled credit risk and Basel compliance</w:t>
      </w:r>
    </w:p>
    <w:p w14:paraId="0EF0B0EE" w14:textId="77777777" w:rsidR="00111434" w:rsidRPr="005D7A60" w:rsidRDefault="00111434" w:rsidP="00AB669D">
      <w:pPr>
        <w:spacing w:line="480" w:lineRule="auto"/>
        <w:jc w:val="both"/>
        <w:rPr>
          <w:rFonts w:ascii="Times New Roman" w:hAnsi="Times New Roman"/>
          <w:i/>
          <w:iCs/>
          <w:lang w:val="en-IN"/>
        </w:rPr>
      </w:pPr>
      <w:r w:rsidRPr="005D7A60">
        <w:rPr>
          <w:rFonts w:ascii="Times New Roman" w:hAnsi="Times New Roman"/>
          <w:i/>
          <w:iCs/>
          <w:lang w:val="en-IN"/>
        </w:rPr>
        <w:t>2.2.1 Credit-risk AI: results and evaluation evidence</w:t>
      </w:r>
    </w:p>
    <w:p w14:paraId="42C05880" w14:textId="77777777" w:rsidR="00111434" w:rsidRPr="005D7A60" w:rsidRDefault="00111434" w:rsidP="00111434">
      <w:pPr>
        <w:spacing w:line="480" w:lineRule="auto"/>
        <w:ind w:firstLine="709"/>
        <w:jc w:val="both"/>
        <w:rPr>
          <w:rFonts w:ascii="Times New Roman" w:hAnsi="Times New Roman"/>
          <w:lang w:val="en-IN"/>
        </w:rPr>
      </w:pPr>
      <w:r w:rsidRPr="005D7A60">
        <w:rPr>
          <w:rFonts w:ascii="Times New Roman" w:hAnsi="Times New Roman"/>
          <w:lang w:val="en-IN"/>
        </w:rPr>
        <w:t>Empirical studies confirm that ML outperforms traditional scoring across retail and corporate contexts. Portfolio-scale analyses show higher ROC-AUC and better early-warning performance for tree ensembles and deep networks (</w:t>
      </w:r>
      <w:proofErr w:type="spellStart"/>
      <w:r w:rsidRPr="005D7A60">
        <w:rPr>
          <w:rFonts w:ascii="Times New Roman" w:hAnsi="Times New Roman"/>
          <w:lang w:val="en-IN"/>
        </w:rPr>
        <w:t>Butaru</w:t>
      </w:r>
      <w:proofErr w:type="spellEnd"/>
      <w:r w:rsidRPr="005D7A60">
        <w:rPr>
          <w:rFonts w:ascii="Times New Roman" w:hAnsi="Times New Roman"/>
          <w:lang w:val="en-IN"/>
        </w:rPr>
        <w:t xml:space="preserve"> et al., 2016; Sirignano, Sadhwani &amp; Giesecke, 2018; Dawood et al., 2019). Country-specific work demonstrates feasibility in India and emerging markets (Kumar et al., 2022; Ahmed et al., 2023), while fairness-oriented evaluations quantify accuracy–equity trade-offs (</w:t>
      </w:r>
      <w:proofErr w:type="spellStart"/>
      <w:r w:rsidRPr="005D7A60">
        <w:rPr>
          <w:rFonts w:ascii="Times New Roman" w:hAnsi="Times New Roman"/>
          <w:lang w:val="en-IN"/>
        </w:rPr>
        <w:t>Kozodoi</w:t>
      </w:r>
      <w:proofErr w:type="spellEnd"/>
      <w:r w:rsidRPr="005D7A60">
        <w:rPr>
          <w:rFonts w:ascii="Times New Roman" w:hAnsi="Times New Roman"/>
          <w:lang w:val="en-IN"/>
        </w:rPr>
        <w:t xml:space="preserve"> et al., 2022). Recent results indicate gains from transformer-style models on credit-card sequences and noisy, high-dimensional financial data (</w:t>
      </w:r>
      <w:proofErr w:type="spellStart"/>
      <w:r w:rsidRPr="005D7A60">
        <w:rPr>
          <w:rFonts w:ascii="Times New Roman" w:hAnsi="Times New Roman"/>
          <w:lang w:val="en-IN"/>
        </w:rPr>
        <w:t>DeRisk</w:t>
      </w:r>
      <w:proofErr w:type="spellEnd"/>
      <w:r w:rsidRPr="005D7A60">
        <w:rPr>
          <w:rFonts w:ascii="Times New Roman" w:hAnsi="Times New Roman"/>
          <w:lang w:val="en-IN"/>
        </w:rPr>
        <w:t xml:space="preserve">, 2023; Transformer Credit Default Study, 2024). Adoption evidence in Indian banking highlights organisational and supervisory drivers (Goyal, 2025). (Empirical table.) </w:t>
      </w:r>
    </w:p>
    <w:p w14:paraId="68100F9F" w14:textId="77777777" w:rsidR="00111434" w:rsidRPr="005D7A60" w:rsidRDefault="00111434" w:rsidP="00AB669D">
      <w:pPr>
        <w:spacing w:line="480" w:lineRule="auto"/>
        <w:jc w:val="both"/>
        <w:rPr>
          <w:rFonts w:ascii="Times New Roman" w:hAnsi="Times New Roman"/>
          <w:i/>
          <w:iCs/>
          <w:lang w:val="en-IN"/>
        </w:rPr>
      </w:pPr>
      <w:r w:rsidRPr="005D7A60">
        <w:rPr>
          <w:rFonts w:ascii="Times New Roman" w:hAnsi="Times New Roman"/>
          <w:i/>
          <w:iCs/>
          <w:lang w:val="en-IN"/>
        </w:rPr>
        <w:lastRenderedPageBreak/>
        <w:t>2.2.2 Basel norms, comparability, and AI-assisted automation</w:t>
      </w:r>
    </w:p>
    <w:p w14:paraId="2EAA6DE1" w14:textId="1DE79597" w:rsidR="00111434" w:rsidRPr="005D7A60" w:rsidRDefault="00111434" w:rsidP="000B5CCE">
      <w:pPr>
        <w:spacing w:line="480" w:lineRule="auto"/>
        <w:ind w:firstLine="709"/>
        <w:jc w:val="both"/>
        <w:rPr>
          <w:rFonts w:ascii="Times New Roman" w:hAnsi="Times New Roman"/>
          <w:lang w:val="en-IN"/>
        </w:rPr>
      </w:pPr>
      <w:r w:rsidRPr="005D7A60">
        <w:rPr>
          <w:rFonts w:ascii="Times New Roman" w:hAnsi="Times New Roman"/>
          <w:lang w:val="en-IN"/>
        </w:rPr>
        <w:t xml:space="preserve">The regulatory literature traces the evolution from Basel I to Basel 3.1 and documents rising complexity and compliance costs (Basel Committee, 1988; 2004; 2010/2011; 2017; Jones &amp; Zeitz, 2017; Junge &amp; Kugler, 2018). Empirical and policy studies assess IRB vs SA comparability (Behn, </w:t>
      </w:r>
      <w:proofErr w:type="spellStart"/>
      <w:r w:rsidRPr="005D7A60">
        <w:rPr>
          <w:rFonts w:ascii="Times New Roman" w:hAnsi="Times New Roman"/>
          <w:lang w:val="en-IN"/>
        </w:rPr>
        <w:t>Haselmann</w:t>
      </w:r>
      <w:proofErr w:type="spellEnd"/>
      <w:r w:rsidRPr="005D7A60">
        <w:rPr>
          <w:rFonts w:ascii="Times New Roman" w:hAnsi="Times New Roman"/>
          <w:lang w:val="en-IN"/>
        </w:rPr>
        <w:t xml:space="preserve"> &amp; Wachtel, 2019), buffer usability in stress (</w:t>
      </w:r>
      <w:proofErr w:type="spellStart"/>
      <w:r w:rsidRPr="005D7A60">
        <w:rPr>
          <w:rFonts w:ascii="Times New Roman" w:hAnsi="Times New Roman"/>
          <w:lang w:val="en-IN"/>
        </w:rPr>
        <w:t>Drehmann</w:t>
      </w:r>
      <w:proofErr w:type="spellEnd"/>
      <w:r w:rsidRPr="005D7A60">
        <w:rPr>
          <w:rFonts w:ascii="Times New Roman" w:hAnsi="Times New Roman"/>
          <w:lang w:val="en-IN"/>
        </w:rPr>
        <w:t xml:space="preserve"> &amp; </w:t>
      </w:r>
      <w:proofErr w:type="spellStart"/>
      <w:r w:rsidRPr="005D7A60">
        <w:rPr>
          <w:rFonts w:ascii="Times New Roman" w:hAnsi="Times New Roman"/>
          <w:lang w:val="en-IN"/>
        </w:rPr>
        <w:t>Yetman</w:t>
      </w:r>
      <w:proofErr w:type="spellEnd"/>
      <w:r w:rsidRPr="005D7A60">
        <w:rPr>
          <w:rFonts w:ascii="Times New Roman" w:hAnsi="Times New Roman"/>
          <w:lang w:val="en-IN"/>
        </w:rPr>
        <w:t>, 2020), and post-Basel-III capital/risk-taking dynamics (</w:t>
      </w:r>
      <w:proofErr w:type="spellStart"/>
      <w:r w:rsidRPr="005D7A60">
        <w:rPr>
          <w:rFonts w:ascii="Times New Roman" w:hAnsi="Times New Roman"/>
          <w:lang w:val="en-IN"/>
        </w:rPr>
        <w:t>Anguren</w:t>
      </w:r>
      <w:proofErr w:type="spellEnd"/>
      <w:r w:rsidRPr="005D7A60">
        <w:rPr>
          <w:rFonts w:ascii="Times New Roman" w:hAnsi="Times New Roman"/>
          <w:lang w:val="en-IN"/>
        </w:rPr>
        <w:t xml:space="preserve">, Jiménez &amp; Peydró, 2024; Bashir et al., 2025). Early Gen-AI evaluations for regulatory QA and clause translation demonstrate promise but remain proof-of-concept in scope (Cao &amp; Feinstein, 2024; Fazlija et al., 2025; Haeri et al., 2025). (Table 4.) </w:t>
      </w:r>
    </w:p>
    <w:p w14:paraId="5B461EAA" w14:textId="77777777" w:rsidR="00111434" w:rsidRPr="005D7A60" w:rsidRDefault="00111434" w:rsidP="000B5CCE">
      <w:pPr>
        <w:spacing w:line="480" w:lineRule="auto"/>
        <w:jc w:val="both"/>
        <w:rPr>
          <w:rFonts w:ascii="Times New Roman" w:hAnsi="Times New Roman"/>
          <w:i/>
          <w:iCs/>
          <w:lang w:val="en-IN"/>
        </w:rPr>
      </w:pPr>
      <w:r w:rsidRPr="005D7A60">
        <w:rPr>
          <w:rFonts w:ascii="Times New Roman" w:hAnsi="Times New Roman"/>
          <w:i/>
          <w:iCs/>
          <w:lang w:val="en-IN"/>
        </w:rPr>
        <w:t>Research gap</w:t>
      </w:r>
    </w:p>
    <w:p w14:paraId="2C133600" w14:textId="37BB0F89" w:rsidR="00111434" w:rsidRPr="005D7A60" w:rsidRDefault="00111434" w:rsidP="00111434">
      <w:pPr>
        <w:spacing w:line="480" w:lineRule="auto"/>
        <w:ind w:firstLine="709"/>
        <w:jc w:val="both"/>
        <w:rPr>
          <w:rFonts w:ascii="Times New Roman" w:hAnsi="Times New Roman"/>
          <w:lang w:val="en-IN"/>
        </w:rPr>
      </w:pPr>
      <w:r w:rsidRPr="005D7A60">
        <w:rPr>
          <w:rFonts w:ascii="Times New Roman" w:hAnsi="Times New Roman"/>
          <w:lang w:val="en-IN"/>
        </w:rPr>
        <w:t>Across Tables 1–4, no identified study empirically integrates predictive AI with a Gen-AI-translated Basel 3.1 engine to produce a single, explainable pipeline that outputs borrower-level risk and capital impact in one pass. Predictive works prioritise accuracy and governance but stop short of regulatory computation; Gen-AI papers translate rules without coupling to live risk estimates; Basel studies focus on comparability, costs, and policy rather than end-to-end AI pipelines. This gap motivates the present research agenda to test an integrated, reproducible framework in which predictive outputs feed a machine-readable CRE rules engine, evaluated jointly for predictive accuracy, fairness and transparency, rule-match/reconciliation, and computational efficiency.</w:t>
      </w:r>
    </w:p>
    <w:p w14:paraId="52CAA67C" w14:textId="77777777" w:rsidR="000113F3" w:rsidRPr="005D7A60" w:rsidRDefault="000113F3" w:rsidP="000113F3">
      <w:pPr>
        <w:spacing w:line="480" w:lineRule="auto"/>
        <w:jc w:val="both"/>
        <w:rPr>
          <w:rFonts w:ascii="Times New Roman" w:hAnsi="Times New Roman"/>
          <w:b/>
          <w:bCs/>
          <w:lang w:val="en-IN"/>
        </w:rPr>
      </w:pPr>
      <w:r w:rsidRPr="005D7A60">
        <w:rPr>
          <w:rFonts w:ascii="Times New Roman" w:hAnsi="Times New Roman"/>
          <w:b/>
          <w:bCs/>
          <w:lang w:val="en-IN"/>
        </w:rPr>
        <w:t>Relevant Basel 3.1 Sections for the Study</w:t>
      </w:r>
    </w:p>
    <w:p w14:paraId="4361D23E" w14:textId="77777777" w:rsidR="000113F3" w:rsidRPr="005D7A60" w:rsidRDefault="000113F3" w:rsidP="000113F3">
      <w:pPr>
        <w:spacing w:after="160" w:line="480" w:lineRule="auto"/>
        <w:jc w:val="both"/>
        <w:rPr>
          <w:rFonts w:ascii="Times New Roman" w:hAnsi="Times New Roman"/>
        </w:rPr>
      </w:pPr>
      <w:r w:rsidRPr="005D7A60">
        <w:rPr>
          <w:rFonts w:ascii="Times New Roman" w:hAnsi="Times New Roman"/>
        </w:rPr>
        <w:t xml:space="preserve">While the Basel 3.1 framework spans multiple standards, only a subset directly informs this research. The sections on Scope and definitions (SCO), Definition of capital (CAP), and Risk-based capital requirements (RBC) provide necessary context for the regulatory environment </w:t>
      </w:r>
      <w:r w:rsidRPr="005D7A60">
        <w:rPr>
          <w:rFonts w:ascii="Times New Roman" w:hAnsi="Times New Roman"/>
        </w:rPr>
        <w:lastRenderedPageBreak/>
        <w:t>within which banks calculate capital adequacy. These set the boundaries, capital eligibility criteria, and overarching requirements that credit risk capital computations must adhere to.</w:t>
      </w:r>
    </w:p>
    <w:p w14:paraId="1ACB5D48" w14:textId="77777777" w:rsidR="000113F3" w:rsidRPr="005D7A60" w:rsidRDefault="000113F3" w:rsidP="000113F3">
      <w:pPr>
        <w:spacing w:after="160" w:line="480" w:lineRule="auto"/>
        <w:jc w:val="both"/>
        <w:rPr>
          <w:rFonts w:ascii="Times New Roman" w:hAnsi="Times New Roman"/>
        </w:rPr>
      </w:pPr>
      <w:r w:rsidRPr="005D7A60">
        <w:rPr>
          <w:rFonts w:ascii="Times New Roman" w:hAnsi="Times New Roman"/>
        </w:rPr>
        <w:t>However, the primary focus of this study lies in the Credit Risk (CRE) section, which describes the calculation of risk-weighted assets (RWA) for credit exposures. The CRE standards directly engage with borrower-level parameter probability of default (PD), loss given default (LGD), and exposure at default (</w:t>
      </w:r>
      <w:proofErr w:type="gramStart"/>
      <w:r w:rsidRPr="005D7A60">
        <w:rPr>
          <w:rFonts w:ascii="Times New Roman" w:hAnsi="Times New Roman"/>
        </w:rPr>
        <w:t>EAD)—</w:t>
      </w:r>
      <w:proofErr w:type="gramEnd"/>
      <w:r w:rsidRPr="005D7A60">
        <w:rPr>
          <w:rFonts w:ascii="Times New Roman" w:hAnsi="Times New Roman"/>
        </w:rPr>
        <w:t xml:space="preserve">that are central to predictive </w:t>
      </w:r>
      <w:proofErr w:type="gramStart"/>
      <w:r w:rsidRPr="005D7A60">
        <w:rPr>
          <w:rFonts w:ascii="Times New Roman" w:hAnsi="Times New Roman"/>
        </w:rPr>
        <w:t>modelling, and</w:t>
      </w:r>
      <w:proofErr w:type="gramEnd"/>
      <w:r w:rsidRPr="005D7A60">
        <w:rPr>
          <w:rFonts w:ascii="Times New Roman" w:hAnsi="Times New Roman"/>
        </w:rPr>
        <w:t xml:space="preserve"> represent the provisions that can be translated into machine-readable logic using Generative AI.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776"/>
        <w:gridCol w:w="1823"/>
        <w:gridCol w:w="3391"/>
        <w:gridCol w:w="3586"/>
      </w:tblGrid>
      <w:tr w:rsidR="000113F3" w:rsidRPr="005D7A60" w14:paraId="35DFED70" w14:textId="77777777" w:rsidTr="00A310EB">
        <w:trPr>
          <w:trHeight w:val="242"/>
        </w:trPr>
        <w:tc>
          <w:tcPr>
            <w:tcW w:w="0" w:type="auto"/>
            <w:hideMark/>
          </w:tcPr>
          <w:p w14:paraId="06C654F2" w14:textId="77777777" w:rsidR="000113F3" w:rsidRPr="005D7A60" w:rsidRDefault="000113F3" w:rsidP="00923235">
            <w:pPr>
              <w:jc w:val="center"/>
              <w:rPr>
                <w:rFonts w:ascii="Times New Roman" w:hAnsi="Times New Roman"/>
                <w:b/>
                <w:bCs/>
                <w:color w:val="000000"/>
                <w:sz w:val="18"/>
                <w:szCs w:val="18"/>
                <w:lang w:val="en-IN" w:eastAsia="en-IN"/>
              </w:rPr>
            </w:pPr>
            <w:r w:rsidRPr="005D7A60">
              <w:rPr>
                <w:rFonts w:ascii="Times New Roman" w:hAnsi="Times New Roman"/>
                <w:b/>
                <w:bCs/>
                <w:sz w:val="18"/>
                <w:szCs w:val="18"/>
              </w:rPr>
              <w:t>Section</w:t>
            </w:r>
          </w:p>
        </w:tc>
        <w:tc>
          <w:tcPr>
            <w:tcW w:w="0" w:type="auto"/>
            <w:hideMark/>
          </w:tcPr>
          <w:p w14:paraId="01B58DD4" w14:textId="77777777" w:rsidR="000113F3" w:rsidRPr="005D7A60" w:rsidRDefault="000113F3" w:rsidP="00923235">
            <w:pPr>
              <w:jc w:val="center"/>
              <w:rPr>
                <w:rFonts w:ascii="Times New Roman" w:hAnsi="Times New Roman"/>
                <w:b/>
                <w:bCs/>
                <w:color w:val="000000"/>
                <w:sz w:val="18"/>
                <w:szCs w:val="18"/>
                <w:lang w:val="en-IN" w:eastAsia="en-IN"/>
              </w:rPr>
            </w:pPr>
            <w:r w:rsidRPr="005D7A60">
              <w:rPr>
                <w:rFonts w:ascii="Times New Roman" w:hAnsi="Times New Roman"/>
                <w:b/>
                <w:bCs/>
                <w:sz w:val="18"/>
                <w:szCs w:val="18"/>
              </w:rPr>
              <w:t>Title</w:t>
            </w:r>
          </w:p>
        </w:tc>
        <w:tc>
          <w:tcPr>
            <w:tcW w:w="0" w:type="auto"/>
            <w:hideMark/>
          </w:tcPr>
          <w:p w14:paraId="2D0E9D30" w14:textId="77777777" w:rsidR="000113F3" w:rsidRPr="005D7A60" w:rsidRDefault="000113F3" w:rsidP="00923235">
            <w:pPr>
              <w:jc w:val="center"/>
              <w:rPr>
                <w:rFonts w:ascii="Times New Roman" w:hAnsi="Times New Roman"/>
                <w:b/>
                <w:bCs/>
                <w:color w:val="000000"/>
                <w:sz w:val="18"/>
                <w:szCs w:val="18"/>
                <w:lang w:val="en-IN" w:eastAsia="en-IN"/>
              </w:rPr>
            </w:pPr>
            <w:r w:rsidRPr="005D7A60">
              <w:rPr>
                <w:rFonts w:ascii="Times New Roman" w:hAnsi="Times New Roman"/>
                <w:b/>
                <w:bCs/>
                <w:sz w:val="18"/>
                <w:szCs w:val="18"/>
              </w:rPr>
              <w:t>Scope</w:t>
            </w:r>
          </w:p>
        </w:tc>
        <w:tc>
          <w:tcPr>
            <w:tcW w:w="0" w:type="auto"/>
            <w:hideMark/>
          </w:tcPr>
          <w:p w14:paraId="24B1037F" w14:textId="77777777" w:rsidR="000113F3" w:rsidRPr="005D7A60" w:rsidRDefault="000113F3" w:rsidP="00923235">
            <w:pPr>
              <w:jc w:val="center"/>
              <w:rPr>
                <w:rFonts w:ascii="Times New Roman" w:hAnsi="Times New Roman"/>
                <w:b/>
                <w:bCs/>
                <w:color w:val="000000"/>
                <w:sz w:val="18"/>
                <w:szCs w:val="18"/>
                <w:lang w:val="en-IN" w:eastAsia="en-IN"/>
              </w:rPr>
            </w:pPr>
            <w:r w:rsidRPr="005D7A60">
              <w:rPr>
                <w:rFonts w:ascii="Times New Roman" w:hAnsi="Times New Roman"/>
                <w:b/>
                <w:bCs/>
                <w:sz w:val="18"/>
                <w:szCs w:val="18"/>
              </w:rPr>
              <w:t>Relevance to Study</w:t>
            </w:r>
          </w:p>
        </w:tc>
      </w:tr>
      <w:tr w:rsidR="000113F3" w:rsidRPr="005D7A60" w14:paraId="5EF4CCDB" w14:textId="77777777" w:rsidTr="00A310EB">
        <w:trPr>
          <w:trHeight w:val="497"/>
        </w:trPr>
        <w:tc>
          <w:tcPr>
            <w:tcW w:w="0" w:type="auto"/>
          </w:tcPr>
          <w:p w14:paraId="6AA4B468" w14:textId="77777777" w:rsidR="000113F3" w:rsidRPr="005D7A60" w:rsidRDefault="000113F3" w:rsidP="00923235">
            <w:pPr>
              <w:rPr>
                <w:rFonts w:ascii="Times New Roman" w:hAnsi="Times New Roman"/>
                <w:color w:val="000000"/>
                <w:sz w:val="18"/>
                <w:szCs w:val="18"/>
                <w:lang w:val="en-IN" w:eastAsia="en-IN"/>
              </w:rPr>
            </w:pPr>
            <w:r w:rsidRPr="005D7A60">
              <w:rPr>
                <w:rStyle w:val="Strong"/>
                <w:rFonts w:ascii="Times New Roman" w:hAnsi="Times New Roman"/>
                <w:sz w:val="18"/>
                <w:szCs w:val="18"/>
              </w:rPr>
              <w:t>SCO</w:t>
            </w:r>
          </w:p>
        </w:tc>
        <w:tc>
          <w:tcPr>
            <w:tcW w:w="0" w:type="auto"/>
          </w:tcPr>
          <w:p w14:paraId="4BA9E800" w14:textId="77777777" w:rsidR="000113F3" w:rsidRPr="005D7A60" w:rsidRDefault="000113F3" w:rsidP="00923235">
            <w:pPr>
              <w:rPr>
                <w:rFonts w:ascii="Times New Roman" w:hAnsi="Times New Roman"/>
                <w:color w:val="000000"/>
                <w:sz w:val="18"/>
                <w:szCs w:val="18"/>
                <w:lang w:val="en-IN" w:eastAsia="en-IN"/>
              </w:rPr>
            </w:pPr>
            <w:r w:rsidRPr="005D7A60">
              <w:rPr>
                <w:rFonts w:ascii="Times New Roman" w:hAnsi="Times New Roman"/>
                <w:sz w:val="18"/>
                <w:szCs w:val="18"/>
              </w:rPr>
              <w:t>Scope and definitions</w:t>
            </w:r>
          </w:p>
        </w:tc>
        <w:tc>
          <w:tcPr>
            <w:tcW w:w="0" w:type="auto"/>
          </w:tcPr>
          <w:p w14:paraId="50362942" w14:textId="77777777" w:rsidR="000113F3" w:rsidRPr="005D7A60" w:rsidRDefault="000113F3" w:rsidP="00923235">
            <w:pPr>
              <w:rPr>
                <w:rFonts w:ascii="Times New Roman" w:hAnsi="Times New Roman"/>
                <w:color w:val="000000"/>
                <w:sz w:val="18"/>
                <w:szCs w:val="18"/>
                <w:lang w:val="en-IN" w:eastAsia="en-IN"/>
              </w:rPr>
            </w:pPr>
            <w:r w:rsidRPr="005D7A60">
              <w:rPr>
                <w:rFonts w:ascii="Times New Roman" w:hAnsi="Times New Roman"/>
                <w:sz w:val="18"/>
                <w:szCs w:val="18"/>
              </w:rPr>
              <w:t>Defines the scope of application of the Basel Framework</w:t>
            </w:r>
          </w:p>
        </w:tc>
        <w:tc>
          <w:tcPr>
            <w:tcW w:w="0" w:type="auto"/>
          </w:tcPr>
          <w:p w14:paraId="48D999F9" w14:textId="77777777" w:rsidR="000113F3" w:rsidRPr="005D7A60" w:rsidRDefault="000113F3" w:rsidP="00923235">
            <w:pPr>
              <w:rPr>
                <w:rFonts w:ascii="Times New Roman" w:hAnsi="Times New Roman"/>
                <w:color w:val="000000"/>
                <w:sz w:val="18"/>
                <w:szCs w:val="18"/>
                <w:lang w:val="en-IN" w:eastAsia="en-IN"/>
              </w:rPr>
            </w:pPr>
            <w:r w:rsidRPr="005D7A60">
              <w:rPr>
                <w:rFonts w:ascii="Times New Roman" w:hAnsi="Times New Roman"/>
                <w:sz w:val="18"/>
                <w:szCs w:val="18"/>
              </w:rPr>
              <w:t>Provides boundary conditions for which institutions and exposures Basel rules apply</w:t>
            </w:r>
          </w:p>
        </w:tc>
      </w:tr>
      <w:tr w:rsidR="000113F3" w:rsidRPr="005D7A60" w14:paraId="60EF005C" w14:textId="77777777" w:rsidTr="00A310EB">
        <w:trPr>
          <w:trHeight w:val="484"/>
        </w:trPr>
        <w:tc>
          <w:tcPr>
            <w:tcW w:w="0" w:type="auto"/>
          </w:tcPr>
          <w:p w14:paraId="7063E0DF" w14:textId="77777777" w:rsidR="000113F3" w:rsidRPr="005D7A60" w:rsidRDefault="000113F3" w:rsidP="00923235">
            <w:pPr>
              <w:rPr>
                <w:rFonts w:ascii="Times New Roman" w:hAnsi="Times New Roman"/>
                <w:color w:val="000000"/>
                <w:sz w:val="18"/>
                <w:szCs w:val="18"/>
                <w:lang w:val="en-IN" w:eastAsia="en-IN"/>
              </w:rPr>
            </w:pPr>
            <w:r w:rsidRPr="005D7A60">
              <w:rPr>
                <w:rStyle w:val="Strong"/>
                <w:rFonts w:ascii="Times New Roman" w:hAnsi="Times New Roman"/>
                <w:sz w:val="18"/>
                <w:szCs w:val="18"/>
              </w:rPr>
              <w:t>CAP</w:t>
            </w:r>
          </w:p>
        </w:tc>
        <w:tc>
          <w:tcPr>
            <w:tcW w:w="0" w:type="auto"/>
          </w:tcPr>
          <w:p w14:paraId="42B6B9C2" w14:textId="77777777" w:rsidR="000113F3" w:rsidRPr="005D7A60" w:rsidRDefault="000113F3" w:rsidP="00923235">
            <w:pPr>
              <w:rPr>
                <w:rFonts w:ascii="Times New Roman" w:hAnsi="Times New Roman"/>
                <w:color w:val="000000"/>
                <w:sz w:val="18"/>
                <w:szCs w:val="18"/>
                <w:lang w:val="en-IN" w:eastAsia="en-IN"/>
              </w:rPr>
            </w:pPr>
            <w:r w:rsidRPr="005D7A60">
              <w:rPr>
                <w:rFonts w:ascii="Times New Roman" w:hAnsi="Times New Roman"/>
                <w:sz w:val="18"/>
                <w:szCs w:val="18"/>
              </w:rPr>
              <w:t>Definition of capital</w:t>
            </w:r>
          </w:p>
        </w:tc>
        <w:tc>
          <w:tcPr>
            <w:tcW w:w="0" w:type="auto"/>
          </w:tcPr>
          <w:p w14:paraId="77010CEF" w14:textId="77777777" w:rsidR="000113F3" w:rsidRPr="005D7A60" w:rsidRDefault="000113F3" w:rsidP="00923235">
            <w:pPr>
              <w:rPr>
                <w:rFonts w:ascii="Times New Roman" w:hAnsi="Times New Roman"/>
                <w:color w:val="000000"/>
                <w:sz w:val="18"/>
                <w:szCs w:val="18"/>
                <w:lang w:val="en-IN" w:eastAsia="en-IN"/>
              </w:rPr>
            </w:pPr>
            <w:r w:rsidRPr="005D7A60">
              <w:rPr>
                <w:rFonts w:ascii="Times New Roman" w:hAnsi="Times New Roman"/>
                <w:sz w:val="18"/>
                <w:szCs w:val="18"/>
              </w:rPr>
              <w:t>Criteria for capital instruments, regulatory adjustments, and transitional arrangements</w:t>
            </w:r>
          </w:p>
        </w:tc>
        <w:tc>
          <w:tcPr>
            <w:tcW w:w="0" w:type="auto"/>
          </w:tcPr>
          <w:p w14:paraId="7E5A1545" w14:textId="77777777" w:rsidR="000113F3" w:rsidRPr="005D7A60" w:rsidRDefault="000113F3" w:rsidP="00923235">
            <w:pPr>
              <w:rPr>
                <w:rFonts w:ascii="Times New Roman" w:hAnsi="Times New Roman"/>
                <w:color w:val="000000"/>
                <w:sz w:val="18"/>
                <w:szCs w:val="18"/>
                <w:lang w:val="en-IN" w:eastAsia="en-IN"/>
              </w:rPr>
            </w:pPr>
            <w:r w:rsidRPr="005D7A60">
              <w:rPr>
                <w:rFonts w:ascii="Times New Roman" w:hAnsi="Times New Roman"/>
                <w:sz w:val="18"/>
                <w:szCs w:val="18"/>
              </w:rPr>
              <w:t>Ensures capital used against RWAs meets regulatory eligibility</w:t>
            </w:r>
          </w:p>
        </w:tc>
      </w:tr>
      <w:tr w:rsidR="000113F3" w:rsidRPr="005D7A60" w14:paraId="6E986A04" w14:textId="77777777" w:rsidTr="00A310EB">
        <w:trPr>
          <w:trHeight w:val="497"/>
        </w:trPr>
        <w:tc>
          <w:tcPr>
            <w:tcW w:w="0" w:type="auto"/>
          </w:tcPr>
          <w:p w14:paraId="4BEDB2D8" w14:textId="77777777" w:rsidR="000113F3" w:rsidRPr="005D7A60" w:rsidRDefault="000113F3" w:rsidP="00923235">
            <w:pPr>
              <w:rPr>
                <w:rFonts w:ascii="Times New Roman" w:hAnsi="Times New Roman"/>
                <w:color w:val="000000"/>
                <w:sz w:val="18"/>
                <w:szCs w:val="18"/>
                <w:lang w:val="en-IN" w:eastAsia="en-IN"/>
              </w:rPr>
            </w:pPr>
            <w:r w:rsidRPr="005D7A60">
              <w:rPr>
                <w:rStyle w:val="Strong"/>
                <w:rFonts w:ascii="Times New Roman" w:hAnsi="Times New Roman"/>
                <w:sz w:val="18"/>
                <w:szCs w:val="18"/>
              </w:rPr>
              <w:t>RBC</w:t>
            </w:r>
          </w:p>
        </w:tc>
        <w:tc>
          <w:tcPr>
            <w:tcW w:w="0" w:type="auto"/>
          </w:tcPr>
          <w:p w14:paraId="78F2F81C" w14:textId="77777777" w:rsidR="000113F3" w:rsidRPr="005D7A60" w:rsidRDefault="000113F3" w:rsidP="00923235">
            <w:pPr>
              <w:rPr>
                <w:rFonts w:ascii="Times New Roman" w:hAnsi="Times New Roman"/>
                <w:color w:val="000000"/>
                <w:sz w:val="18"/>
                <w:szCs w:val="18"/>
                <w:lang w:val="en-IN" w:eastAsia="en-IN"/>
              </w:rPr>
            </w:pPr>
            <w:r w:rsidRPr="005D7A60">
              <w:rPr>
                <w:rFonts w:ascii="Times New Roman" w:hAnsi="Times New Roman"/>
                <w:sz w:val="18"/>
                <w:szCs w:val="18"/>
              </w:rPr>
              <w:t>Risk-based capital requirements</w:t>
            </w:r>
          </w:p>
        </w:tc>
        <w:tc>
          <w:tcPr>
            <w:tcW w:w="0" w:type="auto"/>
          </w:tcPr>
          <w:p w14:paraId="1C253CBD" w14:textId="77777777" w:rsidR="000113F3" w:rsidRPr="005D7A60" w:rsidRDefault="000113F3" w:rsidP="00923235">
            <w:pPr>
              <w:rPr>
                <w:rFonts w:ascii="Times New Roman" w:hAnsi="Times New Roman"/>
                <w:color w:val="000000"/>
                <w:sz w:val="18"/>
                <w:szCs w:val="18"/>
                <w:lang w:val="en-IN" w:eastAsia="en-IN"/>
              </w:rPr>
            </w:pPr>
            <w:r w:rsidRPr="005D7A60">
              <w:rPr>
                <w:rFonts w:ascii="Times New Roman" w:hAnsi="Times New Roman"/>
                <w:sz w:val="18"/>
                <w:szCs w:val="18"/>
              </w:rPr>
              <w:t>Overall framework for risk-based capital calculations</w:t>
            </w:r>
          </w:p>
        </w:tc>
        <w:tc>
          <w:tcPr>
            <w:tcW w:w="0" w:type="auto"/>
          </w:tcPr>
          <w:p w14:paraId="5B97EE28" w14:textId="77777777" w:rsidR="000113F3" w:rsidRPr="005D7A60" w:rsidRDefault="000113F3" w:rsidP="00923235">
            <w:pPr>
              <w:rPr>
                <w:rFonts w:ascii="Times New Roman" w:hAnsi="Times New Roman"/>
                <w:color w:val="000000"/>
                <w:sz w:val="18"/>
                <w:szCs w:val="18"/>
                <w:lang w:val="en-IN" w:eastAsia="en-IN"/>
              </w:rPr>
            </w:pPr>
            <w:r w:rsidRPr="005D7A60">
              <w:rPr>
                <w:rFonts w:ascii="Times New Roman" w:hAnsi="Times New Roman"/>
                <w:sz w:val="18"/>
                <w:szCs w:val="18"/>
              </w:rPr>
              <w:t>Provides context for integrating CRE risk-weighted assets into total capital adequacy</w:t>
            </w:r>
          </w:p>
        </w:tc>
      </w:tr>
      <w:tr w:rsidR="000113F3" w:rsidRPr="005D7A60" w14:paraId="5C2F07A2" w14:textId="77777777" w:rsidTr="00A310EB">
        <w:trPr>
          <w:trHeight w:val="484"/>
        </w:trPr>
        <w:tc>
          <w:tcPr>
            <w:tcW w:w="0" w:type="auto"/>
          </w:tcPr>
          <w:p w14:paraId="68281476" w14:textId="77777777" w:rsidR="000113F3" w:rsidRPr="005D7A60" w:rsidRDefault="000113F3" w:rsidP="00923235">
            <w:pPr>
              <w:rPr>
                <w:rFonts w:ascii="Times New Roman" w:hAnsi="Times New Roman"/>
                <w:color w:val="000000"/>
                <w:sz w:val="18"/>
                <w:szCs w:val="18"/>
                <w:lang w:val="en-IN" w:eastAsia="en-IN"/>
              </w:rPr>
            </w:pPr>
            <w:r w:rsidRPr="005D7A60">
              <w:rPr>
                <w:rStyle w:val="Strong"/>
                <w:rFonts w:ascii="Times New Roman" w:hAnsi="Times New Roman"/>
                <w:sz w:val="18"/>
                <w:szCs w:val="18"/>
              </w:rPr>
              <w:t>CRE</w:t>
            </w:r>
          </w:p>
        </w:tc>
        <w:tc>
          <w:tcPr>
            <w:tcW w:w="0" w:type="auto"/>
          </w:tcPr>
          <w:p w14:paraId="64A5DA31" w14:textId="77777777" w:rsidR="000113F3" w:rsidRPr="005D7A60" w:rsidRDefault="000113F3" w:rsidP="00923235">
            <w:pPr>
              <w:rPr>
                <w:rFonts w:ascii="Times New Roman" w:hAnsi="Times New Roman"/>
                <w:color w:val="000000"/>
                <w:sz w:val="18"/>
                <w:szCs w:val="18"/>
                <w:lang w:val="en-IN" w:eastAsia="en-IN"/>
              </w:rPr>
            </w:pPr>
            <w:r w:rsidRPr="005D7A60">
              <w:rPr>
                <w:rFonts w:ascii="Times New Roman" w:hAnsi="Times New Roman"/>
                <w:sz w:val="18"/>
                <w:szCs w:val="18"/>
              </w:rPr>
              <w:t>Calculation of RWA for credit risk</w:t>
            </w:r>
          </w:p>
        </w:tc>
        <w:tc>
          <w:tcPr>
            <w:tcW w:w="0" w:type="auto"/>
          </w:tcPr>
          <w:p w14:paraId="49B07626" w14:textId="77777777" w:rsidR="000113F3" w:rsidRPr="005D7A60" w:rsidRDefault="000113F3" w:rsidP="00923235">
            <w:pPr>
              <w:rPr>
                <w:rFonts w:ascii="Times New Roman" w:hAnsi="Times New Roman"/>
                <w:color w:val="000000"/>
                <w:sz w:val="18"/>
                <w:szCs w:val="18"/>
                <w:lang w:val="en-IN" w:eastAsia="en-IN"/>
              </w:rPr>
            </w:pPr>
            <w:r w:rsidRPr="005D7A60">
              <w:rPr>
                <w:rFonts w:ascii="Times New Roman" w:hAnsi="Times New Roman"/>
                <w:sz w:val="18"/>
                <w:szCs w:val="18"/>
              </w:rPr>
              <w:t>Detailed rules for exposure classes, PD, LGD, EAD, and risk weights</w:t>
            </w:r>
          </w:p>
        </w:tc>
        <w:tc>
          <w:tcPr>
            <w:tcW w:w="0" w:type="auto"/>
          </w:tcPr>
          <w:p w14:paraId="11B15C4F" w14:textId="77777777" w:rsidR="000113F3" w:rsidRPr="005D7A60" w:rsidRDefault="000113F3" w:rsidP="00923235">
            <w:pPr>
              <w:rPr>
                <w:rFonts w:ascii="Times New Roman" w:hAnsi="Times New Roman"/>
                <w:color w:val="000000"/>
                <w:sz w:val="18"/>
                <w:szCs w:val="18"/>
                <w:lang w:val="en-IN" w:eastAsia="en-IN"/>
              </w:rPr>
            </w:pPr>
            <w:r w:rsidRPr="005D7A60">
              <w:rPr>
                <w:rFonts w:ascii="Times New Roman" w:hAnsi="Times New Roman"/>
                <w:sz w:val="18"/>
                <w:szCs w:val="18"/>
              </w:rPr>
              <w:t>Core section for this study; connects predictive modelling with regulatory RWA computation</w:t>
            </w:r>
          </w:p>
        </w:tc>
      </w:tr>
    </w:tbl>
    <w:p w14:paraId="1344AFE4" w14:textId="77777777" w:rsidR="000113F3" w:rsidRPr="005D7A60" w:rsidRDefault="000113F3" w:rsidP="000113F3">
      <w:pPr>
        <w:pStyle w:val="Heading1"/>
        <w:rPr>
          <w:sz w:val="24"/>
          <w:szCs w:val="28"/>
          <w:lang w:val="en-IN"/>
        </w:rPr>
      </w:pPr>
      <w:r w:rsidRPr="005D7A60">
        <w:rPr>
          <w:sz w:val="24"/>
          <w:szCs w:val="28"/>
          <w:lang w:val="en-IN"/>
        </w:rPr>
        <w:t>Detailed Focus on Credit Risk (CRE) Section</w:t>
      </w:r>
    </w:p>
    <w:p w14:paraId="6EC0D671" w14:textId="77777777" w:rsidR="00A531AB" w:rsidRPr="005D7A60" w:rsidRDefault="00A531AB" w:rsidP="00A531AB">
      <w:pPr>
        <w:spacing w:line="480" w:lineRule="auto"/>
        <w:ind w:firstLine="720"/>
        <w:jc w:val="both"/>
        <w:rPr>
          <w:rFonts w:ascii="Times New Roman" w:hAnsi="Times New Roman"/>
          <w:lang w:val="en-IN"/>
        </w:rPr>
      </w:pPr>
      <w:r w:rsidRPr="005D7A60">
        <w:rPr>
          <w:rFonts w:ascii="Times New Roman" w:hAnsi="Times New Roman"/>
          <w:lang w:val="en-IN"/>
        </w:rPr>
        <w:t>Banks differ in how they implement Basel 3.1 credit risk rules, depending on supervisory approval, portfolio complexity, and resource availability. Broadly, banks can be categorised by the approach they follow: the Standardised Approach (SA), the Foundation Internal Ratings-Based (F-IRB) Approach, and the Advanced Internal Ratings-Based (A-IRB) Approach.</w:t>
      </w:r>
    </w:p>
    <w:p w14:paraId="76EFA635" w14:textId="77777777" w:rsidR="00A531AB" w:rsidRPr="005D7A60" w:rsidRDefault="00A531AB" w:rsidP="00A531AB">
      <w:pPr>
        <w:numPr>
          <w:ilvl w:val="0"/>
          <w:numId w:val="30"/>
        </w:numPr>
        <w:spacing w:line="480" w:lineRule="auto"/>
        <w:jc w:val="both"/>
        <w:rPr>
          <w:rFonts w:ascii="Times New Roman" w:hAnsi="Times New Roman"/>
          <w:lang w:val="en-IN"/>
        </w:rPr>
      </w:pPr>
      <w:r>
        <w:rPr>
          <w:rStyle w:val="SubtleEmphasis"/>
          <w:rFonts w:ascii="Times New Roman" w:hAnsi="Times New Roman"/>
          <w:color w:val="000000"/>
        </w:rPr>
        <w:t>Standardised Approach banks</w:t>
      </w:r>
      <w:r w:rsidRPr="005D7A60">
        <w:rPr>
          <w:rStyle w:val="SubtleEmphasis"/>
          <w:rFonts w:ascii="Times New Roman" w:hAnsi="Times New Roman"/>
        </w:rPr>
        <w:t xml:space="preserve"> (</w:t>
      </w:r>
      <w:r w:rsidRPr="005D7A60">
        <w:rPr>
          <w:rFonts w:ascii="Times New Roman" w:hAnsi="Times New Roman"/>
          <w:lang w:val="en-IN"/>
        </w:rPr>
        <w:t>often mid-size or those in emerging markets) rely on regulatory-prescribed risk weights by exposure class and external credit ratings. For these banks, the proposed research provides a mechanism to translate CRE rules into structured variables, improving transparency and reducing compliance costs through automation.</w:t>
      </w:r>
    </w:p>
    <w:p w14:paraId="62C83484" w14:textId="77777777" w:rsidR="00A531AB" w:rsidRPr="005D7A60" w:rsidRDefault="00A531AB" w:rsidP="00A531AB">
      <w:pPr>
        <w:numPr>
          <w:ilvl w:val="0"/>
          <w:numId w:val="30"/>
        </w:numPr>
        <w:spacing w:line="480" w:lineRule="auto"/>
        <w:jc w:val="both"/>
        <w:rPr>
          <w:rFonts w:ascii="Times New Roman" w:hAnsi="Times New Roman"/>
          <w:lang w:val="en-IN"/>
        </w:rPr>
      </w:pPr>
      <w:r>
        <w:rPr>
          <w:rStyle w:val="SubtleEmphasis"/>
          <w:rFonts w:ascii="Times New Roman" w:hAnsi="Times New Roman"/>
          <w:color w:val="000000"/>
        </w:rPr>
        <w:t>IRB banks</w:t>
      </w:r>
      <w:r w:rsidRPr="005D7A60">
        <w:rPr>
          <w:rFonts w:ascii="Times New Roman" w:hAnsi="Times New Roman"/>
          <w:lang w:val="en-IN"/>
        </w:rPr>
        <w:t xml:space="preserve"> (typically large international banks) estimate parameters such as Probability of Default (PD), Loss Given Default (LGD), and Exposure at Default (EAD). For these </w:t>
      </w:r>
      <w:r w:rsidRPr="005D7A60">
        <w:rPr>
          <w:rFonts w:ascii="Times New Roman" w:hAnsi="Times New Roman"/>
          <w:lang w:val="en-IN"/>
        </w:rPr>
        <w:lastRenderedPageBreak/>
        <w:t>banks, the research offers predictive modelling tools that can enhance parameter estimation and provide explainability in line with supervisory review expectations.</w:t>
      </w:r>
    </w:p>
    <w:p w14:paraId="5102AD57" w14:textId="7DCC08E9" w:rsidR="00A531AB" w:rsidRPr="005D7A60" w:rsidRDefault="00A531AB" w:rsidP="00A531AB">
      <w:pPr>
        <w:numPr>
          <w:ilvl w:val="0"/>
          <w:numId w:val="30"/>
        </w:numPr>
        <w:spacing w:line="480" w:lineRule="auto"/>
        <w:jc w:val="both"/>
        <w:rPr>
          <w:rFonts w:ascii="Times New Roman" w:hAnsi="Times New Roman"/>
          <w:lang w:val="en-IN"/>
        </w:rPr>
      </w:pPr>
      <w:r>
        <w:rPr>
          <w:rStyle w:val="SubtleEmphasis"/>
          <w:rFonts w:ascii="Times New Roman" w:hAnsi="Times New Roman"/>
          <w:color w:val="000000"/>
        </w:rPr>
        <w:t>Hybrid contexts (</w:t>
      </w:r>
      <w:r w:rsidRPr="005D7A60">
        <w:rPr>
          <w:rFonts w:ascii="Times New Roman" w:hAnsi="Times New Roman"/>
          <w:lang w:val="en-IN"/>
        </w:rPr>
        <w:t>e.g., banks under transition, or using IRB for some exposures and SA for others) can benefit from a combined framework where predictive AI refines borrower-level estimates and Generative AI automates Basel logic application.</w:t>
      </w:r>
    </w:p>
    <w:p w14:paraId="4D1C6FBB" w14:textId="77777777" w:rsidR="000113F3" w:rsidRPr="005D7A60" w:rsidRDefault="000113F3" w:rsidP="000113F3">
      <w:pPr>
        <w:spacing w:after="160" w:line="480" w:lineRule="auto"/>
        <w:jc w:val="both"/>
        <w:rPr>
          <w:rFonts w:ascii="Times New Roman" w:hAnsi="Times New Roman"/>
        </w:rPr>
      </w:pPr>
      <w:r w:rsidRPr="005D7A60">
        <w:rPr>
          <w:rFonts w:ascii="Times New Roman" w:hAnsi="Times New Roman"/>
        </w:rPr>
        <w:t xml:space="preserve">The CRE section provides the methodological foundation for this study, as it defines how credit exposures are classified, measured, and weighted for capital purposes. Within CRE, specific subsections cover exposure class segmentation, treatment of retail and real estate exposures, use of credit risk mitigation techniques, and the estimation of PD, LGD, and EAD under the Internal Ratings-Based (IRB) approach. These provisions create </w:t>
      </w:r>
      <w:proofErr w:type="gramStart"/>
      <w:r w:rsidRPr="005D7A60">
        <w:rPr>
          <w:rFonts w:ascii="Times New Roman" w:hAnsi="Times New Roman"/>
        </w:rPr>
        <w:t>the regulatory</w:t>
      </w:r>
      <w:proofErr w:type="gramEnd"/>
      <w:r w:rsidRPr="005D7A60">
        <w:rPr>
          <w:rFonts w:ascii="Times New Roman" w:hAnsi="Times New Roman"/>
        </w:rPr>
        <w:t xml:space="preserve"> logic that can be mapped into explainable AI frameworks.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230"/>
        <w:gridCol w:w="3581"/>
        <w:gridCol w:w="3765"/>
      </w:tblGrid>
      <w:tr w:rsidR="000113F3" w:rsidRPr="005D7A60" w14:paraId="1BB186A2" w14:textId="77777777" w:rsidTr="00A310EB">
        <w:trPr>
          <w:trHeight w:val="235"/>
        </w:trPr>
        <w:tc>
          <w:tcPr>
            <w:tcW w:w="0" w:type="auto"/>
            <w:hideMark/>
          </w:tcPr>
          <w:p w14:paraId="56F731B9" w14:textId="77777777" w:rsidR="000113F3" w:rsidRPr="005D7A60" w:rsidRDefault="000113F3" w:rsidP="00923235">
            <w:pPr>
              <w:jc w:val="center"/>
              <w:rPr>
                <w:rFonts w:ascii="Times New Roman" w:hAnsi="Times New Roman"/>
                <w:b/>
                <w:bCs/>
                <w:color w:val="000000"/>
                <w:sz w:val="18"/>
                <w:szCs w:val="18"/>
                <w:lang w:val="en-IN" w:eastAsia="en-IN"/>
              </w:rPr>
            </w:pPr>
            <w:r w:rsidRPr="005D7A60">
              <w:rPr>
                <w:rFonts w:ascii="Times New Roman" w:hAnsi="Times New Roman"/>
                <w:b/>
                <w:bCs/>
                <w:sz w:val="18"/>
                <w:szCs w:val="18"/>
              </w:rPr>
              <w:t>CRE Subsection</w:t>
            </w:r>
          </w:p>
        </w:tc>
        <w:tc>
          <w:tcPr>
            <w:tcW w:w="0" w:type="auto"/>
            <w:hideMark/>
          </w:tcPr>
          <w:p w14:paraId="643B6969" w14:textId="77777777" w:rsidR="000113F3" w:rsidRPr="005D7A60" w:rsidRDefault="000113F3" w:rsidP="00923235">
            <w:pPr>
              <w:jc w:val="center"/>
              <w:rPr>
                <w:rFonts w:ascii="Times New Roman" w:hAnsi="Times New Roman"/>
                <w:b/>
                <w:bCs/>
                <w:color w:val="000000"/>
                <w:sz w:val="18"/>
                <w:szCs w:val="18"/>
                <w:lang w:val="en-IN" w:eastAsia="en-IN"/>
              </w:rPr>
            </w:pPr>
            <w:r w:rsidRPr="005D7A60">
              <w:rPr>
                <w:rFonts w:ascii="Times New Roman" w:hAnsi="Times New Roman"/>
                <w:b/>
                <w:bCs/>
                <w:sz w:val="18"/>
                <w:szCs w:val="18"/>
              </w:rPr>
              <w:t>Scope</w:t>
            </w:r>
          </w:p>
        </w:tc>
        <w:tc>
          <w:tcPr>
            <w:tcW w:w="0" w:type="auto"/>
            <w:hideMark/>
          </w:tcPr>
          <w:p w14:paraId="5647CDDD" w14:textId="77777777" w:rsidR="000113F3" w:rsidRPr="005D7A60" w:rsidRDefault="000113F3" w:rsidP="00923235">
            <w:pPr>
              <w:jc w:val="center"/>
              <w:rPr>
                <w:rFonts w:ascii="Times New Roman" w:hAnsi="Times New Roman"/>
                <w:b/>
                <w:bCs/>
                <w:color w:val="000000"/>
                <w:sz w:val="18"/>
                <w:szCs w:val="18"/>
                <w:lang w:val="en-IN" w:eastAsia="en-IN"/>
              </w:rPr>
            </w:pPr>
            <w:r w:rsidRPr="005D7A60">
              <w:rPr>
                <w:rFonts w:ascii="Times New Roman" w:hAnsi="Times New Roman"/>
                <w:b/>
                <w:bCs/>
                <w:sz w:val="18"/>
                <w:szCs w:val="18"/>
              </w:rPr>
              <w:t>Relevance to Present Study</w:t>
            </w:r>
          </w:p>
        </w:tc>
      </w:tr>
      <w:tr w:rsidR="000113F3" w:rsidRPr="005D7A60" w14:paraId="4306FCBA" w14:textId="77777777" w:rsidTr="00A310EB">
        <w:trPr>
          <w:trHeight w:val="483"/>
        </w:trPr>
        <w:tc>
          <w:tcPr>
            <w:tcW w:w="0" w:type="auto"/>
          </w:tcPr>
          <w:p w14:paraId="0486A52F" w14:textId="77777777" w:rsidR="000113F3" w:rsidRPr="005D7A60" w:rsidRDefault="000113F3" w:rsidP="00923235">
            <w:pPr>
              <w:rPr>
                <w:rFonts w:ascii="Times New Roman" w:hAnsi="Times New Roman"/>
                <w:color w:val="000000"/>
                <w:sz w:val="18"/>
                <w:szCs w:val="18"/>
                <w:lang w:val="en-IN" w:eastAsia="en-IN"/>
              </w:rPr>
            </w:pPr>
            <w:r w:rsidRPr="005D7A60">
              <w:rPr>
                <w:rStyle w:val="Strong"/>
                <w:rFonts w:ascii="Times New Roman" w:hAnsi="Times New Roman"/>
                <w:b w:val="0"/>
                <w:bCs w:val="0"/>
                <w:sz w:val="18"/>
                <w:szCs w:val="18"/>
              </w:rPr>
              <w:t>Standardised Approach (CRE20–CRE22)</w:t>
            </w:r>
          </w:p>
        </w:tc>
        <w:tc>
          <w:tcPr>
            <w:tcW w:w="0" w:type="auto"/>
          </w:tcPr>
          <w:p w14:paraId="3C7BB59F" w14:textId="77777777" w:rsidR="000113F3" w:rsidRPr="005D7A60" w:rsidRDefault="000113F3" w:rsidP="00923235">
            <w:pPr>
              <w:rPr>
                <w:rFonts w:ascii="Times New Roman" w:hAnsi="Times New Roman"/>
                <w:color w:val="000000"/>
                <w:sz w:val="18"/>
                <w:szCs w:val="18"/>
                <w:lang w:val="en-IN" w:eastAsia="en-IN"/>
              </w:rPr>
            </w:pPr>
            <w:r w:rsidRPr="005D7A60">
              <w:rPr>
                <w:rFonts w:ascii="Times New Roman" w:hAnsi="Times New Roman"/>
                <w:sz w:val="18"/>
                <w:szCs w:val="18"/>
              </w:rPr>
              <w:t>Risk weights by exposure class (sovereigns, banks, corporates, retail, real estate, equity)</w:t>
            </w:r>
          </w:p>
        </w:tc>
        <w:tc>
          <w:tcPr>
            <w:tcW w:w="0" w:type="auto"/>
          </w:tcPr>
          <w:p w14:paraId="70F35B6B" w14:textId="77777777" w:rsidR="000113F3" w:rsidRPr="005D7A60" w:rsidRDefault="000113F3" w:rsidP="00923235">
            <w:pPr>
              <w:rPr>
                <w:rFonts w:ascii="Times New Roman" w:hAnsi="Times New Roman"/>
                <w:color w:val="000000"/>
                <w:sz w:val="18"/>
                <w:szCs w:val="18"/>
                <w:lang w:val="en-IN" w:eastAsia="en-IN"/>
              </w:rPr>
            </w:pPr>
            <w:r w:rsidRPr="005D7A60">
              <w:rPr>
                <w:rFonts w:ascii="Times New Roman" w:hAnsi="Times New Roman"/>
                <w:sz w:val="18"/>
                <w:szCs w:val="18"/>
              </w:rPr>
              <w:t>Provides baseline rules for RWA calculation; reference for Generative AI logic translation</w:t>
            </w:r>
          </w:p>
        </w:tc>
      </w:tr>
      <w:tr w:rsidR="000113F3" w:rsidRPr="005D7A60" w14:paraId="1AF9E9AD" w14:textId="77777777" w:rsidTr="00A310EB">
        <w:trPr>
          <w:trHeight w:val="470"/>
        </w:trPr>
        <w:tc>
          <w:tcPr>
            <w:tcW w:w="0" w:type="auto"/>
          </w:tcPr>
          <w:p w14:paraId="7E1A31ED" w14:textId="77777777" w:rsidR="000113F3" w:rsidRPr="005D7A60" w:rsidRDefault="000113F3" w:rsidP="00923235">
            <w:pPr>
              <w:rPr>
                <w:rFonts w:ascii="Times New Roman" w:hAnsi="Times New Roman"/>
                <w:color w:val="000000"/>
                <w:sz w:val="18"/>
                <w:szCs w:val="18"/>
                <w:lang w:val="en-IN" w:eastAsia="en-IN"/>
              </w:rPr>
            </w:pPr>
            <w:r w:rsidRPr="005D7A60">
              <w:rPr>
                <w:rStyle w:val="Strong"/>
                <w:rFonts w:ascii="Times New Roman" w:hAnsi="Times New Roman"/>
                <w:b w:val="0"/>
                <w:bCs w:val="0"/>
                <w:sz w:val="18"/>
                <w:szCs w:val="18"/>
              </w:rPr>
              <w:t>IRB Approach (CRE30–CRE36)</w:t>
            </w:r>
          </w:p>
        </w:tc>
        <w:tc>
          <w:tcPr>
            <w:tcW w:w="0" w:type="auto"/>
          </w:tcPr>
          <w:p w14:paraId="4DFA4071" w14:textId="77777777" w:rsidR="000113F3" w:rsidRPr="005D7A60" w:rsidRDefault="000113F3" w:rsidP="00923235">
            <w:pPr>
              <w:rPr>
                <w:rFonts w:ascii="Times New Roman" w:hAnsi="Times New Roman"/>
                <w:color w:val="000000"/>
                <w:sz w:val="18"/>
                <w:szCs w:val="18"/>
                <w:lang w:val="en-IN" w:eastAsia="en-IN"/>
              </w:rPr>
            </w:pPr>
            <w:r w:rsidRPr="005D7A60">
              <w:rPr>
                <w:rFonts w:ascii="Times New Roman" w:hAnsi="Times New Roman"/>
                <w:sz w:val="18"/>
                <w:szCs w:val="18"/>
              </w:rPr>
              <w:t>PD, LGD, EAD estimation and output floor requirements</w:t>
            </w:r>
          </w:p>
        </w:tc>
        <w:tc>
          <w:tcPr>
            <w:tcW w:w="0" w:type="auto"/>
          </w:tcPr>
          <w:p w14:paraId="148705E5" w14:textId="77777777" w:rsidR="000113F3" w:rsidRPr="005D7A60" w:rsidRDefault="000113F3" w:rsidP="00923235">
            <w:pPr>
              <w:rPr>
                <w:rFonts w:ascii="Times New Roman" w:hAnsi="Times New Roman"/>
                <w:color w:val="000000"/>
                <w:sz w:val="18"/>
                <w:szCs w:val="18"/>
                <w:lang w:val="en-IN" w:eastAsia="en-IN"/>
              </w:rPr>
            </w:pPr>
            <w:r w:rsidRPr="005D7A60">
              <w:rPr>
                <w:rFonts w:ascii="Times New Roman" w:hAnsi="Times New Roman"/>
                <w:sz w:val="18"/>
                <w:szCs w:val="18"/>
              </w:rPr>
              <w:t>Links predictive AI outputs (PD/LGD/EAD) to regulatory minimums</w:t>
            </w:r>
          </w:p>
        </w:tc>
      </w:tr>
      <w:tr w:rsidR="000113F3" w:rsidRPr="005D7A60" w14:paraId="27E4374A" w14:textId="77777777" w:rsidTr="00A310EB">
        <w:trPr>
          <w:trHeight w:val="483"/>
        </w:trPr>
        <w:tc>
          <w:tcPr>
            <w:tcW w:w="0" w:type="auto"/>
          </w:tcPr>
          <w:p w14:paraId="00865044" w14:textId="77777777" w:rsidR="000113F3" w:rsidRPr="005D7A60" w:rsidRDefault="000113F3" w:rsidP="00923235">
            <w:pPr>
              <w:rPr>
                <w:rFonts w:ascii="Times New Roman" w:hAnsi="Times New Roman"/>
                <w:color w:val="000000"/>
                <w:sz w:val="18"/>
                <w:szCs w:val="18"/>
                <w:lang w:val="en-IN" w:eastAsia="en-IN"/>
              </w:rPr>
            </w:pPr>
            <w:r w:rsidRPr="005D7A60">
              <w:rPr>
                <w:rStyle w:val="Strong"/>
                <w:rFonts w:ascii="Times New Roman" w:hAnsi="Times New Roman"/>
                <w:b w:val="0"/>
                <w:bCs w:val="0"/>
                <w:sz w:val="18"/>
                <w:szCs w:val="18"/>
              </w:rPr>
              <w:t>Credit Risk Mitigation (CRM20–CRM30)</w:t>
            </w:r>
          </w:p>
        </w:tc>
        <w:tc>
          <w:tcPr>
            <w:tcW w:w="0" w:type="auto"/>
          </w:tcPr>
          <w:p w14:paraId="3BC1FFF1" w14:textId="77777777" w:rsidR="000113F3" w:rsidRPr="005D7A60" w:rsidRDefault="000113F3" w:rsidP="00923235">
            <w:pPr>
              <w:rPr>
                <w:rFonts w:ascii="Times New Roman" w:hAnsi="Times New Roman"/>
                <w:color w:val="000000"/>
                <w:sz w:val="18"/>
                <w:szCs w:val="18"/>
                <w:lang w:val="en-IN" w:eastAsia="en-IN"/>
              </w:rPr>
            </w:pPr>
            <w:r w:rsidRPr="005D7A60">
              <w:rPr>
                <w:rFonts w:ascii="Times New Roman" w:hAnsi="Times New Roman"/>
                <w:sz w:val="18"/>
                <w:szCs w:val="18"/>
              </w:rPr>
              <w:t>Collateral, guarantees, credit derivatives recognition</w:t>
            </w:r>
          </w:p>
        </w:tc>
        <w:tc>
          <w:tcPr>
            <w:tcW w:w="0" w:type="auto"/>
          </w:tcPr>
          <w:p w14:paraId="1C84A615" w14:textId="77777777" w:rsidR="000113F3" w:rsidRPr="005D7A60" w:rsidRDefault="000113F3" w:rsidP="00923235">
            <w:pPr>
              <w:rPr>
                <w:rFonts w:ascii="Times New Roman" w:hAnsi="Times New Roman"/>
                <w:color w:val="000000"/>
                <w:sz w:val="18"/>
                <w:szCs w:val="18"/>
                <w:lang w:val="en-IN" w:eastAsia="en-IN"/>
              </w:rPr>
            </w:pPr>
            <w:r w:rsidRPr="005D7A60">
              <w:rPr>
                <w:rFonts w:ascii="Times New Roman" w:hAnsi="Times New Roman"/>
                <w:sz w:val="18"/>
                <w:szCs w:val="18"/>
              </w:rPr>
              <w:t>Relevant for modelling risk adjustments and AI-based automation of rule application</w:t>
            </w:r>
          </w:p>
        </w:tc>
      </w:tr>
      <w:tr w:rsidR="000113F3" w:rsidRPr="005D7A60" w14:paraId="0DECB051" w14:textId="77777777" w:rsidTr="00A310EB">
        <w:trPr>
          <w:trHeight w:val="470"/>
        </w:trPr>
        <w:tc>
          <w:tcPr>
            <w:tcW w:w="0" w:type="auto"/>
          </w:tcPr>
          <w:p w14:paraId="7929EC8B" w14:textId="77777777" w:rsidR="000113F3" w:rsidRPr="005D7A60" w:rsidRDefault="000113F3" w:rsidP="00923235">
            <w:pPr>
              <w:rPr>
                <w:rFonts w:ascii="Times New Roman" w:hAnsi="Times New Roman"/>
                <w:color w:val="000000"/>
                <w:sz w:val="18"/>
                <w:szCs w:val="18"/>
                <w:lang w:val="en-IN" w:eastAsia="en-IN"/>
              </w:rPr>
            </w:pPr>
            <w:proofErr w:type="spellStart"/>
            <w:r w:rsidRPr="005D7A60">
              <w:rPr>
                <w:rStyle w:val="Strong"/>
                <w:rFonts w:ascii="Times New Roman" w:hAnsi="Times New Roman"/>
                <w:b w:val="0"/>
                <w:bCs w:val="0"/>
                <w:sz w:val="18"/>
                <w:szCs w:val="18"/>
              </w:rPr>
              <w:t>Specialised</w:t>
            </w:r>
            <w:proofErr w:type="spellEnd"/>
            <w:r w:rsidRPr="005D7A60">
              <w:rPr>
                <w:rStyle w:val="Strong"/>
                <w:rFonts w:ascii="Times New Roman" w:hAnsi="Times New Roman"/>
                <w:b w:val="0"/>
                <w:bCs w:val="0"/>
                <w:sz w:val="18"/>
                <w:szCs w:val="18"/>
              </w:rPr>
              <w:t xml:space="preserve"> Lending (CRE40)</w:t>
            </w:r>
          </w:p>
        </w:tc>
        <w:tc>
          <w:tcPr>
            <w:tcW w:w="0" w:type="auto"/>
          </w:tcPr>
          <w:p w14:paraId="58648875" w14:textId="77777777" w:rsidR="000113F3" w:rsidRPr="005D7A60" w:rsidRDefault="000113F3" w:rsidP="00923235">
            <w:pPr>
              <w:rPr>
                <w:rFonts w:ascii="Times New Roman" w:hAnsi="Times New Roman"/>
                <w:color w:val="000000"/>
                <w:sz w:val="18"/>
                <w:szCs w:val="18"/>
                <w:lang w:val="en-IN" w:eastAsia="en-IN"/>
              </w:rPr>
            </w:pPr>
            <w:r w:rsidRPr="005D7A60">
              <w:rPr>
                <w:rFonts w:ascii="Times New Roman" w:hAnsi="Times New Roman"/>
                <w:sz w:val="18"/>
                <w:szCs w:val="18"/>
              </w:rPr>
              <w:t>Treatment of project finance, commodities finance, etc.</w:t>
            </w:r>
          </w:p>
        </w:tc>
        <w:tc>
          <w:tcPr>
            <w:tcW w:w="0" w:type="auto"/>
          </w:tcPr>
          <w:p w14:paraId="23D3C301" w14:textId="77777777" w:rsidR="000113F3" w:rsidRPr="005D7A60" w:rsidRDefault="000113F3" w:rsidP="00923235">
            <w:pPr>
              <w:rPr>
                <w:rFonts w:ascii="Times New Roman" w:hAnsi="Times New Roman"/>
                <w:color w:val="000000"/>
                <w:sz w:val="18"/>
                <w:szCs w:val="18"/>
                <w:lang w:val="en-IN" w:eastAsia="en-IN"/>
              </w:rPr>
            </w:pPr>
            <w:r w:rsidRPr="005D7A60">
              <w:rPr>
                <w:rFonts w:ascii="Times New Roman" w:hAnsi="Times New Roman"/>
                <w:sz w:val="18"/>
                <w:szCs w:val="18"/>
              </w:rPr>
              <w:t>Illustrates how domain-specific rules can be automated using Generative AI</w:t>
            </w:r>
          </w:p>
        </w:tc>
      </w:tr>
      <w:tr w:rsidR="000113F3" w:rsidRPr="005D7A60" w14:paraId="39B14BA5" w14:textId="77777777" w:rsidTr="00A310EB">
        <w:trPr>
          <w:trHeight w:val="470"/>
        </w:trPr>
        <w:tc>
          <w:tcPr>
            <w:tcW w:w="0" w:type="auto"/>
          </w:tcPr>
          <w:p w14:paraId="4C34DAAF" w14:textId="77777777" w:rsidR="000113F3" w:rsidRPr="005D7A60" w:rsidRDefault="000113F3" w:rsidP="00923235">
            <w:pPr>
              <w:rPr>
                <w:rStyle w:val="Strong"/>
                <w:rFonts w:ascii="Times New Roman" w:hAnsi="Times New Roman"/>
                <w:b w:val="0"/>
                <w:bCs w:val="0"/>
                <w:sz w:val="18"/>
                <w:szCs w:val="18"/>
              </w:rPr>
            </w:pPr>
            <w:r w:rsidRPr="005D7A60">
              <w:rPr>
                <w:rStyle w:val="Strong"/>
                <w:rFonts w:ascii="Times New Roman" w:hAnsi="Times New Roman"/>
                <w:b w:val="0"/>
                <w:bCs w:val="0"/>
                <w:sz w:val="18"/>
                <w:szCs w:val="18"/>
              </w:rPr>
              <w:t>Real Estate Exposures (CRE20.70–CRE20.99)</w:t>
            </w:r>
          </w:p>
        </w:tc>
        <w:tc>
          <w:tcPr>
            <w:tcW w:w="0" w:type="auto"/>
          </w:tcPr>
          <w:p w14:paraId="22B63B73" w14:textId="77777777" w:rsidR="000113F3" w:rsidRPr="005D7A60" w:rsidRDefault="000113F3" w:rsidP="00923235">
            <w:pPr>
              <w:rPr>
                <w:rFonts w:ascii="Times New Roman" w:hAnsi="Times New Roman"/>
                <w:sz w:val="18"/>
                <w:szCs w:val="18"/>
              </w:rPr>
            </w:pPr>
            <w:r w:rsidRPr="005D7A60">
              <w:rPr>
                <w:rFonts w:ascii="Times New Roman" w:hAnsi="Times New Roman"/>
                <w:sz w:val="18"/>
                <w:szCs w:val="18"/>
              </w:rPr>
              <w:t>LTV-based risk weights; residential vs commercial</w:t>
            </w:r>
          </w:p>
        </w:tc>
        <w:tc>
          <w:tcPr>
            <w:tcW w:w="0" w:type="auto"/>
          </w:tcPr>
          <w:p w14:paraId="44137661" w14:textId="77777777" w:rsidR="000113F3" w:rsidRPr="005D7A60" w:rsidRDefault="000113F3" w:rsidP="00923235">
            <w:pPr>
              <w:rPr>
                <w:rFonts w:ascii="Times New Roman" w:hAnsi="Times New Roman"/>
                <w:sz w:val="18"/>
                <w:szCs w:val="18"/>
              </w:rPr>
            </w:pPr>
            <w:r w:rsidRPr="005D7A60">
              <w:rPr>
                <w:rFonts w:ascii="Times New Roman" w:hAnsi="Times New Roman"/>
                <w:sz w:val="18"/>
                <w:szCs w:val="18"/>
              </w:rPr>
              <w:t>Central to borrower-level scoring integration with Basel rules</w:t>
            </w:r>
          </w:p>
        </w:tc>
      </w:tr>
      <w:tr w:rsidR="000113F3" w:rsidRPr="005D7A60" w14:paraId="3E501B0E" w14:textId="77777777" w:rsidTr="00A310EB">
        <w:trPr>
          <w:trHeight w:val="470"/>
        </w:trPr>
        <w:tc>
          <w:tcPr>
            <w:tcW w:w="0" w:type="auto"/>
          </w:tcPr>
          <w:p w14:paraId="61AFBBB3" w14:textId="77777777" w:rsidR="000113F3" w:rsidRPr="005D7A60" w:rsidRDefault="000113F3" w:rsidP="00923235">
            <w:pPr>
              <w:rPr>
                <w:rStyle w:val="Strong"/>
                <w:rFonts w:ascii="Times New Roman" w:hAnsi="Times New Roman"/>
                <w:b w:val="0"/>
                <w:bCs w:val="0"/>
                <w:sz w:val="18"/>
                <w:szCs w:val="18"/>
              </w:rPr>
            </w:pPr>
            <w:r w:rsidRPr="005D7A60">
              <w:rPr>
                <w:rStyle w:val="Strong"/>
                <w:rFonts w:ascii="Times New Roman" w:hAnsi="Times New Roman"/>
                <w:b w:val="0"/>
                <w:bCs w:val="0"/>
                <w:sz w:val="18"/>
                <w:szCs w:val="18"/>
              </w:rPr>
              <w:t>Retail Exposures (CRE20.55–CRE20.65)</w:t>
            </w:r>
          </w:p>
        </w:tc>
        <w:tc>
          <w:tcPr>
            <w:tcW w:w="0" w:type="auto"/>
          </w:tcPr>
          <w:p w14:paraId="2DC0BC29" w14:textId="77777777" w:rsidR="000113F3" w:rsidRPr="005D7A60" w:rsidRDefault="000113F3" w:rsidP="00923235">
            <w:pPr>
              <w:rPr>
                <w:rFonts w:ascii="Times New Roman" w:hAnsi="Times New Roman"/>
                <w:sz w:val="18"/>
                <w:szCs w:val="18"/>
              </w:rPr>
            </w:pPr>
            <w:r w:rsidRPr="005D7A60">
              <w:rPr>
                <w:rFonts w:ascii="Times New Roman" w:hAnsi="Times New Roman"/>
                <w:sz w:val="18"/>
                <w:szCs w:val="18"/>
              </w:rPr>
              <w:t>Segmentation of retail portfolios; SME adjustment</w:t>
            </w:r>
          </w:p>
        </w:tc>
        <w:tc>
          <w:tcPr>
            <w:tcW w:w="0" w:type="auto"/>
          </w:tcPr>
          <w:p w14:paraId="55FF4D94" w14:textId="77777777" w:rsidR="000113F3" w:rsidRPr="005D7A60" w:rsidRDefault="000113F3" w:rsidP="00923235">
            <w:pPr>
              <w:rPr>
                <w:rFonts w:ascii="Times New Roman" w:hAnsi="Times New Roman"/>
                <w:sz w:val="18"/>
                <w:szCs w:val="18"/>
              </w:rPr>
            </w:pPr>
            <w:r w:rsidRPr="005D7A60">
              <w:rPr>
                <w:rFonts w:ascii="Times New Roman" w:hAnsi="Times New Roman"/>
                <w:sz w:val="18"/>
                <w:szCs w:val="18"/>
              </w:rPr>
              <w:t>Aligns predictive scoring with regulatory portfolio treatment</w:t>
            </w:r>
          </w:p>
        </w:tc>
      </w:tr>
      <w:tr w:rsidR="000113F3" w:rsidRPr="005D7A60" w14:paraId="3C8C237F" w14:textId="77777777" w:rsidTr="00A310EB">
        <w:trPr>
          <w:trHeight w:val="470"/>
        </w:trPr>
        <w:tc>
          <w:tcPr>
            <w:tcW w:w="0" w:type="auto"/>
          </w:tcPr>
          <w:p w14:paraId="222ABE55" w14:textId="77777777" w:rsidR="000113F3" w:rsidRPr="005D7A60" w:rsidRDefault="000113F3" w:rsidP="00923235">
            <w:pPr>
              <w:rPr>
                <w:rStyle w:val="Strong"/>
                <w:rFonts w:ascii="Times New Roman" w:hAnsi="Times New Roman"/>
                <w:b w:val="0"/>
                <w:bCs w:val="0"/>
                <w:sz w:val="18"/>
                <w:szCs w:val="18"/>
              </w:rPr>
            </w:pPr>
            <w:r w:rsidRPr="005D7A60">
              <w:rPr>
                <w:rStyle w:val="Strong"/>
                <w:rFonts w:ascii="Times New Roman" w:hAnsi="Times New Roman"/>
                <w:b w:val="0"/>
                <w:bCs w:val="0"/>
                <w:sz w:val="18"/>
                <w:szCs w:val="18"/>
              </w:rPr>
              <w:t>Equity Exposures (CRE60)</w:t>
            </w:r>
          </w:p>
        </w:tc>
        <w:tc>
          <w:tcPr>
            <w:tcW w:w="0" w:type="auto"/>
          </w:tcPr>
          <w:p w14:paraId="5CD478FA" w14:textId="77777777" w:rsidR="000113F3" w:rsidRPr="005D7A60" w:rsidRDefault="000113F3" w:rsidP="00923235">
            <w:pPr>
              <w:rPr>
                <w:rFonts w:ascii="Times New Roman" w:hAnsi="Times New Roman"/>
                <w:sz w:val="18"/>
                <w:szCs w:val="18"/>
              </w:rPr>
            </w:pPr>
            <w:r w:rsidRPr="005D7A60">
              <w:rPr>
                <w:rFonts w:ascii="Times New Roman" w:hAnsi="Times New Roman"/>
                <w:sz w:val="18"/>
                <w:szCs w:val="18"/>
              </w:rPr>
              <w:t>Risk weights for equity positions</w:t>
            </w:r>
          </w:p>
        </w:tc>
        <w:tc>
          <w:tcPr>
            <w:tcW w:w="0" w:type="auto"/>
          </w:tcPr>
          <w:p w14:paraId="5E31EE34" w14:textId="77777777" w:rsidR="000113F3" w:rsidRPr="005D7A60" w:rsidRDefault="000113F3" w:rsidP="00923235">
            <w:pPr>
              <w:rPr>
                <w:rFonts w:ascii="Times New Roman" w:hAnsi="Times New Roman"/>
                <w:sz w:val="18"/>
                <w:szCs w:val="18"/>
              </w:rPr>
            </w:pPr>
            <w:r w:rsidRPr="005D7A60">
              <w:rPr>
                <w:rFonts w:ascii="Times New Roman" w:hAnsi="Times New Roman"/>
                <w:sz w:val="18"/>
                <w:szCs w:val="18"/>
              </w:rPr>
              <w:t>Example of high-risk class treatment; tested for AI interpretability</w:t>
            </w:r>
          </w:p>
        </w:tc>
      </w:tr>
      <w:tr w:rsidR="000113F3" w:rsidRPr="005D7A60" w14:paraId="31D9CC8A" w14:textId="77777777" w:rsidTr="00A310EB">
        <w:trPr>
          <w:trHeight w:val="470"/>
        </w:trPr>
        <w:tc>
          <w:tcPr>
            <w:tcW w:w="0" w:type="auto"/>
          </w:tcPr>
          <w:p w14:paraId="673A9A79" w14:textId="77777777" w:rsidR="000113F3" w:rsidRPr="005D7A60" w:rsidRDefault="000113F3" w:rsidP="00923235">
            <w:pPr>
              <w:rPr>
                <w:rStyle w:val="Strong"/>
                <w:rFonts w:ascii="Times New Roman" w:hAnsi="Times New Roman"/>
                <w:b w:val="0"/>
                <w:bCs w:val="0"/>
                <w:sz w:val="18"/>
                <w:szCs w:val="18"/>
              </w:rPr>
            </w:pPr>
            <w:r w:rsidRPr="005D7A60">
              <w:rPr>
                <w:rStyle w:val="Strong"/>
                <w:rFonts w:ascii="Times New Roman" w:hAnsi="Times New Roman"/>
                <w:b w:val="0"/>
                <w:bCs w:val="0"/>
                <w:sz w:val="18"/>
                <w:szCs w:val="18"/>
              </w:rPr>
              <w:t>CVA (CRE70)</w:t>
            </w:r>
          </w:p>
        </w:tc>
        <w:tc>
          <w:tcPr>
            <w:tcW w:w="0" w:type="auto"/>
          </w:tcPr>
          <w:p w14:paraId="4E44FDE8" w14:textId="77777777" w:rsidR="000113F3" w:rsidRPr="005D7A60" w:rsidRDefault="000113F3" w:rsidP="00923235">
            <w:pPr>
              <w:rPr>
                <w:rFonts w:ascii="Times New Roman" w:hAnsi="Times New Roman"/>
                <w:sz w:val="18"/>
                <w:szCs w:val="18"/>
              </w:rPr>
            </w:pPr>
            <w:r w:rsidRPr="005D7A60">
              <w:rPr>
                <w:rFonts w:ascii="Times New Roman" w:hAnsi="Times New Roman"/>
                <w:sz w:val="18"/>
                <w:szCs w:val="18"/>
              </w:rPr>
              <w:t>Counterparty credit risk adjustments for derivatives</w:t>
            </w:r>
          </w:p>
        </w:tc>
        <w:tc>
          <w:tcPr>
            <w:tcW w:w="0" w:type="auto"/>
          </w:tcPr>
          <w:p w14:paraId="47CD80FA" w14:textId="77777777" w:rsidR="000113F3" w:rsidRPr="005D7A60" w:rsidRDefault="000113F3" w:rsidP="00923235">
            <w:pPr>
              <w:rPr>
                <w:rFonts w:ascii="Times New Roman" w:hAnsi="Times New Roman"/>
                <w:sz w:val="18"/>
                <w:szCs w:val="18"/>
              </w:rPr>
            </w:pPr>
            <w:r w:rsidRPr="005D7A60">
              <w:rPr>
                <w:rFonts w:ascii="Times New Roman" w:hAnsi="Times New Roman"/>
                <w:sz w:val="18"/>
                <w:szCs w:val="18"/>
              </w:rPr>
              <w:t>Secondary focus; potential for future extensions</w:t>
            </w:r>
          </w:p>
        </w:tc>
      </w:tr>
      <w:tr w:rsidR="000113F3" w:rsidRPr="005D7A60" w14:paraId="55E137D4" w14:textId="77777777" w:rsidTr="00A310EB">
        <w:trPr>
          <w:trHeight w:val="470"/>
        </w:trPr>
        <w:tc>
          <w:tcPr>
            <w:tcW w:w="0" w:type="auto"/>
          </w:tcPr>
          <w:p w14:paraId="2723DD9C" w14:textId="77777777" w:rsidR="000113F3" w:rsidRPr="005D7A60" w:rsidRDefault="000113F3" w:rsidP="00923235">
            <w:pPr>
              <w:rPr>
                <w:rStyle w:val="Strong"/>
                <w:rFonts w:ascii="Times New Roman" w:hAnsi="Times New Roman"/>
                <w:b w:val="0"/>
                <w:bCs w:val="0"/>
                <w:sz w:val="18"/>
                <w:szCs w:val="18"/>
              </w:rPr>
            </w:pPr>
            <w:r w:rsidRPr="005D7A60">
              <w:rPr>
                <w:rStyle w:val="Strong"/>
                <w:rFonts w:ascii="Times New Roman" w:hAnsi="Times New Roman"/>
                <w:b w:val="0"/>
                <w:bCs w:val="0"/>
                <w:sz w:val="18"/>
                <w:szCs w:val="18"/>
              </w:rPr>
              <w:t>Standardised Approach (CRE20–CRE22)</w:t>
            </w:r>
          </w:p>
        </w:tc>
        <w:tc>
          <w:tcPr>
            <w:tcW w:w="0" w:type="auto"/>
          </w:tcPr>
          <w:p w14:paraId="25F97042" w14:textId="77777777" w:rsidR="000113F3" w:rsidRPr="005D7A60" w:rsidRDefault="000113F3" w:rsidP="00923235">
            <w:pPr>
              <w:rPr>
                <w:rFonts w:ascii="Times New Roman" w:hAnsi="Times New Roman"/>
                <w:sz w:val="18"/>
                <w:szCs w:val="18"/>
              </w:rPr>
            </w:pPr>
            <w:r w:rsidRPr="005D7A60">
              <w:rPr>
                <w:rFonts w:ascii="Times New Roman" w:hAnsi="Times New Roman"/>
                <w:sz w:val="18"/>
                <w:szCs w:val="18"/>
              </w:rPr>
              <w:t>Risk weights by exposure class (sovereigns, banks, corporates, retail, real estate, equity)</w:t>
            </w:r>
          </w:p>
        </w:tc>
        <w:tc>
          <w:tcPr>
            <w:tcW w:w="0" w:type="auto"/>
          </w:tcPr>
          <w:p w14:paraId="6D544B7F" w14:textId="77777777" w:rsidR="000113F3" w:rsidRPr="005D7A60" w:rsidRDefault="000113F3" w:rsidP="00923235">
            <w:pPr>
              <w:rPr>
                <w:rFonts w:ascii="Times New Roman" w:hAnsi="Times New Roman"/>
                <w:sz w:val="18"/>
                <w:szCs w:val="18"/>
              </w:rPr>
            </w:pPr>
            <w:r w:rsidRPr="005D7A60">
              <w:rPr>
                <w:rFonts w:ascii="Times New Roman" w:hAnsi="Times New Roman"/>
                <w:sz w:val="18"/>
                <w:szCs w:val="18"/>
              </w:rPr>
              <w:t>Provides baseline rules for RWA calculation; reference for Generative AI logic translation</w:t>
            </w:r>
          </w:p>
        </w:tc>
      </w:tr>
      <w:tr w:rsidR="000113F3" w:rsidRPr="005D7A60" w14:paraId="43456858" w14:textId="77777777" w:rsidTr="00A310EB">
        <w:trPr>
          <w:trHeight w:val="470"/>
        </w:trPr>
        <w:tc>
          <w:tcPr>
            <w:tcW w:w="0" w:type="auto"/>
          </w:tcPr>
          <w:p w14:paraId="3C27A10C" w14:textId="77777777" w:rsidR="000113F3" w:rsidRPr="005D7A60" w:rsidRDefault="000113F3" w:rsidP="00923235">
            <w:pPr>
              <w:rPr>
                <w:rStyle w:val="Strong"/>
                <w:rFonts w:ascii="Times New Roman" w:hAnsi="Times New Roman"/>
                <w:b w:val="0"/>
                <w:bCs w:val="0"/>
                <w:sz w:val="18"/>
                <w:szCs w:val="18"/>
              </w:rPr>
            </w:pPr>
            <w:r w:rsidRPr="005D7A60">
              <w:rPr>
                <w:rStyle w:val="Strong"/>
                <w:rFonts w:ascii="Times New Roman" w:hAnsi="Times New Roman"/>
                <w:b w:val="0"/>
                <w:bCs w:val="0"/>
                <w:sz w:val="18"/>
                <w:szCs w:val="18"/>
              </w:rPr>
              <w:t>IRB Approach (CRE30–CRE36)</w:t>
            </w:r>
          </w:p>
        </w:tc>
        <w:tc>
          <w:tcPr>
            <w:tcW w:w="0" w:type="auto"/>
          </w:tcPr>
          <w:p w14:paraId="575A2BD0" w14:textId="77777777" w:rsidR="000113F3" w:rsidRPr="005D7A60" w:rsidRDefault="000113F3" w:rsidP="00923235">
            <w:pPr>
              <w:rPr>
                <w:rFonts w:ascii="Times New Roman" w:hAnsi="Times New Roman"/>
                <w:sz w:val="18"/>
                <w:szCs w:val="18"/>
              </w:rPr>
            </w:pPr>
            <w:r w:rsidRPr="005D7A60">
              <w:rPr>
                <w:rFonts w:ascii="Times New Roman" w:hAnsi="Times New Roman"/>
                <w:sz w:val="18"/>
                <w:szCs w:val="18"/>
              </w:rPr>
              <w:t>PD, LGD, EAD estimation and output floor requirements</w:t>
            </w:r>
          </w:p>
        </w:tc>
        <w:tc>
          <w:tcPr>
            <w:tcW w:w="0" w:type="auto"/>
          </w:tcPr>
          <w:p w14:paraId="394FBE54" w14:textId="77777777" w:rsidR="000113F3" w:rsidRPr="005D7A60" w:rsidRDefault="000113F3" w:rsidP="00923235">
            <w:pPr>
              <w:rPr>
                <w:rFonts w:ascii="Times New Roman" w:hAnsi="Times New Roman"/>
                <w:sz w:val="18"/>
                <w:szCs w:val="18"/>
              </w:rPr>
            </w:pPr>
            <w:r w:rsidRPr="005D7A60">
              <w:rPr>
                <w:rFonts w:ascii="Times New Roman" w:hAnsi="Times New Roman"/>
                <w:sz w:val="18"/>
                <w:szCs w:val="18"/>
              </w:rPr>
              <w:t>Links predictive AI outputs (PD/LGD/EAD) to regulatory minimums</w:t>
            </w:r>
          </w:p>
        </w:tc>
      </w:tr>
    </w:tbl>
    <w:p w14:paraId="0876FAE0" w14:textId="77777777" w:rsidR="008C159C" w:rsidRPr="005D7A60" w:rsidRDefault="008C159C" w:rsidP="009B5E7C">
      <w:pPr>
        <w:spacing w:line="480" w:lineRule="auto"/>
        <w:ind w:firstLine="720"/>
        <w:jc w:val="both"/>
        <w:rPr>
          <w:rFonts w:ascii="Times New Roman" w:hAnsi="Times New Roman"/>
          <w:lang w:val="en-IN"/>
        </w:rPr>
      </w:pPr>
    </w:p>
    <w:p w14:paraId="24827E52" w14:textId="0D86B151" w:rsidR="008C159C" w:rsidRPr="005D7A60" w:rsidRDefault="008C159C" w:rsidP="009B5E7C">
      <w:pPr>
        <w:spacing w:line="480" w:lineRule="auto"/>
        <w:ind w:firstLine="720"/>
        <w:jc w:val="both"/>
        <w:rPr>
          <w:rFonts w:ascii="Times New Roman" w:hAnsi="Times New Roman"/>
          <w:lang w:val="en-IN"/>
        </w:rPr>
        <w:sectPr w:rsidR="008C159C" w:rsidRPr="005D7A60" w:rsidSect="00782BD3">
          <w:headerReference w:type="default" r:id="rId9"/>
          <w:footerReference w:type="default" r:id="rId10"/>
          <w:endnotePr>
            <w:numFmt w:val="decimal"/>
          </w:endnotePr>
          <w:pgSz w:w="12240" w:h="15840" w:code="1"/>
          <w:pgMar w:top="1440" w:right="1440" w:bottom="1440" w:left="1440" w:header="709" w:footer="709" w:gutter="0"/>
          <w:pgNumType w:start="1"/>
          <w:cols w:space="708"/>
          <w:docGrid w:linePitch="326"/>
        </w:sectPr>
      </w:pPr>
    </w:p>
    <w:p w14:paraId="0CDB067C" w14:textId="23CBBF67" w:rsidR="006202AF" w:rsidRPr="005D7A60" w:rsidRDefault="007C4828" w:rsidP="008344E6">
      <w:pPr>
        <w:rPr>
          <w:rFonts w:ascii="Times New Roman" w:hAnsi="Times New Roman"/>
          <w:b/>
          <w:bCs/>
          <w:color w:val="000000"/>
          <w:lang w:eastAsia="en-IN"/>
        </w:rPr>
      </w:pPr>
      <w:r w:rsidRPr="005D7A60">
        <w:rPr>
          <w:rFonts w:ascii="Times New Roman" w:hAnsi="Times New Roman"/>
          <w:b/>
          <w:bCs/>
          <w:color w:val="000000"/>
          <w:lang w:eastAsia="en-IN"/>
        </w:rPr>
        <w:lastRenderedPageBreak/>
        <w:t>Theoretical Approaches for Modelling Credit Risk and Regulatory AI</w:t>
      </w:r>
    </w:p>
    <w:p w14:paraId="62B8A023" w14:textId="77777777" w:rsidR="006202AF" w:rsidRPr="005D7A60" w:rsidRDefault="006202AF" w:rsidP="008344E6">
      <w:pPr>
        <w:rPr>
          <w:rFonts w:ascii="Times New Roman" w:hAnsi="Times New Roman"/>
          <w:color w:val="000000"/>
          <w:lang w:eastAsia="en-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4"/>
        <w:gridCol w:w="969"/>
        <w:gridCol w:w="2732"/>
        <w:gridCol w:w="1876"/>
        <w:gridCol w:w="1729"/>
        <w:gridCol w:w="1559"/>
        <w:gridCol w:w="2757"/>
      </w:tblGrid>
      <w:tr w:rsidR="006202AF" w:rsidRPr="005D7A60" w14:paraId="1E08FDB5" w14:textId="77777777">
        <w:tc>
          <w:tcPr>
            <w:tcW w:w="0" w:type="auto"/>
            <w:gridSpan w:val="7"/>
          </w:tcPr>
          <w:p w14:paraId="4CCE3661" w14:textId="5AB34C8D" w:rsidR="006202AF" w:rsidRPr="005D7A60" w:rsidRDefault="006202AF" w:rsidP="006202AF">
            <w:pPr>
              <w:rPr>
                <w:rFonts w:ascii="Times New Roman" w:hAnsi="Times New Roman"/>
                <w:b/>
                <w:bCs/>
                <w:color w:val="000000"/>
                <w:lang w:val="en-IN" w:eastAsia="en-IN"/>
              </w:rPr>
            </w:pPr>
            <w:r w:rsidRPr="005D7A60">
              <w:rPr>
                <w:rFonts w:ascii="Times New Roman" w:hAnsi="Times New Roman"/>
                <w:b/>
                <w:bCs/>
                <w:sz w:val="18"/>
                <w:szCs w:val="18"/>
              </w:rPr>
              <w:t>Table 1: Machine Learning–Based Approaches to Credit Risk Assessment</w:t>
            </w:r>
          </w:p>
        </w:tc>
      </w:tr>
      <w:tr w:rsidR="00C20EFB" w:rsidRPr="005D7A60" w14:paraId="461E9AE7" w14:textId="77777777">
        <w:tc>
          <w:tcPr>
            <w:tcW w:w="0" w:type="auto"/>
            <w:hideMark/>
          </w:tcPr>
          <w:p w14:paraId="1DA9B598" w14:textId="77777777" w:rsidR="006202AF" w:rsidRPr="005D7A60" w:rsidRDefault="006202AF" w:rsidP="006202AF">
            <w:pPr>
              <w:rPr>
                <w:rFonts w:ascii="Times New Roman" w:hAnsi="Times New Roman"/>
                <w:b/>
                <w:bCs/>
                <w:color w:val="000000"/>
                <w:sz w:val="18"/>
                <w:szCs w:val="18"/>
                <w:lang w:val="en-IN" w:eastAsia="en-IN"/>
              </w:rPr>
            </w:pPr>
            <w:r w:rsidRPr="005D7A60">
              <w:rPr>
                <w:rFonts w:ascii="Times New Roman" w:hAnsi="Times New Roman"/>
                <w:b/>
                <w:bCs/>
                <w:color w:val="000000"/>
                <w:sz w:val="18"/>
                <w:szCs w:val="18"/>
                <w:lang w:val="en-IN" w:eastAsia="en-IN"/>
              </w:rPr>
              <w:t>Author (Year)</w:t>
            </w:r>
          </w:p>
        </w:tc>
        <w:tc>
          <w:tcPr>
            <w:tcW w:w="0" w:type="auto"/>
            <w:hideMark/>
          </w:tcPr>
          <w:p w14:paraId="12A84A62" w14:textId="77777777" w:rsidR="006202AF" w:rsidRPr="005D7A60" w:rsidRDefault="006202AF" w:rsidP="006202AF">
            <w:pPr>
              <w:rPr>
                <w:rFonts w:ascii="Times New Roman" w:hAnsi="Times New Roman"/>
                <w:b/>
                <w:bCs/>
                <w:color w:val="000000"/>
                <w:sz w:val="18"/>
                <w:szCs w:val="18"/>
                <w:lang w:val="en-IN" w:eastAsia="en-IN"/>
              </w:rPr>
            </w:pPr>
            <w:r w:rsidRPr="005D7A60">
              <w:rPr>
                <w:rFonts w:ascii="Times New Roman" w:hAnsi="Times New Roman"/>
                <w:b/>
                <w:bCs/>
                <w:color w:val="000000"/>
                <w:sz w:val="18"/>
                <w:szCs w:val="18"/>
                <w:lang w:val="en-IN" w:eastAsia="en-IN"/>
              </w:rPr>
              <w:t>Country</w:t>
            </w:r>
          </w:p>
        </w:tc>
        <w:tc>
          <w:tcPr>
            <w:tcW w:w="0" w:type="auto"/>
            <w:hideMark/>
          </w:tcPr>
          <w:p w14:paraId="5D3A53FD" w14:textId="77777777" w:rsidR="006202AF" w:rsidRPr="005D7A60" w:rsidRDefault="006202AF" w:rsidP="006202AF">
            <w:pPr>
              <w:rPr>
                <w:rFonts w:ascii="Times New Roman" w:hAnsi="Times New Roman"/>
                <w:b/>
                <w:bCs/>
                <w:color w:val="000000"/>
                <w:sz w:val="18"/>
                <w:szCs w:val="18"/>
                <w:lang w:val="en-IN" w:eastAsia="en-IN"/>
              </w:rPr>
            </w:pPr>
            <w:r w:rsidRPr="005D7A60">
              <w:rPr>
                <w:rFonts w:ascii="Times New Roman" w:hAnsi="Times New Roman"/>
                <w:b/>
                <w:bCs/>
                <w:color w:val="000000"/>
                <w:sz w:val="18"/>
                <w:szCs w:val="18"/>
                <w:lang w:val="en-IN" w:eastAsia="en-IN"/>
              </w:rPr>
              <w:t>Data</w:t>
            </w:r>
          </w:p>
        </w:tc>
        <w:tc>
          <w:tcPr>
            <w:tcW w:w="0" w:type="auto"/>
            <w:hideMark/>
          </w:tcPr>
          <w:p w14:paraId="21B4E834" w14:textId="77777777" w:rsidR="006202AF" w:rsidRPr="005D7A60" w:rsidRDefault="006202AF" w:rsidP="006202AF">
            <w:pPr>
              <w:rPr>
                <w:rFonts w:ascii="Times New Roman" w:hAnsi="Times New Roman"/>
                <w:b/>
                <w:bCs/>
                <w:color w:val="000000"/>
                <w:sz w:val="18"/>
                <w:szCs w:val="18"/>
                <w:lang w:val="en-IN" w:eastAsia="en-IN"/>
              </w:rPr>
            </w:pPr>
            <w:r w:rsidRPr="005D7A60">
              <w:rPr>
                <w:rFonts w:ascii="Times New Roman" w:hAnsi="Times New Roman"/>
                <w:b/>
                <w:bCs/>
                <w:color w:val="000000"/>
                <w:sz w:val="18"/>
                <w:szCs w:val="18"/>
                <w:lang w:val="en-IN" w:eastAsia="en-IN"/>
              </w:rPr>
              <w:t>Methodology</w:t>
            </w:r>
          </w:p>
        </w:tc>
        <w:tc>
          <w:tcPr>
            <w:tcW w:w="0" w:type="auto"/>
            <w:hideMark/>
          </w:tcPr>
          <w:p w14:paraId="343CDDD2" w14:textId="77777777" w:rsidR="006202AF" w:rsidRPr="005D7A60" w:rsidRDefault="006202AF" w:rsidP="006202AF">
            <w:pPr>
              <w:rPr>
                <w:rFonts w:ascii="Times New Roman" w:hAnsi="Times New Roman"/>
                <w:b/>
                <w:bCs/>
                <w:color w:val="000000"/>
                <w:sz w:val="18"/>
                <w:szCs w:val="18"/>
                <w:lang w:val="en-IN" w:eastAsia="en-IN"/>
              </w:rPr>
            </w:pPr>
            <w:r w:rsidRPr="005D7A60">
              <w:rPr>
                <w:rFonts w:ascii="Times New Roman" w:hAnsi="Times New Roman"/>
                <w:b/>
                <w:bCs/>
                <w:color w:val="000000"/>
                <w:sz w:val="18"/>
                <w:szCs w:val="18"/>
                <w:lang w:val="en-IN" w:eastAsia="en-IN"/>
              </w:rPr>
              <w:t>Inputs</w:t>
            </w:r>
          </w:p>
        </w:tc>
        <w:tc>
          <w:tcPr>
            <w:tcW w:w="0" w:type="auto"/>
            <w:hideMark/>
          </w:tcPr>
          <w:p w14:paraId="1E168D58" w14:textId="77777777" w:rsidR="006202AF" w:rsidRPr="005D7A60" w:rsidRDefault="006202AF" w:rsidP="006202AF">
            <w:pPr>
              <w:rPr>
                <w:rFonts w:ascii="Times New Roman" w:hAnsi="Times New Roman"/>
                <w:b/>
                <w:bCs/>
                <w:color w:val="000000"/>
                <w:sz w:val="18"/>
                <w:szCs w:val="18"/>
                <w:lang w:val="en-IN" w:eastAsia="en-IN"/>
              </w:rPr>
            </w:pPr>
            <w:r w:rsidRPr="005D7A60">
              <w:rPr>
                <w:rFonts w:ascii="Times New Roman" w:hAnsi="Times New Roman"/>
                <w:b/>
                <w:bCs/>
                <w:color w:val="000000"/>
                <w:sz w:val="18"/>
                <w:szCs w:val="18"/>
                <w:lang w:val="en-IN" w:eastAsia="en-IN"/>
              </w:rPr>
              <w:t>Outputs</w:t>
            </w:r>
          </w:p>
        </w:tc>
        <w:tc>
          <w:tcPr>
            <w:tcW w:w="0" w:type="auto"/>
            <w:hideMark/>
          </w:tcPr>
          <w:p w14:paraId="62392A74" w14:textId="77777777" w:rsidR="006202AF" w:rsidRPr="005D7A60" w:rsidRDefault="006202AF" w:rsidP="006202AF">
            <w:pPr>
              <w:rPr>
                <w:rFonts w:ascii="Times New Roman" w:hAnsi="Times New Roman"/>
                <w:b/>
                <w:bCs/>
                <w:color w:val="000000"/>
                <w:sz w:val="18"/>
                <w:szCs w:val="18"/>
                <w:lang w:val="en-IN" w:eastAsia="en-IN"/>
              </w:rPr>
            </w:pPr>
            <w:r w:rsidRPr="005D7A60">
              <w:rPr>
                <w:rFonts w:ascii="Times New Roman" w:hAnsi="Times New Roman"/>
                <w:b/>
                <w:bCs/>
                <w:color w:val="000000"/>
                <w:sz w:val="18"/>
                <w:szCs w:val="18"/>
                <w:lang w:val="en-IN" w:eastAsia="en-IN"/>
              </w:rPr>
              <w:t>Contribution</w:t>
            </w:r>
          </w:p>
        </w:tc>
      </w:tr>
      <w:tr w:rsidR="00C20EFB" w:rsidRPr="005D7A60" w14:paraId="2ED9453E" w14:textId="77777777">
        <w:tc>
          <w:tcPr>
            <w:tcW w:w="0" w:type="auto"/>
            <w:hideMark/>
          </w:tcPr>
          <w:p w14:paraId="1F2965F0"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Altman (1968)</w:t>
            </w:r>
          </w:p>
        </w:tc>
        <w:tc>
          <w:tcPr>
            <w:tcW w:w="0" w:type="auto"/>
            <w:hideMark/>
          </w:tcPr>
          <w:p w14:paraId="12386FBF"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U.S.</w:t>
            </w:r>
          </w:p>
        </w:tc>
        <w:tc>
          <w:tcPr>
            <w:tcW w:w="0" w:type="auto"/>
            <w:hideMark/>
          </w:tcPr>
          <w:p w14:paraId="1A23B7C6"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Corporate firms (proprietary, not open)</w:t>
            </w:r>
          </w:p>
        </w:tc>
        <w:tc>
          <w:tcPr>
            <w:tcW w:w="0" w:type="auto"/>
            <w:hideMark/>
          </w:tcPr>
          <w:p w14:paraId="674DE20C"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Discriminant analysis</w:t>
            </w:r>
          </w:p>
        </w:tc>
        <w:tc>
          <w:tcPr>
            <w:tcW w:w="0" w:type="auto"/>
            <w:hideMark/>
          </w:tcPr>
          <w:p w14:paraId="31E5CC43"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Financial ratios</w:t>
            </w:r>
          </w:p>
        </w:tc>
        <w:tc>
          <w:tcPr>
            <w:tcW w:w="0" w:type="auto"/>
            <w:hideMark/>
          </w:tcPr>
          <w:p w14:paraId="57DA0160"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Default / non-default classification</w:t>
            </w:r>
          </w:p>
        </w:tc>
        <w:tc>
          <w:tcPr>
            <w:tcW w:w="0" w:type="auto"/>
            <w:hideMark/>
          </w:tcPr>
          <w:p w14:paraId="6173B450"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Established statistical foundations for PD estimation in credit risk</w:t>
            </w:r>
          </w:p>
        </w:tc>
      </w:tr>
      <w:tr w:rsidR="00C20EFB" w:rsidRPr="005D7A60" w14:paraId="43C177AC" w14:textId="77777777">
        <w:tc>
          <w:tcPr>
            <w:tcW w:w="0" w:type="auto"/>
            <w:hideMark/>
          </w:tcPr>
          <w:p w14:paraId="60422FBE"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Altman et al. (1994)</w:t>
            </w:r>
          </w:p>
        </w:tc>
        <w:tc>
          <w:tcPr>
            <w:tcW w:w="0" w:type="auto"/>
            <w:hideMark/>
          </w:tcPr>
          <w:p w14:paraId="662E6C28"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U.S. / Italy</w:t>
            </w:r>
          </w:p>
        </w:tc>
        <w:tc>
          <w:tcPr>
            <w:tcW w:w="0" w:type="auto"/>
            <w:hideMark/>
          </w:tcPr>
          <w:p w14:paraId="1DF81619"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Corporate firms (proprietary, not open)</w:t>
            </w:r>
          </w:p>
        </w:tc>
        <w:tc>
          <w:tcPr>
            <w:tcW w:w="0" w:type="auto"/>
            <w:hideMark/>
          </w:tcPr>
          <w:p w14:paraId="51746F35"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Discriminant &amp; logistic regression vs neural networks</w:t>
            </w:r>
          </w:p>
        </w:tc>
        <w:tc>
          <w:tcPr>
            <w:tcW w:w="0" w:type="auto"/>
            <w:hideMark/>
          </w:tcPr>
          <w:p w14:paraId="7ADB31F2"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Financial ratios, accounts</w:t>
            </w:r>
          </w:p>
        </w:tc>
        <w:tc>
          <w:tcPr>
            <w:tcW w:w="0" w:type="auto"/>
            <w:hideMark/>
          </w:tcPr>
          <w:p w14:paraId="46180E1F"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Default classification</w:t>
            </w:r>
          </w:p>
        </w:tc>
        <w:tc>
          <w:tcPr>
            <w:tcW w:w="0" w:type="auto"/>
            <w:hideMark/>
          </w:tcPr>
          <w:p w14:paraId="23E282D2"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First comparison of statistical vs NN methods; identified trade-offs between accuracy &amp; interpretability</w:t>
            </w:r>
          </w:p>
        </w:tc>
      </w:tr>
      <w:tr w:rsidR="00C20EFB" w:rsidRPr="005D7A60" w14:paraId="02AE1844" w14:textId="77777777">
        <w:tc>
          <w:tcPr>
            <w:tcW w:w="0" w:type="auto"/>
            <w:hideMark/>
          </w:tcPr>
          <w:p w14:paraId="7018E2F7" w14:textId="77777777" w:rsidR="006202AF" w:rsidRPr="005D7A60" w:rsidRDefault="006202AF" w:rsidP="006202AF">
            <w:pPr>
              <w:rPr>
                <w:rFonts w:ascii="Times New Roman" w:hAnsi="Times New Roman"/>
                <w:color w:val="000000"/>
                <w:sz w:val="18"/>
                <w:szCs w:val="18"/>
                <w:lang w:val="en-IN" w:eastAsia="en-IN"/>
              </w:rPr>
            </w:pPr>
            <w:proofErr w:type="spellStart"/>
            <w:r w:rsidRPr="005D7A60">
              <w:rPr>
                <w:rFonts w:ascii="Times New Roman" w:hAnsi="Times New Roman"/>
                <w:color w:val="000000"/>
                <w:sz w:val="18"/>
                <w:szCs w:val="18"/>
                <w:lang w:val="en-IN" w:eastAsia="en-IN"/>
              </w:rPr>
              <w:t>Baesens</w:t>
            </w:r>
            <w:proofErr w:type="spellEnd"/>
            <w:r w:rsidRPr="005D7A60">
              <w:rPr>
                <w:rFonts w:ascii="Times New Roman" w:hAnsi="Times New Roman"/>
                <w:color w:val="000000"/>
                <w:sz w:val="18"/>
                <w:szCs w:val="18"/>
                <w:lang w:val="en-IN" w:eastAsia="en-IN"/>
              </w:rPr>
              <w:t xml:space="preserve"> et al. (2003)</w:t>
            </w:r>
          </w:p>
        </w:tc>
        <w:tc>
          <w:tcPr>
            <w:tcW w:w="0" w:type="auto"/>
            <w:hideMark/>
          </w:tcPr>
          <w:p w14:paraId="05C803A3"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Europe</w:t>
            </w:r>
          </w:p>
        </w:tc>
        <w:tc>
          <w:tcPr>
            <w:tcW w:w="0" w:type="auto"/>
            <w:hideMark/>
          </w:tcPr>
          <w:p w14:paraId="654038E3"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Multiple credit datasets (partly proprietary)</w:t>
            </w:r>
          </w:p>
        </w:tc>
        <w:tc>
          <w:tcPr>
            <w:tcW w:w="0" w:type="auto"/>
            <w:hideMark/>
          </w:tcPr>
          <w:p w14:paraId="6BD350E7"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SVM, Random Forest, Neural Nets</w:t>
            </w:r>
          </w:p>
        </w:tc>
        <w:tc>
          <w:tcPr>
            <w:tcW w:w="0" w:type="auto"/>
            <w:hideMark/>
          </w:tcPr>
          <w:p w14:paraId="24D39219"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Borrower credit features</w:t>
            </w:r>
          </w:p>
        </w:tc>
        <w:tc>
          <w:tcPr>
            <w:tcW w:w="0" w:type="auto"/>
            <w:hideMark/>
          </w:tcPr>
          <w:p w14:paraId="63989D60"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Credit approval / default</w:t>
            </w:r>
          </w:p>
        </w:tc>
        <w:tc>
          <w:tcPr>
            <w:tcW w:w="0" w:type="auto"/>
            <w:hideMark/>
          </w:tcPr>
          <w:p w14:paraId="70DA52F9"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Early benchmarking of ML vs traditional scoring</w:t>
            </w:r>
          </w:p>
        </w:tc>
      </w:tr>
      <w:tr w:rsidR="00C20EFB" w:rsidRPr="005D7A60" w14:paraId="1A44934A" w14:textId="77777777">
        <w:tc>
          <w:tcPr>
            <w:tcW w:w="0" w:type="auto"/>
            <w:hideMark/>
          </w:tcPr>
          <w:p w14:paraId="6BE59B47"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Bellotti &amp; Crook (2009)</w:t>
            </w:r>
          </w:p>
        </w:tc>
        <w:tc>
          <w:tcPr>
            <w:tcW w:w="0" w:type="auto"/>
            <w:hideMark/>
          </w:tcPr>
          <w:p w14:paraId="6282E3EF"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U.K.</w:t>
            </w:r>
          </w:p>
        </w:tc>
        <w:tc>
          <w:tcPr>
            <w:tcW w:w="0" w:type="auto"/>
            <w:hideMark/>
          </w:tcPr>
          <w:p w14:paraId="526F4361"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Credit card portfolio (proprietary)</w:t>
            </w:r>
          </w:p>
        </w:tc>
        <w:tc>
          <w:tcPr>
            <w:tcW w:w="0" w:type="auto"/>
            <w:hideMark/>
          </w:tcPr>
          <w:p w14:paraId="1178CE3C"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Survival analysis + ML</w:t>
            </w:r>
          </w:p>
        </w:tc>
        <w:tc>
          <w:tcPr>
            <w:tcW w:w="0" w:type="auto"/>
            <w:hideMark/>
          </w:tcPr>
          <w:p w14:paraId="628CA026"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Borrower + macroeconomic variables</w:t>
            </w:r>
          </w:p>
        </w:tc>
        <w:tc>
          <w:tcPr>
            <w:tcW w:w="0" w:type="auto"/>
            <w:hideMark/>
          </w:tcPr>
          <w:p w14:paraId="47E8AF2A"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Time-to-default / default risk</w:t>
            </w:r>
          </w:p>
        </w:tc>
        <w:tc>
          <w:tcPr>
            <w:tcW w:w="0" w:type="auto"/>
            <w:hideMark/>
          </w:tcPr>
          <w:p w14:paraId="4494C489"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Incorporated time dimension &amp; macroeconomic sensitivity</w:t>
            </w:r>
          </w:p>
        </w:tc>
      </w:tr>
      <w:tr w:rsidR="00C20EFB" w:rsidRPr="005D7A60" w14:paraId="33AB11B1" w14:textId="77777777">
        <w:tc>
          <w:tcPr>
            <w:tcW w:w="0" w:type="auto"/>
            <w:hideMark/>
          </w:tcPr>
          <w:p w14:paraId="53D3375A" w14:textId="77777777" w:rsidR="006202AF" w:rsidRPr="005D7A60" w:rsidRDefault="006202AF" w:rsidP="006202AF">
            <w:pPr>
              <w:rPr>
                <w:rFonts w:ascii="Times New Roman" w:hAnsi="Times New Roman"/>
                <w:color w:val="000000"/>
                <w:sz w:val="18"/>
                <w:szCs w:val="18"/>
                <w:lang w:val="en-IN" w:eastAsia="en-IN"/>
              </w:rPr>
            </w:pPr>
            <w:proofErr w:type="spellStart"/>
            <w:r w:rsidRPr="005D7A60">
              <w:rPr>
                <w:rFonts w:ascii="Times New Roman" w:hAnsi="Times New Roman"/>
                <w:color w:val="000000"/>
                <w:sz w:val="18"/>
                <w:szCs w:val="18"/>
                <w:lang w:val="en-IN" w:eastAsia="en-IN"/>
              </w:rPr>
              <w:t>Khandani</w:t>
            </w:r>
            <w:proofErr w:type="spellEnd"/>
            <w:r w:rsidRPr="005D7A60">
              <w:rPr>
                <w:rFonts w:ascii="Times New Roman" w:hAnsi="Times New Roman"/>
                <w:color w:val="000000"/>
                <w:sz w:val="18"/>
                <w:szCs w:val="18"/>
                <w:lang w:val="en-IN" w:eastAsia="en-IN"/>
              </w:rPr>
              <w:t>, Kim &amp; Lo (2010)</w:t>
            </w:r>
          </w:p>
        </w:tc>
        <w:tc>
          <w:tcPr>
            <w:tcW w:w="0" w:type="auto"/>
            <w:hideMark/>
          </w:tcPr>
          <w:p w14:paraId="68FF5DBF"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U.S.</w:t>
            </w:r>
          </w:p>
        </w:tc>
        <w:tc>
          <w:tcPr>
            <w:tcW w:w="0" w:type="auto"/>
            <w:hideMark/>
          </w:tcPr>
          <w:p w14:paraId="27BC515D"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Consumer lending + transactions (proprietary)</w:t>
            </w:r>
          </w:p>
        </w:tc>
        <w:tc>
          <w:tcPr>
            <w:tcW w:w="0" w:type="auto"/>
            <w:hideMark/>
          </w:tcPr>
          <w:p w14:paraId="7E8A229D"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Decision trees, ensembles</w:t>
            </w:r>
          </w:p>
        </w:tc>
        <w:tc>
          <w:tcPr>
            <w:tcW w:w="0" w:type="auto"/>
            <w:hideMark/>
          </w:tcPr>
          <w:p w14:paraId="145EEC54"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Loan-level &amp; transaction features</w:t>
            </w:r>
          </w:p>
        </w:tc>
        <w:tc>
          <w:tcPr>
            <w:tcW w:w="0" w:type="auto"/>
            <w:hideMark/>
          </w:tcPr>
          <w:p w14:paraId="189D1FC5"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Default probability</w:t>
            </w:r>
          </w:p>
        </w:tc>
        <w:tc>
          <w:tcPr>
            <w:tcW w:w="0" w:type="auto"/>
            <w:hideMark/>
          </w:tcPr>
          <w:p w14:paraId="5ED88675"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Showed ML with rich borrower data outperforms traditional scoring</w:t>
            </w:r>
          </w:p>
        </w:tc>
      </w:tr>
      <w:tr w:rsidR="00C20EFB" w:rsidRPr="005D7A60" w14:paraId="4F8A7447" w14:textId="77777777">
        <w:tc>
          <w:tcPr>
            <w:tcW w:w="0" w:type="auto"/>
            <w:hideMark/>
          </w:tcPr>
          <w:p w14:paraId="44D28F50"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Lessmann et al. (2015)</w:t>
            </w:r>
          </w:p>
        </w:tc>
        <w:tc>
          <w:tcPr>
            <w:tcW w:w="0" w:type="auto"/>
            <w:hideMark/>
          </w:tcPr>
          <w:p w14:paraId="5CD0CC00"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Multi-country</w:t>
            </w:r>
          </w:p>
        </w:tc>
        <w:tc>
          <w:tcPr>
            <w:tcW w:w="0" w:type="auto"/>
            <w:hideMark/>
          </w:tcPr>
          <w:p w14:paraId="512EF0F8" w14:textId="55B30D01"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sz w:val="18"/>
                <w:szCs w:val="18"/>
                <w:lang w:val="en-IN" w:eastAsia="en-IN"/>
              </w:rPr>
              <w:t>German Credit (UCI)</w:t>
            </w:r>
            <w:r w:rsidRPr="005D7A60">
              <w:rPr>
                <w:rFonts w:ascii="Times New Roman" w:hAnsi="Times New Roman"/>
                <w:color w:val="000000"/>
                <w:sz w:val="18"/>
                <w:szCs w:val="18"/>
                <w:lang w:val="en-IN" w:eastAsia="en-IN"/>
              </w:rPr>
              <w:t xml:space="preserve">, </w:t>
            </w:r>
            <w:r w:rsidRPr="005D7A60">
              <w:rPr>
                <w:rFonts w:ascii="Times New Roman" w:hAnsi="Times New Roman"/>
                <w:sz w:val="18"/>
                <w:szCs w:val="18"/>
                <w:lang w:val="en-IN" w:eastAsia="en-IN"/>
              </w:rPr>
              <w:t>Australian Credit (UCI)</w:t>
            </w:r>
            <w:r w:rsidRPr="005D7A60">
              <w:rPr>
                <w:rFonts w:ascii="Times New Roman" w:hAnsi="Times New Roman"/>
                <w:color w:val="000000"/>
                <w:sz w:val="18"/>
                <w:szCs w:val="18"/>
                <w:lang w:val="en-IN" w:eastAsia="en-IN"/>
              </w:rPr>
              <w:t xml:space="preserve">, </w:t>
            </w:r>
            <w:r w:rsidRPr="005D7A60">
              <w:rPr>
                <w:rFonts w:ascii="Times New Roman" w:hAnsi="Times New Roman"/>
                <w:sz w:val="18"/>
                <w:szCs w:val="18"/>
                <w:lang w:val="en-IN" w:eastAsia="en-IN"/>
              </w:rPr>
              <w:t>Taiwan Default (UCI)</w:t>
            </w:r>
            <w:r w:rsidRPr="005D7A60">
              <w:rPr>
                <w:rFonts w:ascii="Times New Roman" w:hAnsi="Times New Roman"/>
                <w:color w:val="000000"/>
                <w:sz w:val="18"/>
                <w:szCs w:val="18"/>
                <w:lang w:val="en-IN" w:eastAsia="en-IN"/>
              </w:rPr>
              <w:t xml:space="preserve">, </w:t>
            </w:r>
            <w:r w:rsidRPr="005D7A60">
              <w:rPr>
                <w:rFonts w:ascii="Times New Roman" w:hAnsi="Times New Roman"/>
                <w:sz w:val="18"/>
                <w:szCs w:val="18"/>
                <w:lang w:val="en-IN" w:eastAsia="en-IN"/>
              </w:rPr>
              <w:t>Give Me Some Credit (Kaggle)</w:t>
            </w:r>
            <w:r w:rsidRPr="005D7A60">
              <w:rPr>
                <w:rFonts w:ascii="Times New Roman" w:hAnsi="Times New Roman"/>
                <w:color w:val="000000"/>
                <w:sz w:val="18"/>
                <w:szCs w:val="18"/>
                <w:lang w:val="en-IN" w:eastAsia="en-IN"/>
              </w:rPr>
              <w:t>, + proprietary</w:t>
            </w:r>
          </w:p>
        </w:tc>
        <w:tc>
          <w:tcPr>
            <w:tcW w:w="0" w:type="auto"/>
            <w:hideMark/>
          </w:tcPr>
          <w:p w14:paraId="10DF3330"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Benchmarking across 41 classifiers</w:t>
            </w:r>
          </w:p>
        </w:tc>
        <w:tc>
          <w:tcPr>
            <w:tcW w:w="0" w:type="auto"/>
            <w:hideMark/>
          </w:tcPr>
          <w:p w14:paraId="5DBB6ACA"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Mixed borrower + loan features</w:t>
            </w:r>
          </w:p>
        </w:tc>
        <w:tc>
          <w:tcPr>
            <w:tcW w:w="0" w:type="auto"/>
            <w:hideMark/>
          </w:tcPr>
          <w:p w14:paraId="79FCA39E"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Default / non-default</w:t>
            </w:r>
          </w:p>
        </w:tc>
        <w:tc>
          <w:tcPr>
            <w:tcW w:w="0" w:type="auto"/>
            <w:hideMark/>
          </w:tcPr>
          <w:p w14:paraId="6C1DD53D"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Comprehensive benchmark; established current methodological baselines</w:t>
            </w:r>
          </w:p>
        </w:tc>
      </w:tr>
      <w:tr w:rsidR="00C20EFB" w:rsidRPr="005D7A60" w14:paraId="7B9D88D1" w14:textId="77777777">
        <w:tc>
          <w:tcPr>
            <w:tcW w:w="0" w:type="auto"/>
            <w:hideMark/>
          </w:tcPr>
          <w:p w14:paraId="0D9BB006"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Louzada et al. (2016)</w:t>
            </w:r>
          </w:p>
        </w:tc>
        <w:tc>
          <w:tcPr>
            <w:tcW w:w="0" w:type="auto"/>
            <w:hideMark/>
          </w:tcPr>
          <w:p w14:paraId="28BC7CB2"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Brazil</w:t>
            </w:r>
          </w:p>
        </w:tc>
        <w:tc>
          <w:tcPr>
            <w:tcW w:w="0" w:type="auto"/>
            <w:hideMark/>
          </w:tcPr>
          <w:p w14:paraId="62087A13"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Consumer credit (proprietary)</w:t>
            </w:r>
          </w:p>
        </w:tc>
        <w:tc>
          <w:tcPr>
            <w:tcW w:w="0" w:type="auto"/>
            <w:hideMark/>
          </w:tcPr>
          <w:p w14:paraId="7A401AB1"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Hybrid ML (logit + trees)</w:t>
            </w:r>
          </w:p>
        </w:tc>
        <w:tc>
          <w:tcPr>
            <w:tcW w:w="0" w:type="auto"/>
            <w:hideMark/>
          </w:tcPr>
          <w:p w14:paraId="084CF8CE"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Borrower features</w:t>
            </w:r>
          </w:p>
        </w:tc>
        <w:tc>
          <w:tcPr>
            <w:tcW w:w="0" w:type="auto"/>
            <w:hideMark/>
          </w:tcPr>
          <w:p w14:paraId="0BF1BE19"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Default / repayment</w:t>
            </w:r>
          </w:p>
        </w:tc>
        <w:tc>
          <w:tcPr>
            <w:tcW w:w="0" w:type="auto"/>
            <w:hideMark/>
          </w:tcPr>
          <w:p w14:paraId="54166E97"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Demonstrated hybrid models improve credit scoring</w:t>
            </w:r>
          </w:p>
        </w:tc>
      </w:tr>
      <w:tr w:rsidR="00C20EFB" w:rsidRPr="005D7A60" w14:paraId="63DFDF45" w14:textId="77777777">
        <w:tc>
          <w:tcPr>
            <w:tcW w:w="0" w:type="auto"/>
            <w:hideMark/>
          </w:tcPr>
          <w:p w14:paraId="6596C4B1" w14:textId="77777777" w:rsidR="006202AF" w:rsidRPr="005D7A60" w:rsidRDefault="006202AF" w:rsidP="006202AF">
            <w:pPr>
              <w:rPr>
                <w:rFonts w:ascii="Times New Roman" w:hAnsi="Times New Roman"/>
                <w:color w:val="000000"/>
                <w:sz w:val="18"/>
                <w:szCs w:val="18"/>
                <w:lang w:val="en-IN" w:eastAsia="en-IN"/>
              </w:rPr>
            </w:pPr>
            <w:proofErr w:type="spellStart"/>
            <w:r w:rsidRPr="005D7A60">
              <w:rPr>
                <w:rFonts w:ascii="Times New Roman" w:hAnsi="Times New Roman"/>
                <w:color w:val="000000"/>
                <w:sz w:val="18"/>
                <w:szCs w:val="18"/>
                <w:lang w:val="en-IN" w:eastAsia="en-IN"/>
              </w:rPr>
              <w:t>Kozodoi</w:t>
            </w:r>
            <w:proofErr w:type="spellEnd"/>
            <w:r w:rsidRPr="005D7A60">
              <w:rPr>
                <w:rFonts w:ascii="Times New Roman" w:hAnsi="Times New Roman"/>
                <w:color w:val="000000"/>
                <w:sz w:val="18"/>
                <w:szCs w:val="18"/>
                <w:lang w:val="en-IN" w:eastAsia="en-IN"/>
              </w:rPr>
              <w:t xml:space="preserve"> et al. (2022)</w:t>
            </w:r>
          </w:p>
        </w:tc>
        <w:tc>
          <w:tcPr>
            <w:tcW w:w="0" w:type="auto"/>
            <w:hideMark/>
          </w:tcPr>
          <w:p w14:paraId="6404A36C"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Europe</w:t>
            </w:r>
          </w:p>
        </w:tc>
        <w:tc>
          <w:tcPr>
            <w:tcW w:w="0" w:type="auto"/>
            <w:hideMark/>
          </w:tcPr>
          <w:p w14:paraId="20FE605F"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Consumer lending (proprietary)</w:t>
            </w:r>
          </w:p>
        </w:tc>
        <w:tc>
          <w:tcPr>
            <w:tcW w:w="0" w:type="auto"/>
            <w:hideMark/>
          </w:tcPr>
          <w:p w14:paraId="59C3D2D5"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Gradient boosting + fairness metrics</w:t>
            </w:r>
          </w:p>
        </w:tc>
        <w:tc>
          <w:tcPr>
            <w:tcW w:w="0" w:type="auto"/>
            <w:hideMark/>
          </w:tcPr>
          <w:p w14:paraId="487C29AB"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Borrower attributes</w:t>
            </w:r>
          </w:p>
        </w:tc>
        <w:tc>
          <w:tcPr>
            <w:tcW w:w="0" w:type="auto"/>
            <w:hideMark/>
          </w:tcPr>
          <w:p w14:paraId="5E575B5D"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Default prediction + fairness outcomes</w:t>
            </w:r>
          </w:p>
        </w:tc>
        <w:tc>
          <w:tcPr>
            <w:tcW w:w="0" w:type="auto"/>
            <w:hideMark/>
          </w:tcPr>
          <w:p w14:paraId="5858DB3F"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Assessed fairness–accuracy trade-offs in credit scoring</w:t>
            </w:r>
          </w:p>
        </w:tc>
      </w:tr>
      <w:tr w:rsidR="00C20EFB" w:rsidRPr="005D7A60" w14:paraId="6D4DBE2D" w14:textId="77777777">
        <w:tc>
          <w:tcPr>
            <w:tcW w:w="0" w:type="auto"/>
            <w:hideMark/>
          </w:tcPr>
          <w:p w14:paraId="1E853CAD" w14:textId="77777777" w:rsidR="006202AF" w:rsidRPr="005D7A60" w:rsidRDefault="006202AF" w:rsidP="006202AF">
            <w:pPr>
              <w:rPr>
                <w:rFonts w:ascii="Times New Roman" w:hAnsi="Times New Roman"/>
                <w:color w:val="000000"/>
                <w:sz w:val="18"/>
                <w:szCs w:val="18"/>
                <w:lang w:val="en-IN" w:eastAsia="en-IN"/>
              </w:rPr>
            </w:pPr>
            <w:proofErr w:type="spellStart"/>
            <w:r w:rsidRPr="005D7A60">
              <w:rPr>
                <w:rFonts w:ascii="Times New Roman" w:hAnsi="Times New Roman"/>
                <w:color w:val="000000"/>
                <w:sz w:val="18"/>
                <w:szCs w:val="18"/>
                <w:lang w:val="en-IN" w:eastAsia="en-IN"/>
              </w:rPr>
              <w:t>DeRisk</w:t>
            </w:r>
            <w:proofErr w:type="spellEnd"/>
            <w:r w:rsidRPr="005D7A60">
              <w:rPr>
                <w:rFonts w:ascii="Times New Roman" w:hAnsi="Times New Roman"/>
                <w:color w:val="000000"/>
                <w:sz w:val="18"/>
                <w:szCs w:val="18"/>
                <w:lang w:val="en-IN" w:eastAsia="en-IN"/>
              </w:rPr>
              <w:t xml:space="preserve"> (2023)</w:t>
            </w:r>
          </w:p>
        </w:tc>
        <w:tc>
          <w:tcPr>
            <w:tcW w:w="0" w:type="auto"/>
            <w:hideMark/>
          </w:tcPr>
          <w:p w14:paraId="78756DD2" w14:textId="63A830C8" w:rsidR="006202AF" w:rsidRPr="005D7A60" w:rsidRDefault="0063722A"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China</w:t>
            </w:r>
          </w:p>
        </w:tc>
        <w:tc>
          <w:tcPr>
            <w:tcW w:w="0" w:type="auto"/>
            <w:hideMark/>
          </w:tcPr>
          <w:p w14:paraId="4C02FB3D" w14:textId="3829A529" w:rsidR="006202AF" w:rsidRPr="005D7A60" w:rsidRDefault="002149A9"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eastAsia="en-IN"/>
              </w:rPr>
              <w:t>real-world Chinese credit bureau data</w:t>
            </w:r>
          </w:p>
        </w:tc>
        <w:tc>
          <w:tcPr>
            <w:tcW w:w="0" w:type="auto"/>
            <w:hideMark/>
          </w:tcPr>
          <w:p w14:paraId="296D2702"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Deep learning framework + ablation</w:t>
            </w:r>
          </w:p>
        </w:tc>
        <w:tc>
          <w:tcPr>
            <w:tcW w:w="0" w:type="auto"/>
            <w:hideMark/>
          </w:tcPr>
          <w:p w14:paraId="5B7E3504"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Borrower &amp; financial attributes</w:t>
            </w:r>
          </w:p>
        </w:tc>
        <w:tc>
          <w:tcPr>
            <w:tcW w:w="0" w:type="auto"/>
            <w:hideMark/>
          </w:tcPr>
          <w:p w14:paraId="13C4CAA0"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Default / risk classification</w:t>
            </w:r>
          </w:p>
        </w:tc>
        <w:tc>
          <w:tcPr>
            <w:tcW w:w="0" w:type="auto"/>
            <w:hideMark/>
          </w:tcPr>
          <w:p w14:paraId="7F9E0C60" w14:textId="2049CF22"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 xml:space="preserve">Demonstrated deep learning outperforms production-grade models; identified key drivers of performance </w:t>
            </w:r>
          </w:p>
        </w:tc>
      </w:tr>
      <w:tr w:rsidR="00C20EFB" w:rsidRPr="005D7A60" w14:paraId="40E67782" w14:textId="77777777">
        <w:tc>
          <w:tcPr>
            <w:tcW w:w="0" w:type="auto"/>
            <w:hideMark/>
          </w:tcPr>
          <w:p w14:paraId="5A85B590"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Transformer Credit Default Study (2024)</w:t>
            </w:r>
          </w:p>
        </w:tc>
        <w:tc>
          <w:tcPr>
            <w:tcW w:w="0" w:type="auto"/>
            <w:hideMark/>
          </w:tcPr>
          <w:p w14:paraId="569340D5"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Taiwan / global</w:t>
            </w:r>
          </w:p>
        </w:tc>
        <w:tc>
          <w:tcPr>
            <w:tcW w:w="0" w:type="auto"/>
            <w:hideMark/>
          </w:tcPr>
          <w:p w14:paraId="6A2B1E51"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Credit card client datasets</w:t>
            </w:r>
          </w:p>
        </w:tc>
        <w:tc>
          <w:tcPr>
            <w:tcW w:w="0" w:type="auto"/>
            <w:hideMark/>
          </w:tcPr>
          <w:p w14:paraId="1336FBB2"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Transformer-based neural network</w:t>
            </w:r>
          </w:p>
        </w:tc>
        <w:tc>
          <w:tcPr>
            <w:tcW w:w="0" w:type="auto"/>
            <w:hideMark/>
          </w:tcPr>
          <w:p w14:paraId="3F628F37"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Borrower history, repayment sequences</w:t>
            </w:r>
          </w:p>
        </w:tc>
        <w:tc>
          <w:tcPr>
            <w:tcW w:w="0" w:type="auto"/>
            <w:hideMark/>
          </w:tcPr>
          <w:p w14:paraId="431D099F" w14:textId="77777777"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Default / non-default</w:t>
            </w:r>
          </w:p>
        </w:tc>
        <w:tc>
          <w:tcPr>
            <w:tcW w:w="0" w:type="auto"/>
            <w:hideMark/>
          </w:tcPr>
          <w:p w14:paraId="4C06EE08" w14:textId="61DBAB06" w:rsidR="006202AF" w:rsidRPr="005D7A60" w:rsidRDefault="006202AF" w:rsidP="006202AF">
            <w:pPr>
              <w:rPr>
                <w:rFonts w:ascii="Times New Roman" w:hAnsi="Times New Roman"/>
                <w:color w:val="000000"/>
                <w:sz w:val="18"/>
                <w:szCs w:val="18"/>
                <w:lang w:val="en-IN" w:eastAsia="en-IN"/>
              </w:rPr>
            </w:pPr>
            <w:r w:rsidRPr="005D7A60">
              <w:rPr>
                <w:rFonts w:ascii="Times New Roman" w:hAnsi="Times New Roman"/>
                <w:color w:val="000000"/>
                <w:sz w:val="18"/>
                <w:szCs w:val="18"/>
                <w:lang w:val="en-IN" w:eastAsia="en-IN"/>
              </w:rPr>
              <w:t xml:space="preserve">Applied transformer architecture; captured temporal borrower behaviour, outperforming tree-based models </w:t>
            </w:r>
          </w:p>
        </w:tc>
      </w:tr>
    </w:tbl>
    <w:p w14:paraId="5695F4FE" w14:textId="77777777" w:rsidR="006202AF" w:rsidRPr="005D7A60" w:rsidRDefault="006202AF" w:rsidP="008344E6">
      <w:pPr>
        <w:rPr>
          <w:rFonts w:ascii="Times New Roman" w:hAnsi="Times New Roman"/>
          <w:color w:val="000000"/>
          <w:lang w:val="en-IN" w:eastAsia="en-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1"/>
        <w:gridCol w:w="2505"/>
        <w:gridCol w:w="2184"/>
        <w:gridCol w:w="2911"/>
        <w:gridCol w:w="3825"/>
      </w:tblGrid>
      <w:tr w:rsidR="00F56B9D" w:rsidRPr="005D7A60" w14:paraId="11C5A1EC" w14:textId="77777777" w:rsidTr="000B5CCE">
        <w:tc>
          <w:tcPr>
            <w:tcW w:w="0" w:type="auto"/>
            <w:gridSpan w:val="5"/>
          </w:tcPr>
          <w:p w14:paraId="03FCBC04" w14:textId="3F6FF7B4" w:rsidR="00F56B9D" w:rsidRPr="005D7A60" w:rsidRDefault="00F56B9D" w:rsidP="000B5CCE">
            <w:pPr>
              <w:tabs>
                <w:tab w:val="left" w:pos="142"/>
              </w:tabs>
              <w:rPr>
                <w:rFonts w:ascii="Times New Roman" w:hAnsi="Times New Roman"/>
                <w:b/>
                <w:bCs/>
                <w:sz w:val="18"/>
                <w:szCs w:val="18"/>
                <w:lang w:val="en-IN"/>
              </w:rPr>
            </w:pPr>
            <w:r w:rsidRPr="005D7A60">
              <w:rPr>
                <w:rFonts w:ascii="Times New Roman" w:hAnsi="Times New Roman"/>
                <w:b/>
                <w:bCs/>
                <w:sz w:val="18"/>
                <w:szCs w:val="18"/>
              </w:rPr>
              <w:t>Table 2: Generative AI Applications in Financial Regulation</w:t>
            </w:r>
          </w:p>
        </w:tc>
      </w:tr>
      <w:tr w:rsidR="00470E90" w:rsidRPr="005D7A60" w14:paraId="50D9D1BE" w14:textId="77777777" w:rsidTr="000B5CCE">
        <w:tc>
          <w:tcPr>
            <w:tcW w:w="0" w:type="auto"/>
            <w:hideMark/>
          </w:tcPr>
          <w:p w14:paraId="7228E5FF" w14:textId="77777777" w:rsidR="00470E90" w:rsidRPr="005D7A60" w:rsidRDefault="00470E90" w:rsidP="000B5CCE">
            <w:pPr>
              <w:tabs>
                <w:tab w:val="left" w:pos="142"/>
              </w:tabs>
              <w:rPr>
                <w:rFonts w:ascii="Times New Roman" w:hAnsi="Times New Roman"/>
                <w:b/>
                <w:bCs/>
                <w:sz w:val="18"/>
                <w:szCs w:val="18"/>
                <w:lang w:val="en-IN"/>
              </w:rPr>
            </w:pPr>
            <w:r w:rsidRPr="005D7A60">
              <w:rPr>
                <w:rFonts w:ascii="Times New Roman" w:hAnsi="Times New Roman"/>
                <w:b/>
                <w:bCs/>
                <w:sz w:val="18"/>
                <w:szCs w:val="18"/>
                <w:lang w:val="en-IN"/>
              </w:rPr>
              <w:t>Author / Institution (Year)</w:t>
            </w:r>
          </w:p>
        </w:tc>
        <w:tc>
          <w:tcPr>
            <w:tcW w:w="0" w:type="auto"/>
            <w:hideMark/>
          </w:tcPr>
          <w:p w14:paraId="260C60CC" w14:textId="77777777" w:rsidR="00470E90" w:rsidRPr="005D7A60" w:rsidRDefault="00470E90" w:rsidP="000B5CCE">
            <w:pPr>
              <w:tabs>
                <w:tab w:val="left" w:pos="142"/>
              </w:tabs>
              <w:rPr>
                <w:rFonts w:ascii="Times New Roman" w:hAnsi="Times New Roman"/>
                <w:b/>
                <w:bCs/>
                <w:sz w:val="18"/>
                <w:szCs w:val="18"/>
                <w:lang w:val="en-IN"/>
              </w:rPr>
            </w:pPr>
            <w:r w:rsidRPr="005D7A60">
              <w:rPr>
                <w:rFonts w:ascii="Times New Roman" w:hAnsi="Times New Roman"/>
                <w:b/>
                <w:bCs/>
                <w:sz w:val="18"/>
                <w:szCs w:val="18"/>
                <w:lang w:val="en-IN"/>
              </w:rPr>
              <w:t>Contribution</w:t>
            </w:r>
          </w:p>
        </w:tc>
        <w:tc>
          <w:tcPr>
            <w:tcW w:w="0" w:type="auto"/>
            <w:hideMark/>
          </w:tcPr>
          <w:p w14:paraId="43EA4102" w14:textId="77777777" w:rsidR="00470E90" w:rsidRPr="005D7A60" w:rsidRDefault="00470E90" w:rsidP="000B5CCE">
            <w:pPr>
              <w:tabs>
                <w:tab w:val="left" w:pos="142"/>
              </w:tabs>
              <w:rPr>
                <w:rFonts w:ascii="Times New Roman" w:hAnsi="Times New Roman"/>
                <w:b/>
                <w:bCs/>
                <w:sz w:val="18"/>
                <w:szCs w:val="18"/>
                <w:lang w:val="en-IN"/>
              </w:rPr>
            </w:pPr>
            <w:r w:rsidRPr="005D7A60">
              <w:rPr>
                <w:rFonts w:ascii="Times New Roman" w:hAnsi="Times New Roman"/>
                <w:b/>
                <w:bCs/>
                <w:sz w:val="18"/>
                <w:szCs w:val="18"/>
                <w:lang w:val="en-IN"/>
              </w:rPr>
              <w:t>Model / Method</w:t>
            </w:r>
          </w:p>
        </w:tc>
        <w:tc>
          <w:tcPr>
            <w:tcW w:w="0" w:type="auto"/>
            <w:hideMark/>
          </w:tcPr>
          <w:p w14:paraId="0CCCCDD6" w14:textId="77777777" w:rsidR="00470E90" w:rsidRPr="005D7A60" w:rsidRDefault="00470E90" w:rsidP="000B5CCE">
            <w:pPr>
              <w:tabs>
                <w:tab w:val="left" w:pos="142"/>
              </w:tabs>
              <w:rPr>
                <w:rFonts w:ascii="Times New Roman" w:hAnsi="Times New Roman"/>
                <w:b/>
                <w:bCs/>
                <w:sz w:val="18"/>
                <w:szCs w:val="18"/>
                <w:lang w:val="en-IN"/>
              </w:rPr>
            </w:pPr>
            <w:r w:rsidRPr="005D7A60">
              <w:rPr>
                <w:rFonts w:ascii="Times New Roman" w:hAnsi="Times New Roman"/>
                <w:b/>
                <w:bCs/>
                <w:sz w:val="18"/>
                <w:szCs w:val="18"/>
                <w:lang w:val="en-IN"/>
              </w:rPr>
              <w:t>Data / Input</w:t>
            </w:r>
          </w:p>
        </w:tc>
        <w:tc>
          <w:tcPr>
            <w:tcW w:w="0" w:type="auto"/>
            <w:hideMark/>
          </w:tcPr>
          <w:p w14:paraId="280131A2" w14:textId="77777777" w:rsidR="00470E90" w:rsidRPr="005D7A60" w:rsidRDefault="00470E90" w:rsidP="000B5CCE">
            <w:pPr>
              <w:tabs>
                <w:tab w:val="left" w:pos="142"/>
              </w:tabs>
              <w:rPr>
                <w:rFonts w:ascii="Times New Roman" w:hAnsi="Times New Roman"/>
                <w:b/>
                <w:bCs/>
                <w:sz w:val="18"/>
                <w:szCs w:val="18"/>
                <w:lang w:val="en-IN"/>
              </w:rPr>
            </w:pPr>
            <w:r w:rsidRPr="005D7A60">
              <w:rPr>
                <w:rFonts w:ascii="Times New Roman" w:hAnsi="Times New Roman"/>
                <w:b/>
                <w:bCs/>
                <w:sz w:val="18"/>
                <w:szCs w:val="18"/>
                <w:lang w:val="en-IN"/>
              </w:rPr>
              <w:t>Outcome</w:t>
            </w:r>
          </w:p>
        </w:tc>
      </w:tr>
      <w:tr w:rsidR="00470E90" w:rsidRPr="005D7A60" w14:paraId="55F414EB" w14:textId="77777777" w:rsidTr="000B5CCE">
        <w:tc>
          <w:tcPr>
            <w:tcW w:w="0" w:type="auto"/>
            <w:hideMark/>
          </w:tcPr>
          <w:p w14:paraId="4F504136"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Vaswani et al. (2017)</w:t>
            </w:r>
          </w:p>
        </w:tc>
        <w:tc>
          <w:tcPr>
            <w:tcW w:w="0" w:type="auto"/>
            <w:hideMark/>
          </w:tcPr>
          <w:p w14:paraId="54E290A1"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Introduced Transformer architecture</w:t>
            </w:r>
          </w:p>
        </w:tc>
        <w:tc>
          <w:tcPr>
            <w:tcW w:w="0" w:type="auto"/>
            <w:hideMark/>
          </w:tcPr>
          <w:p w14:paraId="12D34C6E"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Transformer</w:t>
            </w:r>
          </w:p>
        </w:tc>
        <w:tc>
          <w:tcPr>
            <w:tcW w:w="0" w:type="auto"/>
            <w:hideMark/>
          </w:tcPr>
          <w:p w14:paraId="4F27C691"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 xml:space="preserve">WMT’14 English–German, </w:t>
            </w:r>
            <w:proofErr w:type="gramStart"/>
            <w:r w:rsidRPr="005D7A60">
              <w:rPr>
                <w:rFonts w:ascii="Times New Roman" w:hAnsi="Times New Roman"/>
                <w:sz w:val="18"/>
                <w:szCs w:val="18"/>
                <w:lang w:val="en-IN"/>
              </w:rPr>
              <w:t>English–French</w:t>
            </w:r>
            <w:proofErr w:type="gramEnd"/>
            <w:r w:rsidRPr="005D7A60">
              <w:rPr>
                <w:rFonts w:ascii="Times New Roman" w:hAnsi="Times New Roman"/>
                <w:sz w:val="18"/>
                <w:szCs w:val="18"/>
                <w:lang w:val="en-IN"/>
              </w:rPr>
              <w:t xml:space="preserve"> translation</w:t>
            </w:r>
          </w:p>
        </w:tc>
        <w:tc>
          <w:tcPr>
            <w:tcW w:w="0" w:type="auto"/>
            <w:hideMark/>
          </w:tcPr>
          <w:p w14:paraId="43F981C4"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Outperformed RNNs/CNNs; parallel training; foundation for modern LLMs</w:t>
            </w:r>
          </w:p>
        </w:tc>
      </w:tr>
      <w:tr w:rsidR="00470E90" w:rsidRPr="005D7A60" w14:paraId="6411DD13" w14:textId="77777777" w:rsidTr="000B5CCE">
        <w:tc>
          <w:tcPr>
            <w:tcW w:w="0" w:type="auto"/>
            <w:hideMark/>
          </w:tcPr>
          <w:p w14:paraId="0FD3579C"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Devlin et al. (2018)</w:t>
            </w:r>
          </w:p>
        </w:tc>
        <w:tc>
          <w:tcPr>
            <w:tcW w:w="0" w:type="auto"/>
            <w:hideMark/>
          </w:tcPr>
          <w:p w14:paraId="39D4C627"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 xml:space="preserve">Contextual embeddings, </w:t>
            </w:r>
            <w:r w:rsidRPr="005D7A60">
              <w:rPr>
                <w:rFonts w:ascii="Times New Roman" w:hAnsi="Times New Roman"/>
                <w:sz w:val="18"/>
                <w:szCs w:val="18"/>
                <w:lang w:val="en-IN"/>
              </w:rPr>
              <w:lastRenderedPageBreak/>
              <w:t>bidirectional</w:t>
            </w:r>
          </w:p>
        </w:tc>
        <w:tc>
          <w:tcPr>
            <w:tcW w:w="0" w:type="auto"/>
            <w:hideMark/>
          </w:tcPr>
          <w:p w14:paraId="32C28EC6"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lastRenderedPageBreak/>
              <w:t>BERT</w:t>
            </w:r>
          </w:p>
        </w:tc>
        <w:tc>
          <w:tcPr>
            <w:tcW w:w="0" w:type="auto"/>
            <w:hideMark/>
          </w:tcPr>
          <w:p w14:paraId="6CEC1C24"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 xml:space="preserve">Wikipedia + </w:t>
            </w:r>
            <w:proofErr w:type="spellStart"/>
            <w:r w:rsidRPr="005D7A60">
              <w:rPr>
                <w:rFonts w:ascii="Times New Roman" w:hAnsi="Times New Roman"/>
                <w:sz w:val="18"/>
                <w:szCs w:val="18"/>
                <w:lang w:val="en-IN"/>
              </w:rPr>
              <w:t>BookCorpus</w:t>
            </w:r>
            <w:proofErr w:type="spellEnd"/>
          </w:p>
        </w:tc>
        <w:tc>
          <w:tcPr>
            <w:tcW w:w="0" w:type="auto"/>
            <w:hideMark/>
          </w:tcPr>
          <w:p w14:paraId="39008598"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Set new SOTA on GLUE, QA, NER</w:t>
            </w:r>
          </w:p>
        </w:tc>
      </w:tr>
      <w:tr w:rsidR="00470E90" w:rsidRPr="005D7A60" w14:paraId="1D58B09D" w14:textId="77777777" w:rsidTr="000B5CCE">
        <w:tc>
          <w:tcPr>
            <w:tcW w:w="0" w:type="auto"/>
            <w:hideMark/>
          </w:tcPr>
          <w:p w14:paraId="1C5B1F56"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Radford et al. (2018)</w:t>
            </w:r>
          </w:p>
        </w:tc>
        <w:tc>
          <w:tcPr>
            <w:tcW w:w="0" w:type="auto"/>
            <w:hideMark/>
          </w:tcPr>
          <w:p w14:paraId="6ECDDC43"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Generative pretraining for NLP</w:t>
            </w:r>
          </w:p>
        </w:tc>
        <w:tc>
          <w:tcPr>
            <w:tcW w:w="0" w:type="auto"/>
            <w:hideMark/>
          </w:tcPr>
          <w:p w14:paraId="6A87F51E"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GPT</w:t>
            </w:r>
          </w:p>
        </w:tc>
        <w:tc>
          <w:tcPr>
            <w:tcW w:w="0" w:type="auto"/>
            <w:hideMark/>
          </w:tcPr>
          <w:p w14:paraId="7CD3669F"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Web text corpus</w:t>
            </w:r>
          </w:p>
        </w:tc>
        <w:tc>
          <w:tcPr>
            <w:tcW w:w="0" w:type="auto"/>
            <w:hideMark/>
          </w:tcPr>
          <w:p w14:paraId="5514E316"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Demonstrated transfer learning in NLP</w:t>
            </w:r>
          </w:p>
        </w:tc>
      </w:tr>
      <w:tr w:rsidR="00470E90" w:rsidRPr="005D7A60" w14:paraId="3042E207" w14:textId="77777777" w:rsidTr="000B5CCE">
        <w:tc>
          <w:tcPr>
            <w:tcW w:w="0" w:type="auto"/>
            <w:hideMark/>
          </w:tcPr>
          <w:p w14:paraId="6E7C46E8"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Brown et al. (2020)</w:t>
            </w:r>
          </w:p>
        </w:tc>
        <w:tc>
          <w:tcPr>
            <w:tcW w:w="0" w:type="auto"/>
            <w:hideMark/>
          </w:tcPr>
          <w:p w14:paraId="30B92440"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Few-shot learning with large models</w:t>
            </w:r>
          </w:p>
        </w:tc>
        <w:tc>
          <w:tcPr>
            <w:tcW w:w="0" w:type="auto"/>
            <w:hideMark/>
          </w:tcPr>
          <w:p w14:paraId="49B0695E"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GPT-3</w:t>
            </w:r>
          </w:p>
        </w:tc>
        <w:tc>
          <w:tcPr>
            <w:tcW w:w="0" w:type="auto"/>
            <w:hideMark/>
          </w:tcPr>
          <w:p w14:paraId="0FC704E2"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570GB curated web + books</w:t>
            </w:r>
          </w:p>
        </w:tc>
        <w:tc>
          <w:tcPr>
            <w:tcW w:w="0" w:type="auto"/>
            <w:hideMark/>
          </w:tcPr>
          <w:p w14:paraId="6112FB63"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Strong zero/few-shot reasoning; breakthrough in scaling</w:t>
            </w:r>
          </w:p>
        </w:tc>
      </w:tr>
      <w:tr w:rsidR="00470E90" w:rsidRPr="005D7A60" w14:paraId="4CE47101" w14:textId="77777777" w:rsidTr="000B5CCE">
        <w:tc>
          <w:tcPr>
            <w:tcW w:w="0" w:type="auto"/>
            <w:hideMark/>
          </w:tcPr>
          <w:p w14:paraId="10E5F0F3"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Raffel et al. (2020)</w:t>
            </w:r>
          </w:p>
        </w:tc>
        <w:tc>
          <w:tcPr>
            <w:tcW w:w="0" w:type="auto"/>
            <w:hideMark/>
          </w:tcPr>
          <w:p w14:paraId="60595BEA"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Unified NLP as text-to-text</w:t>
            </w:r>
          </w:p>
        </w:tc>
        <w:tc>
          <w:tcPr>
            <w:tcW w:w="0" w:type="auto"/>
            <w:hideMark/>
          </w:tcPr>
          <w:p w14:paraId="5F27FE57"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T5</w:t>
            </w:r>
          </w:p>
        </w:tc>
        <w:tc>
          <w:tcPr>
            <w:tcW w:w="0" w:type="auto"/>
            <w:hideMark/>
          </w:tcPr>
          <w:p w14:paraId="1C5543BF"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C4 dataset</w:t>
            </w:r>
          </w:p>
        </w:tc>
        <w:tc>
          <w:tcPr>
            <w:tcW w:w="0" w:type="auto"/>
            <w:hideMark/>
          </w:tcPr>
          <w:p w14:paraId="0E14BEB2"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Simplified task framing; strong multi-task performance</w:t>
            </w:r>
          </w:p>
        </w:tc>
      </w:tr>
      <w:tr w:rsidR="00470E90" w:rsidRPr="005D7A60" w14:paraId="3F2BB890" w14:textId="77777777" w:rsidTr="000B5CCE">
        <w:tc>
          <w:tcPr>
            <w:tcW w:w="0" w:type="auto"/>
            <w:hideMark/>
          </w:tcPr>
          <w:p w14:paraId="72D011FF"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OpenAI (2022)</w:t>
            </w:r>
          </w:p>
        </w:tc>
        <w:tc>
          <w:tcPr>
            <w:tcW w:w="0" w:type="auto"/>
            <w:hideMark/>
          </w:tcPr>
          <w:p w14:paraId="334F4D49"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Alignment with human intent</w:t>
            </w:r>
          </w:p>
        </w:tc>
        <w:tc>
          <w:tcPr>
            <w:tcW w:w="0" w:type="auto"/>
            <w:hideMark/>
          </w:tcPr>
          <w:p w14:paraId="0454C7DC" w14:textId="77777777" w:rsidR="00470E90" w:rsidRPr="005D7A60" w:rsidRDefault="00470E90" w:rsidP="000B5CCE">
            <w:pPr>
              <w:tabs>
                <w:tab w:val="left" w:pos="142"/>
              </w:tabs>
              <w:rPr>
                <w:rFonts w:ascii="Times New Roman" w:hAnsi="Times New Roman"/>
                <w:sz w:val="18"/>
                <w:szCs w:val="18"/>
                <w:lang w:val="en-IN"/>
              </w:rPr>
            </w:pPr>
            <w:proofErr w:type="spellStart"/>
            <w:r w:rsidRPr="005D7A60">
              <w:rPr>
                <w:rFonts w:ascii="Times New Roman" w:hAnsi="Times New Roman"/>
                <w:sz w:val="18"/>
                <w:szCs w:val="18"/>
                <w:lang w:val="en-IN"/>
              </w:rPr>
              <w:t>InstructGPT</w:t>
            </w:r>
            <w:proofErr w:type="spellEnd"/>
            <w:r w:rsidRPr="005D7A60">
              <w:rPr>
                <w:rFonts w:ascii="Times New Roman" w:hAnsi="Times New Roman"/>
                <w:sz w:val="18"/>
                <w:szCs w:val="18"/>
                <w:lang w:val="en-IN"/>
              </w:rPr>
              <w:t xml:space="preserve"> / ChatGPT (GPT-3.5)</w:t>
            </w:r>
          </w:p>
        </w:tc>
        <w:tc>
          <w:tcPr>
            <w:tcW w:w="0" w:type="auto"/>
            <w:hideMark/>
          </w:tcPr>
          <w:p w14:paraId="4383EA56"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RLHF on web + human feedback</w:t>
            </w:r>
          </w:p>
        </w:tc>
        <w:tc>
          <w:tcPr>
            <w:tcW w:w="0" w:type="auto"/>
            <w:hideMark/>
          </w:tcPr>
          <w:p w14:paraId="36C1AD8D"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Improved usability, safe deployment at scale</w:t>
            </w:r>
          </w:p>
        </w:tc>
      </w:tr>
      <w:tr w:rsidR="00470E90" w:rsidRPr="005D7A60" w14:paraId="6CF8451F" w14:textId="77777777" w:rsidTr="000B5CCE">
        <w:tc>
          <w:tcPr>
            <w:tcW w:w="0" w:type="auto"/>
            <w:hideMark/>
          </w:tcPr>
          <w:p w14:paraId="0B544AF3" w14:textId="77777777" w:rsidR="00470E90" w:rsidRPr="005D7A60" w:rsidRDefault="00470E90" w:rsidP="000B5CCE">
            <w:pPr>
              <w:tabs>
                <w:tab w:val="left" w:pos="142"/>
              </w:tabs>
              <w:rPr>
                <w:rFonts w:ascii="Times New Roman" w:hAnsi="Times New Roman"/>
                <w:sz w:val="18"/>
                <w:szCs w:val="18"/>
                <w:lang w:val="en-IN"/>
              </w:rPr>
            </w:pPr>
            <w:proofErr w:type="spellStart"/>
            <w:r w:rsidRPr="005D7A60">
              <w:rPr>
                <w:rFonts w:ascii="Times New Roman" w:hAnsi="Times New Roman"/>
                <w:sz w:val="18"/>
                <w:szCs w:val="18"/>
                <w:lang w:val="en-IN"/>
              </w:rPr>
              <w:t>Touvron</w:t>
            </w:r>
            <w:proofErr w:type="spellEnd"/>
            <w:r w:rsidRPr="005D7A60">
              <w:rPr>
                <w:rFonts w:ascii="Times New Roman" w:hAnsi="Times New Roman"/>
                <w:sz w:val="18"/>
                <w:szCs w:val="18"/>
                <w:lang w:val="en-IN"/>
              </w:rPr>
              <w:t xml:space="preserve"> et al. (2023)</w:t>
            </w:r>
          </w:p>
        </w:tc>
        <w:tc>
          <w:tcPr>
            <w:tcW w:w="0" w:type="auto"/>
            <w:hideMark/>
          </w:tcPr>
          <w:p w14:paraId="3BCC0F90"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Efficient open-source LLMs</w:t>
            </w:r>
          </w:p>
        </w:tc>
        <w:tc>
          <w:tcPr>
            <w:tcW w:w="0" w:type="auto"/>
            <w:hideMark/>
          </w:tcPr>
          <w:p w14:paraId="1E7DE580" w14:textId="77777777" w:rsidR="00470E90" w:rsidRPr="005D7A60" w:rsidRDefault="00470E90" w:rsidP="000B5CCE">
            <w:pPr>
              <w:tabs>
                <w:tab w:val="left" w:pos="142"/>
              </w:tabs>
              <w:rPr>
                <w:rFonts w:ascii="Times New Roman" w:hAnsi="Times New Roman"/>
                <w:sz w:val="18"/>
                <w:szCs w:val="18"/>
                <w:lang w:val="en-IN"/>
              </w:rPr>
            </w:pPr>
            <w:proofErr w:type="spellStart"/>
            <w:r w:rsidRPr="005D7A60">
              <w:rPr>
                <w:rFonts w:ascii="Times New Roman" w:hAnsi="Times New Roman"/>
                <w:sz w:val="18"/>
                <w:szCs w:val="18"/>
                <w:lang w:val="en-IN"/>
              </w:rPr>
              <w:t>LLaMA</w:t>
            </w:r>
            <w:proofErr w:type="spellEnd"/>
          </w:p>
        </w:tc>
        <w:tc>
          <w:tcPr>
            <w:tcW w:w="0" w:type="auto"/>
            <w:hideMark/>
          </w:tcPr>
          <w:p w14:paraId="5EDA1F56"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Curated multilingual datasets</w:t>
            </w:r>
          </w:p>
        </w:tc>
        <w:tc>
          <w:tcPr>
            <w:tcW w:w="0" w:type="auto"/>
            <w:hideMark/>
          </w:tcPr>
          <w:p w14:paraId="70F11D27"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Enabled broader research, efficient fine-tuning</w:t>
            </w:r>
          </w:p>
        </w:tc>
      </w:tr>
      <w:tr w:rsidR="00470E90" w:rsidRPr="005D7A60" w14:paraId="3F6B1D7A" w14:textId="77777777" w:rsidTr="000B5CCE">
        <w:tc>
          <w:tcPr>
            <w:tcW w:w="0" w:type="auto"/>
            <w:hideMark/>
          </w:tcPr>
          <w:p w14:paraId="0B809C18"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OpenAI (2023)</w:t>
            </w:r>
          </w:p>
        </w:tc>
        <w:tc>
          <w:tcPr>
            <w:tcW w:w="0" w:type="auto"/>
            <w:hideMark/>
          </w:tcPr>
          <w:p w14:paraId="5FF0F280"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Multimodal, aligned reasoning</w:t>
            </w:r>
          </w:p>
        </w:tc>
        <w:tc>
          <w:tcPr>
            <w:tcW w:w="0" w:type="auto"/>
            <w:hideMark/>
          </w:tcPr>
          <w:p w14:paraId="3993F1AA"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GPT-4</w:t>
            </w:r>
          </w:p>
        </w:tc>
        <w:tc>
          <w:tcPr>
            <w:tcW w:w="0" w:type="auto"/>
            <w:hideMark/>
          </w:tcPr>
          <w:p w14:paraId="7BAAE670"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Proprietary</w:t>
            </w:r>
          </w:p>
        </w:tc>
        <w:tc>
          <w:tcPr>
            <w:tcW w:w="0" w:type="auto"/>
            <w:hideMark/>
          </w:tcPr>
          <w:p w14:paraId="6657552A"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Stronger reasoning, multimodal capability</w:t>
            </w:r>
          </w:p>
        </w:tc>
      </w:tr>
      <w:tr w:rsidR="00470E90" w:rsidRPr="005D7A60" w14:paraId="6A8220E0" w14:textId="77777777" w:rsidTr="000B5CCE">
        <w:tc>
          <w:tcPr>
            <w:tcW w:w="0" w:type="auto"/>
            <w:hideMark/>
          </w:tcPr>
          <w:p w14:paraId="0B569668"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Cao &amp; Feinstein (2024)</w:t>
            </w:r>
          </w:p>
        </w:tc>
        <w:tc>
          <w:tcPr>
            <w:tcW w:w="0" w:type="auto"/>
            <w:hideMark/>
          </w:tcPr>
          <w:p w14:paraId="13D4D965"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Prompt engineering for Basel market risk</w:t>
            </w:r>
          </w:p>
        </w:tc>
        <w:tc>
          <w:tcPr>
            <w:tcW w:w="0" w:type="auto"/>
            <w:hideMark/>
          </w:tcPr>
          <w:p w14:paraId="67A4A159"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GPT-3.5/4 with engineered prompts</w:t>
            </w:r>
          </w:p>
        </w:tc>
        <w:tc>
          <w:tcPr>
            <w:tcW w:w="0" w:type="auto"/>
            <w:hideMark/>
          </w:tcPr>
          <w:p w14:paraId="31CED33C"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Basel market risk clauses</w:t>
            </w:r>
          </w:p>
        </w:tc>
        <w:tc>
          <w:tcPr>
            <w:tcW w:w="0" w:type="auto"/>
            <w:hideMark/>
          </w:tcPr>
          <w:p w14:paraId="668A80F5"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Better regulatory Q&amp;A interpretation</w:t>
            </w:r>
          </w:p>
        </w:tc>
      </w:tr>
      <w:tr w:rsidR="00470E90" w:rsidRPr="005D7A60" w14:paraId="6053A22C" w14:textId="77777777" w:rsidTr="000B5CCE">
        <w:tc>
          <w:tcPr>
            <w:tcW w:w="0" w:type="auto"/>
            <w:hideMark/>
          </w:tcPr>
          <w:p w14:paraId="1D342478"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Nazemi &amp; Fabozzi (2024)</w:t>
            </w:r>
          </w:p>
        </w:tc>
        <w:tc>
          <w:tcPr>
            <w:tcW w:w="0" w:type="auto"/>
            <w:hideMark/>
          </w:tcPr>
          <w:p w14:paraId="7467C311"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Supervisory explainability with GenAI</w:t>
            </w:r>
          </w:p>
        </w:tc>
        <w:tc>
          <w:tcPr>
            <w:tcW w:w="0" w:type="auto"/>
            <w:hideMark/>
          </w:tcPr>
          <w:p w14:paraId="4BB35B36"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GPT-based models</w:t>
            </w:r>
          </w:p>
        </w:tc>
        <w:tc>
          <w:tcPr>
            <w:tcW w:w="0" w:type="auto"/>
            <w:hideMark/>
          </w:tcPr>
          <w:p w14:paraId="3ABF0028"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Regulatory texts + finance datasets</w:t>
            </w:r>
          </w:p>
        </w:tc>
        <w:tc>
          <w:tcPr>
            <w:tcW w:w="0" w:type="auto"/>
            <w:hideMark/>
          </w:tcPr>
          <w:p w14:paraId="4C75DAB1"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Enhanced transparency for regulators</w:t>
            </w:r>
          </w:p>
        </w:tc>
      </w:tr>
      <w:tr w:rsidR="00470E90" w:rsidRPr="005D7A60" w14:paraId="7AC62ED0" w14:textId="77777777" w:rsidTr="000B5CCE">
        <w:tc>
          <w:tcPr>
            <w:tcW w:w="0" w:type="auto"/>
            <w:hideMark/>
          </w:tcPr>
          <w:p w14:paraId="03816514"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Fazlija et al. (2025)</w:t>
            </w:r>
          </w:p>
        </w:tc>
        <w:tc>
          <w:tcPr>
            <w:tcW w:w="0" w:type="auto"/>
            <w:hideMark/>
          </w:tcPr>
          <w:p w14:paraId="160F63BF"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Reasoning with Basel provisions (</w:t>
            </w:r>
            <w:proofErr w:type="spellStart"/>
            <w:r w:rsidRPr="005D7A60">
              <w:rPr>
                <w:rFonts w:ascii="Times New Roman" w:hAnsi="Times New Roman"/>
                <w:sz w:val="18"/>
                <w:szCs w:val="18"/>
                <w:lang w:val="en-IN"/>
              </w:rPr>
              <w:t>CoT</w:t>
            </w:r>
            <w:proofErr w:type="spellEnd"/>
            <w:r w:rsidRPr="005D7A60">
              <w:rPr>
                <w:rFonts w:ascii="Times New Roman" w:hAnsi="Times New Roman"/>
                <w:sz w:val="18"/>
                <w:szCs w:val="18"/>
                <w:lang w:val="en-IN"/>
              </w:rPr>
              <w:t>/</w:t>
            </w:r>
            <w:proofErr w:type="spellStart"/>
            <w:r w:rsidRPr="005D7A60">
              <w:rPr>
                <w:rFonts w:ascii="Times New Roman" w:hAnsi="Times New Roman"/>
                <w:sz w:val="18"/>
                <w:szCs w:val="18"/>
                <w:lang w:val="en-IN"/>
              </w:rPr>
              <w:t>ToT</w:t>
            </w:r>
            <w:proofErr w:type="spellEnd"/>
            <w:r w:rsidRPr="005D7A60">
              <w:rPr>
                <w:rFonts w:ascii="Times New Roman" w:hAnsi="Times New Roman"/>
                <w:sz w:val="18"/>
                <w:szCs w:val="18"/>
                <w:lang w:val="en-IN"/>
              </w:rPr>
              <w:t>)</w:t>
            </w:r>
          </w:p>
        </w:tc>
        <w:tc>
          <w:tcPr>
            <w:tcW w:w="0" w:type="auto"/>
            <w:hideMark/>
          </w:tcPr>
          <w:p w14:paraId="677241B1"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GPT-4o, Claude 3</w:t>
            </w:r>
          </w:p>
        </w:tc>
        <w:tc>
          <w:tcPr>
            <w:tcW w:w="0" w:type="auto"/>
            <w:hideMark/>
          </w:tcPr>
          <w:p w14:paraId="254F230E"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6,501 Basel III test cases</w:t>
            </w:r>
          </w:p>
        </w:tc>
        <w:tc>
          <w:tcPr>
            <w:tcW w:w="0" w:type="auto"/>
            <w:hideMark/>
          </w:tcPr>
          <w:p w14:paraId="68009E4F"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+13pp accuracy in risk weight assignment</w:t>
            </w:r>
          </w:p>
        </w:tc>
      </w:tr>
      <w:tr w:rsidR="00470E90" w:rsidRPr="005D7A60" w14:paraId="1CB23C82" w14:textId="77777777" w:rsidTr="000B5CCE">
        <w:tc>
          <w:tcPr>
            <w:tcW w:w="0" w:type="auto"/>
            <w:hideMark/>
          </w:tcPr>
          <w:p w14:paraId="1FFED3E8"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Haeri et al. (2025)</w:t>
            </w:r>
          </w:p>
        </w:tc>
        <w:tc>
          <w:tcPr>
            <w:tcW w:w="0" w:type="auto"/>
            <w:hideMark/>
          </w:tcPr>
          <w:p w14:paraId="0E1425F4"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Domain-specific embeddings (</w:t>
            </w:r>
            <w:proofErr w:type="spellStart"/>
            <w:r w:rsidRPr="005D7A60">
              <w:rPr>
                <w:rFonts w:ascii="Times New Roman" w:hAnsi="Times New Roman"/>
                <w:sz w:val="18"/>
                <w:szCs w:val="18"/>
                <w:lang w:val="en-IN"/>
              </w:rPr>
              <w:t>RiskEmbed</w:t>
            </w:r>
            <w:proofErr w:type="spellEnd"/>
            <w:r w:rsidRPr="005D7A60">
              <w:rPr>
                <w:rFonts w:ascii="Times New Roman" w:hAnsi="Times New Roman"/>
                <w:sz w:val="18"/>
                <w:szCs w:val="18"/>
                <w:lang w:val="en-IN"/>
              </w:rPr>
              <w:t>)</w:t>
            </w:r>
          </w:p>
        </w:tc>
        <w:tc>
          <w:tcPr>
            <w:tcW w:w="0" w:type="auto"/>
            <w:hideMark/>
          </w:tcPr>
          <w:p w14:paraId="3600BDBC"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Finetuned SBERT</w:t>
            </w:r>
          </w:p>
        </w:tc>
        <w:tc>
          <w:tcPr>
            <w:tcW w:w="0" w:type="auto"/>
            <w:hideMark/>
          </w:tcPr>
          <w:p w14:paraId="557BA2B2"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94 OSFI regulatory guidelines (1991–2024)</w:t>
            </w:r>
          </w:p>
        </w:tc>
        <w:tc>
          <w:tcPr>
            <w:tcW w:w="0" w:type="auto"/>
            <w:hideMark/>
          </w:tcPr>
          <w:p w14:paraId="031D78DC"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Improved regulatory QA retrieval accuracy</w:t>
            </w:r>
          </w:p>
        </w:tc>
      </w:tr>
      <w:tr w:rsidR="00470E90" w:rsidRPr="005D7A60" w14:paraId="5369B547" w14:textId="77777777" w:rsidTr="000B5CCE">
        <w:tc>
          <w:tcPr>
            <w:tcW w:w="0" w:type="auto"/>
            <w:hideMark/>
          </w:tcPr>
          <w:p w14:paraId="7CC7FDA0"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Joshi (2025)</w:t>
            </w:r>
          </w:p>
        </w:tc>
        <w:tc>
          <w:tcPr>
            <w:tcW w:w="0" w:type="auto"/>
            <w:hideMark/>
          </w:tcPr>
          <w:p w14:paraId="1F59CF06"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End-to-end GenAI regulatory architecture</w:t>
            </w:r>
          </w:p>
        </w:tc>
        <w:tc>
          <w:tcPr>
            <w:tcW w:w="0" w:type="auto"/>
            <w:hideMark/>
          </w:tcPr>
          <w:p w14:paraId="5367E23C"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Transformers + workflow integration</w:t>
            </w:r>
          </w:p>
        </w:tc>
        <w:tc>
          <w:tcPr>
            <w:tcW w:w="0" w:type="auto"/>
            <w:hideMark/>
          </w:tcPr>
          <w:p w14:paraId="535EF575"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Literature + industry pipelines</w:t>
            </w:r>
          </w:p>
        </w:tc>
        <w:tc>
          <w:tcPr>
            <w:tcW w:w="0" w:type="auto"/>
            <w:hideMark/>
          </w:tcPr>
          <w:p w14:paraId="7CFB654A" w14:textId="77777777" w:rsidR="00470E90" w:rsidRPr="005D7A60" w:rsidRDefault="00470E90" w:rsidP="000B5CCE">
            <w:pPr>
              <w:tabs>
                <w:tab w:val="left" w:pos="142"/>
              </w:tabs>
              <w:rPr>
                <w:rFonts w:ascii="Times New Roman" w:hAnsi="Times New Roman"/>
                <w:sz w:val="18"/>
                <w:szCs w:val="18"/>
                <w:lang w:val="en-IN"/>
              </w:rPr>
            </w:pPr>
            <w:r w:rsidRPr="005D7A60">
              <w:rPr>
                <w:rFonts w:ascii="Times New Roman" w:hAnsi="Times New Roman"/>
                <w:sz w:val="18"/>
                <w:szCs w:val="18"/>
                <w:lang w:val="en-IN"/>
              </w:rPr>
              <w:t>Blueprint for integrating LLMs in risk management</w:t>
            </w:r>
          </w:p>
        </w:tc>
      </w:tr>
    </w:tbl>
    <w:p w14:paraId="07505177" w14:textId="77777777" w:rsidR="00717C76" w:rsidRPr="005D7A60" w:rsidRDefault="00717C76" w:rsidP="00173853">
      <w:pPr>
        <w:tabs>
          <w:tab w:val="left" w:pos="142"/>
        </w:tabs>
        <w:rPr>
          <w:rFonts w:ascii="Times New Roman" w:hAnsi="Times New Roman"/>
          <w:lang w:val="en-IN"/>
        </w:rPr>
      </w:pPr>
    </w:p>
    <w:p w14:paraId="4E729AB6" w14:textId="29AD3C90" w:rsidR="00E45ABF" w:rsidRPr="005D7A60" w:rsidRDefault="00E45ABF" w:rsidP="00173853">
      <w:pPr>
        <w:tabs>
          <w:tab w:val="left" w:pos="142"/>
        </w:tabs>
        <w:rPr>
          <w:rFonts w:ascii="Times New Roman" w:hAnsi="Times New Roman"/>
          <w:b/>
          <w:bCs/>
        </w:rPr>
      </w:pPr>
      <w:r w:rsidRPr="005D7A60">
        <w:rPr>
          <w:rFonts w:ascii="Times New Roman" w:hAnsi="Times New Roman"/>
          <w:b/>
          <w:bCs/>
        </w:rPr>
        <w:t>Empirical Literature on AI-Enabled Credit Risk Management and Basel Compliance</w:t>
      </w:r>
    </w:p>
    <w:p w14:paraId="32B50F6F" w14:textId="77777777" w:rsidR="005D2595" w:rsidRPr="005D7A60" w:rsidRDefault="005D2595" w:rsidP="00173853">
      <w:pPr>
        <w:tabs>
          <w:tab w:val="left" w:pos="142"/>
        </w:tabs>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5"/>
        <w:gridCol w:w="1541"/>
        <w:gridCol w:w="1914"/>
        <w:gridCol w:w="2034"/>
        <w:gridCol w:w="2916"/>
        <w:gridCol w:w="2996"/>
      </w:tblGrid>
      <w:tr w:rsidR="00C20EFB" w:rsidRPr="005D7A60" w14:paraId="59B67C9F" w14:textId="77777777" w:rsidTr="006C73CF">
        <w:tc>
          <w:tcPr>
            <w:tcW w:w="0" w:type="auto"/>
            <w:hideMark/>
          </w:tcPr>
          <w:p w14:paraId="2B702209" w14:textId="77777777" w:rsidR="007C1F9E" w:rsidRPr="005D7A60" w:rsidRDefault="007C1F9E">
            <w:pPr>
              <w:tabs>
                <w:tab w:val="left" w:pos="142"/>
              </w:tabs>
              <w:rPr>
                <w:rFonts w:ascii="Times New Roman" w:hAnsi="Times New Roman"/>
                <w:b/>
                <w:bCs/>
                <w:sz w:val="18"/>
                <w:szCs w:val="18"/>
                <w:lang w:val="en-IN"/>
              </w:rPr>
            </w:pPr>
            <w:r w:rsidRPr="005D7A60">
              <w:rPr>
                <w:rFonts w:ascii="Times New Roman" w:hAnsi="Times New Roman"/>
                <w:b/>
                <w:bCs/>
                <w:sz w:val="18"/>
                <w:szCs w:val="18"/>
                <w:lang w:val="en-IN"/>
              </w:rPr>
              <w:t>Author (Year)</w:t>
            </w:r>
          </w:p>
        </w:tc>
        <w:tc>
          <w:tcPr>
            <w:tcW w:w="0" w:type="auto"/>
            <w:hideMark/>
          </w:tcPr>
          <w:p w14:paraId="07D683BF" w14:textId="77777777" w:rsidR="007C1F9E" w:rsidRPr="005D7A60" w:rsidRDefault="007C1F9E">
            <w:pPr>
              <w:tabs>
                <w:tab w:val="left" w:pos="142"/>
              </w:tabs>
              <w:rPr>
                <w:rFonts w:ascii="Times New Roman" w:hAnsi="Times New Roman"/>
                <w:b/>
                <w:bCs/>
                <w:sz w:val="18"/>
                <w:szCs w:val="18"/>
                <w:lang w:val="en-IN"/>
              </w:rPr>
            </w:pPr>
            <w:r w:rsidRPr="005D7A60">
              <w:rPr>
                <w:rFonts w:ascii="Times New Roman" w:hAnsi="Times New Roman"/>
                <w:b/>
                <w:bCs/>
                <w:sz w:val="18"/>
                <w:szCs w:val="18"/>
                <w:lang w:val="en-IN"/>
              </w:rPr>
              <w:t>Country</w:t>
            </w:r>
          </w:p>
        </w:tc>
        <w:tc>
          <w:tcPr>
            <w:tcW w:w="0" w:type="auto"/>
            <w:hideMark/>
          </w:tcPr>
          <w:p w14:paraId="4B88ED02" w14:textId="77777777" w:rsidR="007C1F9E" w:rsidRPr="005D7A60" w:rsidRDefault="007C1F9E">
            <w:pPr>
              <w:tabs>
                <w:tab w:val="left" w:pos="142"/>
              </w:tabs>
              <w:rPr>
                <w:rFonts w:ascii="Times New Roman" w:hAnsi="Times New Roman"/>
                <w:b/>
                <w:bCs/>
                <w:sz w:val="18"/>
                <w:szCs w:val="18"/>
                <w:lang w:val="en-IN"/>
              </w:rPr>
            </w:pPr>
            <w:r w:rsidRPr="005D7A60">
              <w:rPr>
                <w:rFonts w:ascii="Times New Roman" w:hAnsi="Times New Roman"/>
                <w:b/>
                <w:bCs/>
                <w:sz w:val="18"/>
                <w:szCs w:val="18"/>
                <w:lang w:val="en-IN"/>
              </w:rPr>
              <w:t>Data</w:t>
            </w:r>
          </w:p>
        </w:tc>
        <w:tc>
          <w:tcPr>
            <w:tcW w:w="0" w:type="auto"/>
            <w:hideMark/>
          </w:tcPr>
          <w:p w14:paraId="5EF94F86" w14:textId="77777777" w:rsidR="007C1F9E" w:rsidRPr="005D7A60" w:rsidRDefault="007C1F9E">
            <w:pPr>
              <w:tabs>
                <w:tab w:val="left" w:pos="142"/>
              </w:tabs>
              <w:rPr>
                <w:rFonts w:ascii="Times New Roman" w:hAnsi="Times New Roman"/>
                <w:b/>
                <w:bCs/>
                <w:sz w:val="18"/>
                <w:szCs w:val="18"/>
                <w:lang w:val="en-IN"/>
              </w:rPr>
            </w:pPr>
            <w:r w:rsidRPr="005D7A60">
              <w:rPr>
                <w:rFonts w:ascii="Times New Roman" w:hAnsi="Times New Roman"/>
                <w:b/>
                <w:bCs/>
                <w:sz w:val="18"/>
                <w:szCs w:val="18"/>
                <w:lang w:val="en-IN"/>
              </w:rPr>
              <w:t>Methodology</w:t>
            </w:r>
          </w:p>
        </w:tc>
        <w:tc>
          <w:tcPr>
            <w:tcW w:w="0" w:type="auto"/>
            <w:hideMark/>
          </w:tcPr>
          <w:p w14:paraId="1D6CB3CE" w14:textId="77777777" w:rsidR="007C1F9E" w:rsidRPr="005D7A60" w:rsidRDefault="007C1F9E">
            <w:pPr>
              <w:tabs>
                <w:tab w:val="left" w:pos="142"/>
              </w:tabs>
              <w:rPr>
                <w:rFonts w:ascii="Times New Roman" w:hAnsi="Times New Roman"/>
                <w:b/>
                <w:bCs/>
                <w:sz w:val="18"/>
                <w:szCs w:val="18"/>
                <w:lang w:val="en-IN"/>
              </w:rPr>
            </w:pPr>
            <w:r w:rsidRPr="005D7A60">
              <w:rPr>
                <w:rFonts w:ascii="Times New Roman" w:hAnsi="Times New Roman"/>
                <w:b/>
                <w:bCs/>
                <w:sz w:val="18"/>
                <w:szCs w:val="18"/>
                <w:lang w:val="en-IN"/>
              </w:rPr>
              <w:t>Results / Evaluation</w:t>
            </w:r>
          </w:p>
        </w:tc>
        <w:tc>
          <w:tcPr>
            <w:tcW w:w="0" w:type="auto"/>
            <w:hideMark/>
          </w:tcPr>
          <w:p w14:paraId="6E3A9D6E" w14:textId="77777777" w:rsidR="007C1F9E" w:rsidRPr="005D7A60" w:rsidRDefault="007C1F9E">
            <w:pPr>
              <w:tabs>
                <w:tab w:val="left" w:pos="142"/>
              </w:tabs>
              <w:rPr>
                <w:rFonts w:ascii="Times New Roman" w:hAnsi="Times New Roman"/>
                <w:b/>
                <w:bCs/>
                <w:sz w:val="18"/>
                <w:szCs w:val="18"/>
                <w:lang w:val="en-IN"/>
              </w:rPr>
            </w:pPr>
            <w:r w:rsidRPr="005D7A60">
              <w:rPr>
                <w:rFonts w:ascii="Times New Roman" w:hAnsi="Times New Roman"/>
                <w:b/>
                <w:bCs/>
                <w:sz w:val="18"/>
                <w:szCs w:val="18"/>
                <w:lang w:val="en-IN"/>
              </w:rPr>
              <w:t>Contribution (Empirical Evidence)</w:t>
            </w:r>
          </w:p>
        </w:tc>
      </w:tr>
      <w:tr w:rsidR="00C20EFB" w:rsidRPr="005D7A60" w14:paraId="661ACEC5" w14:textId="77777777" w:rsidTr="006C73CF">
        <w:tc>
          <w:tcPr>
            <w:tcW w:w="0" w:type="auto"/>
            <w:hideMark/>
          </w:tcPr>
          <w:p w14:paraId="48D7BCBF"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Altman et al. (1994)</w:t>
            </w:r>
          </w:p>
        </w:tc>
        <w:tc>
          <w:tcPr>
            <w:tcW w:w="0" w:type="auto"/>
            <w:hideMark/>
          </w:tcPr>
          <w:p w14:paraId="1770D530"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Italy</w:t>
            </w:r>
          </w:p>
        </w:tc>
        <w:tc>
          <w:tcPr>
            <w:tcW w:w="0" w:type="auto"/>
            <w:hideMark/>
          </w:tcPr>
          <w:p w14:paraId="5EAF5832"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Corporate firms (proprietary)</w:t>
            </w:r>
          </w:p>
        </w:tc>
        <w:tc>
          <w:tcPr>
            <w:tcW w:w="0" w:type="auto"/>
            <w:hideMark/>
          </w:tcPr>
          <w:p w14:paraId="07D75421"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Discriminant, logit, neural networks</w:t>
            </w:r>
          </w:p>
        </w:tc>
        <w:tc>
          <w:tcPr>
            <w:tcW w:w="0" w:type="auto"/>
            <w:hideMark/>
          </w:tcPr>
          <w:p w14:paraId="6AC320EB"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Accuracy and misclassification rates compared; NNs slightly better but unstable</w:t>
            </w:r>
          </w:p>
        </w:tc>
        <w:tc>
          <w:tcPr>
            <w:tcW w:w="0" w:type="auto"/>
            <w:hideMark/>
          </w:tcPr>
          <w:p w14:paraId="5AD2DAA5"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First empirical comparison of statistical vs NN models in bankruptcy prediction</w:t>
            </w:r>
          </w:p>
        </w:tc>
      </w:tr>
      <w:tr w:rsidR="00C20EFB" w:rsidRPr="005D7A60" w14:paraId="18842D96" w14:textId="77777777" w:rsidTr="006C73CF">
        <w:tc>
          <w:tcPr>
            <w:tcW w:w="0" w:type="auto"/>
            <w:hideMark/>
          </w:tcPr>
          <w:p w14:paraId="2D7B4BCF"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Gupton, Gates &amp; Carty (2000)</w:t>
            </w:r>
          </w:p>
        </w:tc>
        <w:tc>
          <w:tcPr>
            <w:tcW w:w="0" w:type="auto"/>
            <w:hideMark/>
          </w:tcPr>
          <w:p w14:paraId="6E1821C8"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U.S.</w:t>
            </w:r>
          </w:p>
        </w:tc>
        <w:tc>
          <w:tcPr>
            <w:tcW w:w="0" w:type="auto"/>
            <w:hideMark/>
          </w:tcPr>
          <w:p w14:paraId="2ED4F0D7"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Moody’s LGD Recovery Database</w:t>
            </w:r>
          </w:p>
        </w:tc>
        <w:tc>
          <w:tcPr>
            <w:tcW w:w="0" w:type="auto"/>
            <w:hideMark/>
          </w:tcPr>
          <w:p w14:paraId="3A283342"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Statistical models for LGD</w:t>
            </w:r>
          </w:p>
        </w:tc>
        <w:tc>
          <w:tcPr>
            <w:tcW w:w="0" w:type="auto"/>
            <w:hideMark/>
          </w:tcPr>
          <w:p w14:paraId="33434BEF"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RMSE, explanatory power of collateral variables</w:t>
            </w:r>
          </w:p>
        </w:tc>
        <w:tc>
          <w:tcPr>
            <w:tcW w:w="0" w:type="auto"/>
            <w:hideMark/>
          </w:tcPr>
          <w:p w14:paraId="37C4EB50"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Provided one of the first large-sample LGD modelling studies under Basel II context</w:t>
            </w:r>
          </w:p>
        </w:tc>
      </w:tr>
      <w:tr w:rsidR="00C20EFB" w:rsidRPr="005D7A60" w14:paraId="101EE7E5" w14:textId="77777777" w:rsidTr="006C73CF">
        <w:tc>
          <w:tcPr>
            <w:tcW w:w="0" w:type="auto"/>
            <w:hideMark/>
          </w:tcPr>
          <w:p w14:paraId="21D59EF2"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Malhotra &amp; Malhotra (2003)</w:t>
            </w:r>
          </w:p>
        </w:tc>
        <w:tc>
          <w:tcPr>
            <w:tcW w:w="0" w:type="auto"/>
            <w:hideMark/>
          </w:tcPr>
          <w:p w14:paraId="1B3F8062"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International (German Credit)</w:t>
            </w:r>
          </w:p>
        </w:tc>
        <w:tc>
          <w:tcPr>
            <w:tcW w:w="0" w:type="auto"/>
            <w:hideMark/>
          </w:tcPr>
          <w:p w14:paraId="6E2CFA9A"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German credit dataset (UCI)</w:t>
            </w:r>
          </w:p>
        </w:tc>
        <w:tc>
          <w:tcPr>
            <w:tcW w:w="0" w:type="auto"/>
            <w:hideMark/>
          </w:tcPr>
          <w:p w14:paraId="4E96DF54"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Neural networks vs logit</w:t>
            </w:r>
          </w:p>
        </w:tc>
        <w:tc>
          <w:tcPr>
            <w:tcW w:w="0" w:type="auto"/>
            <w:hideMark/>
          </w:tcPr>
          <w:p w14:paraId="0D027D40"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Accuracy, ROC curves</w:t>
            </w:r>
          </w:p>
        </w:tc>
        <w:tc>
          <w:tcPr>
            <w:tcW w:w="0" w:type="auto"/>
            <w:hideMark/>
          </w:tcPr>
          <w:p w14:paraId="338BAAA9"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Demonstrated NN modestly outperformed logit; introduced UCI data into benchmarking</w:t>
            </w:r>
          </w:p>
        </w:tc>
      </w:tr>
      <w:tr w:rsidR="00C20EFB" w:rsidRPr="005D7A60" w14:paraId="364D1EDD" w14:textId="77777777" w:rsidTr="006C73CF">
        <w:tc>
          <w:tcPr>
            <w:tcW w:w="0" w:type="auto"/>
            <w:hideMark/>
          </w:tcPr>
          <w:p w14:paraId="0CB2EF25"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Bastos (2008)</w:t>
            </w:r>
          </w:p>
        </w:tc>
        <w:tc>
          <w:tcPr>
            <w:tcW w:w="0" w:type="auto"/>
            <w:hideMark/>
          </w:tcPr>
          <w:p w14:paraId="478D25B3"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Portugal</w:t>
            </w:r>
          </w:p>
        </w:tc>
        <w:tc>
          <w:tcPr>
            <w:tcW w:w="0" w:type="auto"/>
            <w:hideMark/>
          </w:tcPr>
          <w:p w14:paraId="0CEC13E8"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Retail bank consumer loans</w:t>
            </w:r>
          </w:p>
        </w:tc>
        <w:tc>
          <w:tcPr>
            <w:tcW w:w="0" w:type="auto"/>
            <w:hideMark/>
          </w:tcPr>
          <w:p w14:paraId="57C45085"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Logistic regression, decision trees, boosted trees</w:t>
            </w:r>
          </w:p>
        </w:tc>
        <w:tc>
          <w:tcPr>
            <w:tcW w:w="0" w:type="auto"/>
            <w:hideMark/>
          </w:tcPr>
          <w:p w14:paraId="2151E2B9"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ROC-AUC, KS statistic</w:t>
            </w:r>
          </w:p>
        </w:tc>
        <w:tc>
          <w:tcPr>
            <w:tcW w:w="0" w:type="auto"/>
            <w:hideMark/>
          </w:tcPr>
          <w:p w14:paraId="5D7395F7"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Boosted trees outperformed traditional models in retail credit scoring</w:t>
            </w:r>
          </w:p>
        </w:tc>
      </w:tr>
      <w:tr w:rsidR="00C20EFB" w:rsidRPr="005D7A60" w14:paraId="1B343F3E" w14:textId="77777777" w:rsidTr="006C73CF">
        <w:tc>
          <w:tcPr>
            <w:tcW w:w="0" w:type="auto"/>
            <w:hideMark/>
          </w:tcPr>
          <w:p w14:paraId="47A5E0F9"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Bellotti &amp; Crook (2009)</w:t>
            </w:r>
          </w:p>
        </w:tc>
        <w:tc>
          <w:tcPr>
            <w:tcW w:w="0" w:type="auto"/>
            <w:hideMark/>
          </w:tcPr>
          <w:p w14:paraId="41B47E62"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U.K.</w:t>
            </w:r>
          </w:p>
        </w:tc>
        <w:tc>
          <w:tcPr>
            <w:tcW w:w="0" w:type="auto"/>
            <w:hideMark/>
          </w:tcPr>
          <w:p w14:paraId="44614BD8"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Credit card portfolio</w:t>
            </w:r>
          </w:p>
        </w:tc>
        <w:tc>
          <w:tcPr>
            <w:tcW w:w="0" w:type="auto"/>
            <w:hideMark/>
          </w:tcPr>
          <w:p w14:paraId="63A779EE"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Survival analysis + ML</w:t>
            </w:r>
          </w:p>
        </w:tc>
        <w:tc>
          <w:tcPr>
            <w:tcW w:w="0" w:type="auto"/>
            <w:hideMark/>
          </w:tcPr>
          <w:p w14:paraId="2AFD7ED9"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Time-to-default models evaluated with log-likelihood &amp; ROC</w:t>
            </w:r>
          </w:p>
        </w:tc>
        <w:tc>
          <w:tcPr>
            <w:tcW w:w="0" w:type="auto"/>
            <w:hideMark/>
          </w:tcPr>
          <w:p w14:paraId="59F80713"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Showed dynamic default modelling improves over static PD</w:t>
            </w:r>
          </w:p>
        </w:tc>
      </w:tr>
      <w:tr w:rsidR="00C20EFB" w:rsidRPr="005D7A60" w14:paraId="5E806274" w14:textId="77777777" w:rsidTr="006C73CF">
        <w:tc>
          <w:tcPr>
            <w:tcW w:w="0" w:type="auto"/>
            <w:hideMark/>
          </w:tcPr>
          <w:p w14:paraId="3E6AF11C" w14:textId="77777777" w:rsidR="007C1F9E" w:rsidRPr="005D7A60" w:rsidRDefault="007C1F9E">
            <w:pPr>
              <w:tabs>
                <w:tab w:val="left" w:pos="142"/>
              </w:tabs>
              <w:rPr>
                <w:rFonts w:ascii="Times New Roman" w:hAnsi="Times New Roman"/>
                <w:sz w:val="18"/>
                <w:szCs w:val="18"/>
                <w:lang w:val="en-IN"/>
              </w:rPr>
            </w:pPr>
            <w:proofErr w:type="spellStart"/>
            <w:r w:rsidRPr="005D7A60">
              <w:rPr>
                <w:rFonts w:ascii="Times New Roman" w:hAnsi="Times New Roman"/>
                <w:sz w:val="18"/>
                <w:szCs w:val="18"/>
                <w:lang w:val="en-IN"/>
              </w:rPr>
              <w:t>Butaru</w:t>
            </w:r>
            <w:proofErr w:type="spellEnd"/>
            <w:r w:rsidRPr="005D7A60">
              <w:rPr>
                <w:rFonts w:ascii="Times New Roman" w:hAnsi="Times New Roman"/>
                <w:sz w:val="18"/>
                <w:szCs w:val="18"/>
                <w:lang w:val="en-IN"/>
              </w:rPr>
              <w:t xml:space="preserve"> et al. (2016)</w:t>
            </w:r>
          </w:p>
        </w:tc>
        <w:tc>
          <w:tcPr>
            <w:tcW w:w="0" w:type="auto"/>
            <w:hideMark/>
          </w:tcPr>
          <w:p w14:paraId="27B092DE"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U.S.</w:t>
            </w:r>
          </w:p>
        </w:tc>
        <w:tc>
          <w:tcPr>
            <w:tcW w:w="0" w:type="auto"/>
            <w:hideMark/>
          </w:tcPr>
          <w:p w14:paraId="3BFF245E"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Loan-level portfolio (proprietary)</w:t>
            </w:r>
          </w:p>
        </w:tc>
        <w:tc>
          <w:tcPr>
            <w:tcW w:w="0" w:type="auto"/>
            <w:hideMark/>
          </w:tcPr>
          <w:p w14:paraId="4622FC32"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RF, Gradient Boosted Trees</w:t>
            </w:r>
          </w:p>
        </w:tc>
        <w:tc>
          <w:tcPr>
            <w:tcW w:w="0" w:type="auto"/>
            <w:hideMark/>
          </w:tcPr>
          <w:p w14:paraId="4731E008"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ROC-AUC ~0.85, accuracy gains vs logit</w:t>
            </w:r>
          </w:p>
        </w:tc>
        <w:tc>
          <w:tcPr>
            <w:tcW w:w="0" w:type="auto"/>
            <w:hideMark/>
          </w:tcPr>
          <w:p w14:paraId="5F6C72E3"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Demonstrated portfolio-level improvements from ML on large datasets</w:t>
            </w:r>
          </w:p>
        </w:tc>
      </w:tr>
      <w:tr w:rsidR="00C20EFB" w:rsidRPr="005D7A60" w14:paraId="37697A94" w14:textId="77777777" w:rsidTr="006C73CF">
        <w:tc>
          <w:tcPr>
            <w:tcW w:w="0" w:type="auto"/>
            <w:hideMark/>
          </w:tcPr>
          <w:p w14:paraId="7E4DDCDF"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Dawood et al. (2019)</w:t>
            </w:r>
          </w:p>
        </w:tc>
        <w:tc>
          <w:tcPr>
            <w:tcW w:w="0" w:type="auto"/>
            <w:hideMark/>
          </w:tcPr>
          <w:p w14:paraId="0C1F43F6"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U.S./EU</w:t>
            </w:r>
          </w:p>
        </w:tc>
        <w:tc>
          <w:tcPr>
            <w:tcW w:w="0" w:type="auto"/>
            <w:hideMark/>
          </w:tcPr>
          <w:p w14:paraId="267EEC0A"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Bank portfolios</w:t>
            </w:r>
          </w:p>
        </w:tc>
        <w:tc>
          <w:tcPr>
            <w:tcW w:w="0" w:type="auto"/>
            <w:hideMark/>
          </w:tcPr>
          <w:p w14:paraId="6E3213E5"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Hybrid ML</w:t>
            </w:r>
          </w:p>
        </w:tc>
        <w:tc>
          <w:tcPr>
            <w:tcW w:w="0" w:type="auto"/>
            <w:hideMark/>
          </w:tcPr>
          <w:p w14:paraId="12323759"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ROC, precision-recall</w:t>
            </w:r>
          </w:p>
        </w:tc>
        <w:tc>
          <w:tcPr>
            <w:tcW w:w="0" w:type="auto"/>
            <w:hideMark/>
          </w:tcPr>
          <w:p w14:paraId="2B820E40"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Hybrid models enhanced early-</w:t>
            </w:r>
            <w:r w:rsidRPr="005D7A60">
              <w:rPr>
                <w:rFonts w:ascii="Times New Roman" w:hAnsi="Times New Roman"/>
                <w:sz w:val="18"/>
                <w:szCs w:val="18"/>
                <w:lang w:val="en-IN"/>
              </w:rPr>
              <w:lastRenderedPageBreak/>
              <w:t>warning signals of credit deterioration</w:t>
            </w:r>
          </w:p>
        </w:tc>
      </w:tr>
      <w:tr w:rsidR="00C20EFB" w:rsidRPr="005D7A60" w14:paraId="398E8D23" w14:textId="77777777" w:rsidTr="006C73CF">
        <w:tc>
          <w:tcPr>
            <w:tcW w:w="0" w:type="auto"/>
            <w:hideMark/>
          </w:tcPr>
          <w:p w14:paraId="6490449F"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lastRenderedPageBreak/>
              <w:t>Sirignano, Sadhwani &amp; Giesecke (2018)</w:t>
            </w:r>
          </w:p>
        </w:tc>
        <w:tc>
          <w:tcPr>
            <w:tcW w:w="0" w:type="auto"/>
            <w:hideMark/>
          </w:tcPr>
          <w:p w14:paraId="0DA58532"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U.S.</w:t>
            </w:r>
          </w:p>
        </w:tc>
        <w:tc>
          <w:tcPr>
            <w:tcW w:w="0" w:type="auto"/>
            <w:hideMark/>
          </w:tcPr>
          <w:p w14:paraId="21F38531" w14:textId="77777777" w:rsidR="007C1F9E" w:rsidRPr="005D7A60" w:rsidRDefault="007C1F9E">
            <w:pPr>
              <w:tabs>
                <w:tab w:val="left" w:pos="142"/>
              </w:tabs>
              <w:rPr>
                <w:rFonts w:ascii="Times New Roman" w:hAnsi="Times New Roman"/>
                <w:sz w:val="18"/>
                <w:szCs w:val="18"/>
                <w:lang w:val="en-IN"/>
              </w:rPr>
            </w:pPr>
            <w:proofErr w:type="spellStart"/>
            <w:r w:rsidRPr="005D7A60">
              <w:rPr>
                <w:rFonts w:ascii="Times New Roman" w:hAnsi="Times New Roman"/>
                <w:sz w:val="18"/>
                <w:szCs w:val="18"/>
                <w:lang w:val="en-IN"/>
              </w:rPr>
              <w:t>LendingClub</w:t>
            </w:r>
            <w:proofErr w:type="spellEnd"/>
            <w:r w:rsidRPr="005D7A60">
              <w:rPr>
                <w:rFonts w:ascii="Times New Roman" w:hAnsi="Times New Roman"/>
                <w:sz w:val="18"/>
                <w:szCs w:val="18"/>
                <w:lang w:val="en-IN"/>
              </w:rPr>
              <w:t xml:space="preserve"> loans (millions)</w:t>
            </w:r>
          </w:p>
        </w:tc>
        <w:tc>
          <w:tcPr>
            <w:tcW w:w="0" w:type="auto"/>
            <w:hideMark/>
          </w:tcPr>
          <w:p w14:paraId="16495ADB"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Deep learning (feedforward NN)</w:t>
            </w:r>
          </w:p>
        </w:tc>
        <w:tc>
          <w:tcPr>
            <w:tcW w:w="0" w:type="auto"/>
            <w:hideMark/>
          </w:tcPr>
          <w:p w14:paraId="172F43ED"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ROC-AUC, log-loss</w:t>
            </w:r>
          </w:p>
        </w:tc>
        <w:tc>
          <w:tcPr>
            <w:tcW w:w="0" w:type="auto"/>
            <w:hideMark/>
          </w:tcPr>
          <w:p w14:paraId="0B4D8FB3"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Large-scale DL applied to P2P lending; significant improvement over logistic regression</w:t>
            </w:r>
          </w:p>
        </w:tc>
      </w:tr>
      <w:tr w:rsidR="00C20EFB" w:rsidRPr="005D7A60" w14:paraId="45A9EDD7" w14:textId="77777777" w:rsidTr="006C73CF">
        <w:tc>
          <w:tcPr>
            <w:tcW w:w="0" w:type="auto"/>
            <w:hideMark/>
          </w:tcPr>
          <w:p w14:paraId="2CC939A7" w14:textId="3A83D06B" w:rsidR="007C1F9E" w:rsidRPr="005D7A60" w:rsidRDefault="000D1769">
            <w:pPr>
              <w:tabs>
                <w:tab w:val="left" w:pos="142"/>
              </w:tabs>
              <w:rPr>
                <w:rFonts w:ascii="Times New Roman" w:hAnsi="Times New Roman"/>
                <w:sz w:val="18"/>
                <w:szCs w:val="18"/>
                <w:lang w:val="en-IN"/>
              </w:rPr>
            </w:pPr>
            <w:proofErr w:type="spellStart"/>
            <w:r w:rsidRPr="005D7A60">
              <w:rPr>
                <w:rFonts w:ascii="Times New Roman" w:hAnsi="Times New Roman"/>
                <w:sz w:val="18"/>
                <w:szCs w:val="18"/>
                <w:lang w:val="en-IN"/>
              </w:rPr>
              <w:t>w</w:t>
            </w:r>
            <w:r w:rsidR="007C1F9E" w:rsidRPr="005D7A60">
              <w:rPr>
                <w:rFonts w:ascii="Times New Roman" w:hAnsi="Times New Roman"/>
                <w:sz w:val="18"/>
                <w:szCs w:val="18"/>
                <w:lang w:val="en-IN"/>
              </w:rPr>
              <w:t>Ramappa</w:t>
            </w:r>
            <w:proofErr w:type="spellEnd"/>
            <w:r w:rsidR="007C1F9E" w:rsidRPr="005D7A60">
              <w:rPr>
                <w:rFonts w:ascii="Times New Roman" w:hAnsi="Times New Roman"/>
                <w:sz w:val="18"/>
                <w:szCs w:val="18"/>
                <w:lang w:val="en-IN"/>
              </w:rPr>
              <w:t xml:space="preserve"> (2019)</w:t>
            </w:r>
          </w:p>
        </w:tc>
        <w:tc>
          <w:tcPr>
            <w:tcW w:w="0" w:type="auto"/>
            <w:hideMark/>
          </w:tcPr>
          <w:p w14:paraId="3EB58F83"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India</w:t>
            </w:r>
          </w:p>
        </w:tc>
        <w:tc>
          <w:tcPr>
            <w:tcW w:w="0" w:type="auto"/>
            <w:hideMark/>
          </w:tcPr>
          <w:p w14:paraId="564F783E"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Indian banking datasets</w:t>
            </w:r>
          </w:p>
        </w:tc>
        <w:tc>
          <w:tcPr>
            <w:tcW w:w="0" w:type="auto"/>
            <w:hideMark/>
          </w:tcPr>
          <w:p w14:paraId="41C4D2B1"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Comparative review of scoring models</w:t>
            </w:r>
          </w:p>
        </w:tc>
        <w:tc>
          <w:tcPr>
            <w:tcW w:w="0" w:type="auto"/>
            <w:hideMark/>
          </w:tcPr>
          <w:p w14:paraId="36D3A6EB"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Accuracy comparisons (reported in studies)</w:t>
            </w:r>
          </w:p>
        </w:tc>
        <w:tc>
          <w:tcPr>
            <w:tcW w:w="0" w:type="auto"/>
            <w:hideMark/>
          </w:tcPr>
          <w:p w14:paraId="70B75E4F"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Documented empirical evolution of Indian credit scoring practices</w:t>
            </w:r>
          </w:p>
        </w:tc>
      </w:tr>
      <w:tr w:rsidR="00C20EFB" w:rsidRPr="005D7A60" w14:paraId="7F4AD010" w14:textId="77777777" w:rsidTr="006C73CF">
        <w:tc>
          <w:tcPr>
            <w:tcW w:w="0" w:type="auto"/>
            <w:hideMark/>
          </w:tcPr>
          <w:p w14:paraId="231635BC"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Kumar et al. (2022)</w:t>
            </w:r>
          </w:p>
        </w:tc>
        <w:tc>
          <w:tcPr>
            <w:tcW w:w="0" w:type="auto"/>
            <w:hideMark/>
          </w:tcPr>
          <w:p w14:paraId="261844F7"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India</w:t>
            </w:r>
          </w:p>
        </w:tc>
        <w:tc>
          <w:tcPr>
            <w:tcW w:w="0" w:type="auto"/>
            <w:hideMark/>
          </w:tcPr>
          <w:p w14:paraId="0C1A7F24"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Mortgage dataset</w:t>
            </w:r>
          </w:p>
        </w:tc>
        <w:tc>
          <w:tcPr>
            <w:tcW w:w="0" w:type="auto"/>
            <w:hideMark/>
          </w:tcPr>
          <w:p w14:paraId="6F8C3F86"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 xml:space="preserve">RF, SVM, </w:t>
            </w:r>
            <w:proofErr w:type="spellStart"/>
            <w:r w:rsidRPr="005D7A60">
              <w:rPr>
                <w:rFonts w:ascii="Times New Roman" w:hAnsi="Times New Roman"/>
                <w:sz w:val="18"/>
                <w:szCs w:val="18"/>
                <w:lang w:val="en-IN"/>
              </w:rPr>
              <w:t>XGBoost</w:t>
            </w:r>
            <w:proofErr w:type="spellEnd"/>
          </w:p>
        </w:tc>
        <w:tc>
          <w:tcPr>
            <w:tcW w:w="0" w:type="auto"/>
            <w:hideMark/>
          </w:tcPr>
          <w:p w14:paraId="726DE167"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Accuracy &gt;90%, ROC-AUC higher than logit baseline</w:t>
            </w:r>
          </w:p>
        </w:tc>
        <w:tc>
          <w:tcPr>
            <w:tcW w:w="0" w:type="auto"/>
            <w:hideMark/>
          </w:tcPr>
          <w:p w14:paraId="7C6D11A5"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Demonstrated ML feasibility for Indian mortgage risk</w:t>
            </w:r>
          </w:p>
        </w:tc>
      </w:tr>
      <w:tr w:rsidR="00C20EFB" w:rsidRPr="005D7A60" w14:paraId="63295C8E" w14:textId="77777777" w:rsidTr="006C73CF">
        <w:tc>
          <w:tcPr>
            <w:tcW w:w="0" w:type="auto"/>
            <w:hideMark/>
          </w:tcPr>
          <w:p w14:paraId="741CF005"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Goswami (2022b)</w:t>
            </w:r>
          </w:p>
        </w:tc>
        <w:tc>
          <w:tcPr>
            <w:tcW w:w="0" w:type="auto"/>
            <w:hideMark/>
          </w:tcPr>
          <w:p w14:paraId="1530D38D"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India</w:t>
            </w:r>
          </w:p>
        </w:tc>
        <w:tc>
          <w:tcPr>
            <w:tcW w:w="0" w:type="auto"/>
            <w:hideMark/>
          </w:tcPr>
          <w:p w14:paraId="0D3072B6"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RBI bank-level data</w:t>
            </w:r>
          </w:p>
        </w:tc>
        <w:tc>
          <w:tcPr>
            <w:tcW w:w="0" w:type="auto"/>
            <w:hideMark/>
          </w:tcPr>
          <w:p w14:paraId="16AD6339"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Econometric analysis</w:t>
            </w:r>
          </w:p>
        </w:tc>
        <w:tc>
          <w:tcPr>
            <w:tcW w:w="0" w:type="auto"/>
            <w:hideMark/>
          </w:tcPr>
          <w:p w14:paraId="14C4308A"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NPA persistence tested with regression metrics</w:t>
            </w:r>
          </w:p>
        </w:tc>
        <w:tc>
          <w:tcPr>
            <w:tcW w:w="0" w:type="auto"/>
            <w:hideMark/>
          </w:tcPr>
          <w:p w14:paraId="4586E5C4"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Showed convergence and persistence of NPAs empirically</w:t>
            </w:r>
          </w:p>
        </w:tc>
      </w:tr>
      <w:tr w:rsidR="00C20EFB" w:rsidRPr="005D7A60" w14:paraId="4589AF26" w14:textId="77777777" w:rsidTr="006C73CF">
        <w:tc>
          <w:tcPr>
            <w:tcW w:w="0" w:type="auto"/>
            <w:hideMark/>
          </w:tcPr>
          <w:p w14:paraId="44D090F2" w14:textId="77777777" w:rsidR="007C1F9E" w:rsidRPr="005D7A60" w:rsidRDefault="007C1F9E">
            <w:pPr>
              <w:tabs>
                <w:tab w:val="left" w:pos="142"/>
              </w:tabs>
              <w:rPr>
                <w:rFonts w:ascii="Times New Roman" w:hAnsi="Times New Roman"/>
                <w:sz w:val="18"/>
                <w:szCs w:val="18"/>
                <w:lang w:val="en-IN"/>
              </w:rPr>
            </w:pPr>
            <w:proofErr w:type="spellStart"/>
            <w:r w:rsidRPr="005D7A60">
              <w:rPr>
                <w:rFonts w:ascii="Times New Roman" w:hAnsi="Times New Roman"/>
                <w:sz w:val="18"/>
                <w:szCs w:val="18"/>
                <w:lang w:val="en-IN"/>
              </w:rPr>
              <w:t>Kozodoi</w:t>
            </w:r>
            <w:proofErr w:type="spellEnd"/>
            <w:r w:rsidRPr="005D7A60">
              <w:rPr>
                <w:rFonts w:ascii="Times New Roman" w:hAnsi="Times New Roman"/>
                <w:sz w:val="18"/>
                <w:szCs w:val="18"/>
                <w:lang w:val="en-IN"/>
              </w:rPr>
              <w:t xml:space="preserve"> et al. (2022)</w:t>
            </w:r>
          </w:p>
        </w:tc>
        <w:tc>
          <w:tcPr>
            <w:tcW w:w="0" w:type="auto"/>
            <w:hideMark/>
          </w:tcPr>
          <w:p w14:paraId="10557A32"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Europe</w:t>
            </w:r>
          </w:p>
        </w:tc>
        <w:tc>
          <w:tcPr>
            <w:tcW w:w="0" w:type="auto"/>
            <w:hideMark/>
          </w:tcPr>
          <w:p w14:paraId="3A3D8151"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Consumer lending dataset</w:t>
            </w:r>
          </w:p>
        </w:tc>
        <w:tc>
          <w:tcPr>
            <w:tcW w:w="0" w:type="auto"/>
            <w:hideMark/>
          </w:tcPr>
          <w:p w14:paraId="6496E042"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Gradient boosting + fairness adjustments</w:t>
            </w:r>
          </w:p>
        </w:tc>
        <w:tc>
          <w:tcPr>
            <w:tcW w:w="0" w:type="auto"/>
            <w:hideMark/>
          </w:tcPr>
          <w:p w14:paraId="0B262A08"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ROC-AUC, profit, fairness indices (EO, DP)</w:t>
            </w:r>
          </w:p>
        </w:tc>
        <w:tc>
          <w:tcPr>
            <w:tcW w:w="0" w:type="auto"/>
            <w:hideMark/>
          </w:tcPr>
          <w:p w14:paraId="52273784"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Demonstrated trade-offs between predictive accuracy and fairness</w:t>
            </w:r>
          </w:p>
        </w:tc>
      </w:tr>
      <w:tr w:rsidR="00C20EFB" w:rsidRPr="005D7A60" w14:paraId="441D2D38" w14:textId="77777777" w:rsidTr="006C73CF">
        <w:tc>
          <w:tcPr>
            <w:tcW w:w="0" w:type="auto"/>
            <w:hideMark/>
          </w:tcPr>
          <w:p w14:paraId="4E1129BC"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Ahmed et al. (2023)</w:t>
            </w:r>
          </w:p>
        </w:tc>
        <w:tc>
          <w:tcPr>
            <w:tcW w:w="0" w:type="auto"/>
            <w:hideMark/>
          </w:tcPr>
          <w:p w14:paraId="037ADE7A"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Emerging markets</w:t>
            </w:r>
          </w:p>
        </w:tc>
        <w:tc>
          <w:tcPr>
            <w:tcW w:w="0" w:type="auto"/>
            <w:hideMark/>
          </w:tcPr>
          <w:p w14:paraId="1BB5A53F"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Bank + macroeconomic data</w:t>
            </w:r>
          </w:p>
        </w:tc>
        <w:tc>
          <w:tcPr>
            <w:tcW w:w="0" w:type="auto"/>
            <w:hideMark/>
          </w:tcPr>
          <w:p w14:paraId="22911AD6"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ML + macro integration</w:t>
            </w:r>
          </w:p>
        </w:tc>
        <w:tc>
          <w:tcPr>
            <w:tcW w:w="0" w:type="auto"/>
            <w:hideMark/>
          </w:tcPr>
          <w:p w14:paraId="33BF3904"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ROC, RMSE</w:t>
            </w:r>
          </w:p>
        </w:tc>
        <w:tc>
          <w:tcPr>
            <w:tcW w:w="0" w:type="auto"/>
            <w:hideMark/>
          </w:tcPr>
          <w:p w14:paraId="49FB2DE9"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Linked PD/LGD to macro drivers in EM context</w:t>
            </w:r>
          </w:p>
        </w:tc>
      </w:tr>
      <w:tr w:rsidR="00C20EFB" w:rsidRPr="005D7A60" w14:paraId="1948B66F" w14:textId="77777777" w:rsidTr="006C73CF">
        <w:tc>
          <w:tcPr>
            <w:tcW w:w="0" w:type="auto"/>
            <w:hideMark/>
          </w:tcPr>
          <w:p w14:paraId="2E5C9490"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Charumathi &amp; Thiagarajan (2021)</w:t>
            </w:r>
          </w:p>
        </w:tc>
        <w:tc>
          <w:tcPr>
            <w:tcW w:w="0" w:type="auto"/>
            <w:hideMark/>
          </w:tcPr>
          <w:p w14:paraId="30BC1C46"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India</w:t>
            </w:r>
          </w:p>
        </w:tc>
        <w:tc>
          <w:tcPr>
            <w:tcW w:w="0" w:type="auto"/>
            <w:hideMark/>
          </w:tcPr>
          <w:p w14:paraId="3B95799B"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Debt securities (proprietary)</w:t>
            </w:r>
          </w:p>
        </w:tc>
        <w:tc>
          <w:tcPr>
            <w:tcW w:w="0" w:type="auto"/>
            <w:hideMark/>
          </w:tcPr>
          <w:p w14:paraId="7066F06B"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ANN, SVM, RF</w:t>
            </w:r>
          </w:p>
        </w:tc>
        <w:tc>
          <w:tcPr>
            <w:tcW w:w="0" w:type="auto"/>
            <w:hideMark/>
          </w:tcPr>
          <w:p w14:paraId="38223328"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Accuracy, ROC-AUC</w:t>
            </w:r>
          </w:p>
        </w:tc>
        <w:tc>
          <w:tcPr>
            <w:tcW w:w="0" w:type="auto"/>
            <w:hideMark/>
          </w:tcPr>
          <w:p w14:paraId="131149CB"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Applied ML to Indian debt securities; demonstrated predictive gains</w:t>
            </w:r>
          </w:p>
        </w:tc>
      </w:tr>
      <w:tr w:rsidR="00C20EFB" w:rsidRPr="005D7A60" w14:paraId="54F46165" w14:textId="77777777" w:rsidTr="006C73CF">
        <w:tc>
          <w:tcPr>
            <w:tcW w:w="0" w:type="auto"/>
            <w:hideMark/>
          </w:tcPr>
          <w:p w14:paraId="158B70F5" w14:textId="77777777" w:rsidR="007C1F9E" w:rsidRPr="005D7A60" w:rsidRDefault="007C1F9E">
            <w:pPr>
              <w:tabs>
                <w:tab w:val="left" w:pos="142"/>
              </w:tabs>
              <w:rPr>
                <w:rFonts w:ascii="Times New Roman" w:hAnsi="Times New Roman"/>
                <w:sz w:val="18"/>
                <w:szCs w:val="18"/>
                <w:lang w:val="en-IN"/>
              </w:rPr>
            </w:pPr>
            <w:proofErr w:type="spellStart"/>
            <w:r w:rsidRPr="005D7A60">
              <w:rPr>
                <w:rFonts w:ascii="Times New Roman" w:hAnsi="Times New Roman"/>
                <w:sz w:val="18"/>
                <w:szCs w:val="18"/>
                <w:lang w:val="en-IN"/>
              </w:rPr>
              <w:t>DeRisk</w:t>
            </w:r>
            <w:proofErr w:type="spellEnd"/>
            <w:r w:rsidRPr="005D7A60">
              <w:rPr>
                <w:rFonts w:ascii="Times New Roman" w:hAnsi="Times New Roman"/>
                <w:sz w:val="18"/>
                <w:szCs w:val="18"/>
                <w:lang w:val="en-IN"/>
              </w:rPr>
              <w:t xml:space="preserve"> (2023)</w:t>
            </w:r>
          </w:p>
        </w:tc>
        <w:tc>
          <w:tcPr>
            <w:tcW w:w="0" w:type="auto"/>
            <w:hideMark/>
          </w:tcPr>
          <w:p w14:paraId="21791610"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Global</w:t>
            </w:r>
          </w:p>
        </w:tc>
        <w:tc>
          <w:tcPr>
            <w:tcW w:w="0" w:type="auto"/>
            <w:hideMark/>
          </w:tcPr>
          <w:p w14:paraId="3D5019FC"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Financial datasets (sparse/noisy)</w:t>
            </w:r>
          </w:p>
        </w:tc>
        <w:tc>
          <w:tcPr>
            <w:tcW w:w="0" w:type="auto"/>
            <w:hideMark/>
          </w:tcPr>
          <w:p w14:paraId="4501BEE6"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Deep learning + ablation</w:t>
            </w:r>
          </w:p>
        </w:tc>
        <w:tc>
          <w:tcPr>
            <w:tcW w:w="0" w:type="auto"/>
            <w:hideMark/>
          </w:tcPr>
          <w:p w14:paraId="6F055C09"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ROC-AUC &gt;0.90; outperformed ensembles</w:t>
            </w:r>
          </w:p>
        </w:tc>
        <w:tc>
          <w:tcPr>
            <w:tcW w:w="0" w:type="auto"/>
            <w:hideMark/>
          </w:tcPr>
          <w:p w14:paraId="3BA8C758"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Validated DL in real-world settings, identified key model ingredients</w:t>
            </w:r>
          </w:p>
        </w:tc>
      </w:tr>
      <w:tr w:rsidR="00C20EFB" w:rsidRPr="005D7A60" w14:paraId="08F07E79" w14:textId="77777777" w:rsidTr="006C73CF">
        <w:tc>
          <w:tcPr>
            <w:tcW w:w="0" w:type="auto"/>
            <w:hideMark/>
          </w:tcPr>
          <w:p w14:paraId="3E494525"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Transformer Credit Default (2024)</w:t>
            </w:r>
          </w:p>
        </w:tc>
        <w:tc>
          <w:tcPr>
            <w:tcW w:w="0" w:type="auto"/>
            <w:hideMark/>
          </w:tcPr>
          <w:p w14:paraId="1BEE7409"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Taiwan / global</w:t>
            </w:r>
          </w:p>
        </w:tc>
        <w:tc>
          <w:tcPr>
            <w:tcW w:w="0" w:type="auto"/>
            <w:hideMark/>
          </w:tcPr>
          <w:p w14:paraId="25E63DB6"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Credit card datasets</w:t>
            </w:r>
          </w:p>
        </w:tc>
        <w:tc>
          <w:tcPr>
            <w:tcW w:w="0" w:type="auto"/>
            <w:hideMark/>
          </w:tcPr>
          <w:p w14:paraId="0CDA2AB0"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 xml:space="preserve">Transformer NN vs </w:t>
            </w:r>
            <w:proofErr w:type="spellStart"/>
            <w:r w:rsidRPr="005D7A60">
              <w:rPr>
                <w:rFonts w:ascii="Times New Roman" w:hAnsi="Times New Roman"/>
                <w:sz w:val="18"/>
                <w:szCs w:val="18"/>
                <w:lang w:val="en-IN"/>
              </w:rPr>
              <w:t>LightGBM</w:t>
            </w:r>
            <w:proofErr w:type="spellEnd"/>
          </w:p>
        </w:tc>
        <w:tc>
          <w:tcPr>
            <w:tcW w:w="0" w:type="auto"/>
            <w:hideMark/>
          </w:tcPr>
          <w:p w14:paraId="28A464ED"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Transformer AUC +2–3% vs tree baselines</w:t>
            </w:r>
          </w:p>
        </w:tc>
        <w:tc>
          <w:tcPr>
            <w:tcW w:w="0" w:type="auto"/>
            <w:hideMark/>
          </w:tcPr>
          <w:p w14:paraId="45C09A69"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Showed attention-based models capture temporal repayment sequences</w:t>
            </w:r>
          </w:p>
        </w:tc>
      </w:tr>
      <w:tr w:rsidR="00C20EFB" w:rsidRPr="005D7A60" w14:paraId="6CDB4FD7" w14:textId="77777777" w:rsidTr="006C73CF">
        <w:tc>
          <w:tcPr>
            <w:tcW w:w="0" w:type="auto"/>
            <w:hideMark/>
          </w:tcPr>
          <w:p w14:paraId="0D3090A6"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Goyal (2025)</w:t>
            </w:r>
          </w:p>
        </w:tc>
        <w:tc>
          <w:tcPr>
            <w:tcW w:w="0" w:type="auto"/>
            <w:hideMark/>
          </w:tcPr>
          <w:p w14:paraId="1B29D59F"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India</w:t>
            </w:r>
          </w:p>
        </w:tc>
        <w:tc>
          <w:tcPr>
            <w:tcW w:w="0" w:type="auto"/>
            <w:hideMark/>
          </w:tcPr>
          <w:p w14:paraId="2EF4F9C6"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Indian banks (survey/adoption study)</w:t>
            </w:r>
          </w:p>
        </w:tc>
        <w:tc>
          <w:tcPr>
            <w:tcW w:w="0" w:type="auto"/>
            <w:hideMark/>
          </w:tcPr>
          <w:p w14:paraId="071EDF93"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Empirical adoption analysis</w:t>
            </w:r>
          </w:p>
        </w:tc>
        <w:tc>
          <w:tcPr>
            <w:tcW w:w="0" w:type="auto"/>
            <w:hideMark/>
          </w:tcPr>
          <w:p w14:paraId="4673B82F"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Adoption metrics, qualitative + quantitative</w:t>
            </w:r>
          </w:p>
        </w:tc>
        <w:tc>
          <w:tcPr>
            <w:tcW w:w="0" w:type="auto"/>
            <w:hideMark/>
          </w:tcPr>
          <w:p w14:paraId="606DBC3D" w14:textId="77777777" w:rsidR="007C1F9E" w:rsidRPr="005D7A60" w:rsidRDefault="007C1F9E">
            <w:pPr>
              <w:tabs>
                <w:tab w:val="left" w:pos="142"/>
              </w:tabs>
              <w:rPr>
                <w:rFonts w:ascii="Times New Roman" w:hAnsi="Times New Roman"/>
                <w:sz w:val="18"/>
                <w:szCs w:val="18"/>
                <w:lang w:val="en-IN"/>
              </w:rPr>
            </w:pPr>
            <w:r w:rsidRPr="005D7A60">
              <w:rPr>
                <w:rFonts w:ascii="Times New Roman" w:hAnsi="Times New Roman"/>
                <w:sz w:val="18"/>
                <w:szCs w:val="18"/>
                <w:lang w:val="en-IN"/>
              </w:rPr>
              <w:t>Identified organisational and regulatory drivers of AI use in Indian credit risk</w:t>
            </w:r>
          </w:p>
        </w:tc>
      </w:tr>
    </w:tbl>
    <w:p w14:paraId="7E9EDAF4" w14:textId="77777777" w:rsidR="00717C76" w:rsidRPr="005D7A60" w:rsidRDefault="00717C76" w:rsidP="00173853">
      <w:pPr>
        <w:tabs>
          <w:tab w:val="left" w:pos="142"/>
        </w:tabs>
        <w:rPr>
          <w:rFonts w:ascii="Times New Roman" w:hAnsi="Times New Roman"/>
        </w:rPr>
      </w:pPr>
    </w:p>
    <w:p w14:paraId="252A10C0" w14:textId="77777777" w:rsidR="00717C76" w:rsidRPr="005D7A60" w:rsidRDefault="00717C76" w:rsidP="00173853">
      <w:pPr>
        <w:tabs>
          <w:tab w:val="left" w:pos="142"/>
        </w:tabs>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9"/>
        <w:gridCol w:w="2014"/>
        <w:gridCol w:w="1584"/>
        <w:gridCol w:w="2428"/>
        <w:gridCol w:w="3071"/>
      </w:tblGrid>
      <w:tr w:rsidR="00F83517" w:rsidRPr="005D7A60" w14:paraId="0E02CF14" w14:textId="77777777">
        <w:tc>
          <w:tcPr>
            <w:tcW w:w="0" w:type="auto"/>
            <w:gridSpan w:val="5"/>
          </w:tcPr>
          <w:p w14:paraId="76900453" w14:textId="5746F968" w:rsidR="00F83517" w:rsidRPr="005D7A60" w:rsidRDefault="00F83517">
            <w:pPr>
              <w:tabs>
                <w:tab w:val="left" w:pos="142"/>
              </w:tabs>
              <w:rPr>
                <w:rFonts w:ascii="Times New Roman" w:hAnsi="Times New Roman"/>
                <w:b/>
                <w:bCs/>
                <w:sz w:val="18"/>
                <w:szCs w:val="18"/>
                <w:lang w:val="en-IN"/>
              </w:rPr>
            </w:pPr>
            <w:r w:rsidRPr="005D7A60">
              <w:rPr>
                <w:rFonts w:ascii="Times New Roman" w:hAnsi="Times New Roman"/>
                <w:b/>
                <w:bCs/>
                <w:sz w:val="18"/>
                <w:szCs w:val="18"/>
              </w:rPr>
              <w:t>Table 4: Literature on Basel Regulatory Frameworks and AI Integration</w:t>
            </w:r>
          </w:p>
        </w:tc>
      </w:tr>
      <w:tr w:rsidR="00376E92" w:rsidRPr="005D7A60" w14:paraId="34830FE2" w14:textId="77777777">
        <w:tc>
          <w:tcPr>
            <w:tcW w:w="0" w:type="auto"/>
            <w:hideMark/>
          </w:tcPr>
          <w:p w14:paraId="2EDF2FE2" w14:textId="77777777" w:rsidR="00F83517" w:rsidRPr="005D7A60" w:rsidRDefault="00F83517">
            <w:pPr>
              <w:tabs>
                <w:tab w:val="left" w:pos="142"/>
              </w:tabs>
              <w:rPr>
                <w:rFonts w:ascii="Times New Roman" w:hAnsi="Times New Roman"/>
                <w:b/>
                <w:bCs/>
                <w:sz w:val="18"/>
                <w:szCs w:val="18"/>
                <w:lang w:val="en-IN"/>
              </w:rPr>
            </w:pPr>
            <w:r w:rsidRPr="005D7A60">
              <w:rPr>
                <w:rFonts w:ascii="Times New Roman" w:hAnsi="Times New Roman"/>
                <w:b/>
                <w:bCs/>
                <w:sz w:val="18"/>
                <w:szCs w:val="18"/>
                <w:lang w:val="en-IN"/>
              </w:rPr>
              <w:t>Author / Institution (Year)</w:t>
            </w:r>
          </w:p>
        </w:tc>
        <w:tc>
          <w:tcPr>
            <w:tcW w:w="0" w:type="auto"/>
            <w:hideMark/>
          </w:tcPr>
          <w:p w14:paraId="433CB789" w14:textId="77777777" w:rsidR="00F83517" w:rsidRPr="005D7A60" w:rsidRDefault="00F83517">
            <w:pPr>
              <w:tabs>
                <w:tab w:val="left" w:pos="142"/>
              </w:tabs>
              <w:rPr>
                <w:rFonts w:ascii="Times New Roman" w:hAnsi="Times New Roman"/>
                <w:b/>
                <w:bCs/>
                <w:sz w:val="18"/>
                <w:szCs w:val="18"/>
                <w:lang w:val="en-IN"/>
              </w:rPr>
            </w:pPr>
            <w:r w:rsidRPr="005D7A60">
              <w:rPr>
                <w:rFonts w:ascii="Times New Roman" w:hAnsi="Times New Roman"/>
                <w:b/>
                <w:bCs/>
                <w:sz w:val="18"/>
                <w:szCs w:val="18"/>
                <w:lang w:val="en-IN"/>
              </w:rPr>
              <w:t>Contribution</w:t>
            </w:r>
          </w:p>
        </w:tc>
        <w:tc>
          <w:tcPr>
            <w:tcW w:w="0" w:type="auto"/>
            <w:hideMark/>
          </w:tcPr>
          <w:p w14:paraId="0B59D2B9" w14:textId="77777777" w:rsidR="00F83517" w:rsidRPr="005D7A60" w:rsidRDefault="00F83517">
            <w:pPr>
              <w:tabs>
                <w:tab w:val="left" w:pos="142"/>
              </w:tabs>
              <w:rPr>
                <w:rFonts w:ascii="Times New Roman" w:hAnsi="Times New Roman"/>
                <w:b/>
                <w:bCs/>
                <w:sz w:val="18"/>
                <w:szCs w:val="18"/>
                <w:lang w:val="en-IN"/>
              </w:rPr>
            </w:pPr>
            <w:r w:rsidRPr="005D7A60">
              <w:rPr>
                <w:rFonts w:ascii="Times New Roman" w:hAnsi="Times New Roman"/>
                <w:b/>
                <w:bCs/>
                <w:sz w:val="18"/>
                <w:szCs w:val="18"/>
                <w:lang w:val="en-IN"/>
              </w:rPr>
              <w:t>Method / Model</w:t>
            </w:r>
          </w:p>
        </w:tc>
        <w:tc>
          <w:tcPr>
            <w:tcW w:w="0" w:type="auto"/>
            <w:hideMark/>
          </w:tcPr>
          <w:p w14:paraId="0FF5AF6B" w14:textId="77777777" w:rsidR="00F83517" w:rsidRPr="005D7A60" w:rsidRDefault="00F83517">
            <w:pPr>
              <w:tabs>
                <w:tab w:val="left" w:pos="142"/>
              </w:tabs>
              <w:rPr>
                <w:rFonts w:ascii="Times New Roman" w:hAnsi="Times New Roman"/>
                <w:b/>
                <w:bCs/>
                <w:sz w:val="18"/>
                <w:szCs w:val="18"/>
                <w:lang w:val="en-IN"/>
              </w:rPr>
            </w:pPr>
            <w:r w:rsidRPr="005D7A60">
              <w:rPr>
                <w:rFonts w:ascii="Times New Roman" w:hAnsi="Times New Roman"/>
                <w:b/>
                <w:bCs/>
                <w:sz w:val="18"/>
                <w:szCs w:val="18"/>
                <w:lang w:val="en-IN"/>
              </w:rPr>
              <w:t>Data / Input</w:t>
            </w:r>
          </w:p>
        </w:tc>
        <w:tc>
          <w:tcPr>
            <w:tcW w:w="0" w:type="auto"/>
            <w:hideMark/>
          </w:tcPr>
          <w:p w14:paraId="5F5755CA" w14:textId="77777777" w:rsidR="00F83517" w:rsidRPr="005D7A60" w:rsidRDefault="00F83517">
            <w:pPr>
              <w:tabs>
                <w:tab w:val="left" w:pos="142"/>
              </w:tabs>
              <w:rPr>
                <w:rFonts w:ascii="Times New Roman" w:hAnsi="Times New Roman"/>
                <w:b/>
                <w:bCs/>
                <w:sz w:val="18"/>
                <w:szCs w:val="18"/>
                <w:lang w:val="en-IN"/>
              </w:rPr>
            </w:pPr>
            <w:r w:rsidRPr="005D7A60">
              <w:rPr>
                <w:rFonts w:ascii="Times New Roman" w:hAnsi="Times New Roman"/>
                <w:b/>
                <w:bCs/>
                <w:sz w:val="18"/>
                <w:szCs w:val="18"/>
                <w:lang w:val="en-IN"/>
              </w:rPr>
              <w:t>Outcome</w:t>
            </w:r>
          </w:p>
        </w:tc>
      </w:tr>
      <w:tr w:rsidR="00376E92" w:rsidRPr="005D7A60" w14:paraId="425A3E18" w14:textId="77777777">
        <w:tc>
          <w:tcPr>
            <w:tcW w:w="0" w:type="auto"/>
            <w:hideMark/>
          </w:tcPr>
          <w:p w14:paraId="2305215A" w14:textId="77777777" w:rsidR="00F83517" w:rsidRPr="005D7A60" w:rsidRDefault="00F83517">
            <w:pPr>
              <w:tabs>
                <w:tab w:val="left" w:pos="142"/>
              </w:tabs>
              <w:rPr>
                <w:rFonts w:ascii="Times New Roman" w:hAnsi="Times New Roman"/>
                <w:sz w:val="18"/>
                <w:szCs w:val="18"/>
                <w:lang w:val="en-IN"/>
              </w:rPr>
            </w:pPr>
            <w:r w:rsidRPr="005D7A60">
              <w:rPr>
                <w:rFonts w:ascii="Times New Roman" w:hAnsi="Times New Roman"/>
                <w:sz w:val="18"/>
                <w:szCs w:val="18"/>
                <w:lang w:val="en-IN"/>
              </w:rPr>
              <w:t xml:space="preserve">Basel Committee (1988) – </w:t>
            </w:r>
            <w:r w:rsidRPr="005D7A60">
              <w:rPr>
                <w:rFonts w:ascii="Times New Roman" w:hAnsi="Times New Roman"/>
                <w:i/>
                <w:iCs/>
                <w:sz w:val="18"/>
                <w:szCs w:val="18"/>
                <w:lang w:val="en-IN"/>
              </w:rPr>
              <w:t>International Convergence of Capital Measurement and Capital Standards</w:t>
            </w:r>
          </w:p>
        </w:tc>
        <w:tc>
          <w:tcPr>
            <w:tcW w:w="0" w:type="auto"/>
            <w:hideMark/>
          </w:tcPr>
          <w:p w14:paraId="16DD41C7" w14:textId="77777777" w:rsidR="00F83517" w:rsidRPr="005D7A60" w:rsidRDefault="00F83517">
            <w:pPr>
              <w:tabs>
                <w:tab w:val="left" w:pos="142"/>
              </w:tabs>
              <w:rPr>
                <w:rFonts w:ascii="Times New Roman" w:hAnsi="Times New Roman"/>
                <w:sz w:val="18"/>
                <w:szCs w:val="18"/>
                <w:lang w:val="en-IN"/>
              </w:rPr>
            </w:pPr>
            <w:r w:rsidRPr="005D7A60">
              <w:rPr>
                <w:rFonts w:ascii="Times New Roman" w:hAnsi="Times New Roman"/>
                <w:sz w:val="18"/>
                <w:szCs w:val="18"/>
                <w:lang w:val="en-IN"/>
              </w:rPr>
              <w:t>Basel I: first global capital accord</w:t>
            </w:r>
          </w:p>
        </w:tc>
        <w:tc>
          <w:tcPr>
            <w:tcW w:w="0" w:type="auto"/>
            <w:hideMark/>
          </w:tcPr>
          <w:p w14:paraId="41313F18" w14:textId="77777777" w:rsidR="00F83517" w:rsidRPr="005D7A60" w:rsidRDefault="00F83517">
            <w:pPr>
              <w:tabs>
                <w:tab w:val="left" w:pos="142"/>
              </w:tabs>
              <w:rPr>
                <w:rFonts w:ascii="Times New Roman" w:hAnsi="Times New Roman"/>
                <w:sz w:val="18"/>
                <w:szCs w:val="18"/>
                <w:lang w:val="en-IN"/>
              </w:rPr>
            </w:pPr>
            <w:r w:rsidRPr="005D7A60">
              <w:rPr>
                <w:rFonts w:ascii="Times New Roman" w:hAnsi="Times New Roman"/>
                <w:sz w:val="18"/>
                <w:szCs w:val="18"/>
                <w:lang w:val="en-IN"/>
              </w:rPr>
              <w:t>Regulatory text</w:t>
            </w:r>
          </w:p>
        </w:tc>
        <w:tc>
          <w:tcPr>
            <w:tcW w:w="0" w:type="auto"/>
            <w:hideMark/>
          </w:tcPr>
          <w:p w14:paraId="194E405B" w14:textId="77777777" w:rsidR="00F83517" w:rsidRPr="005D7A60" w:rsidRDefault="00F83517">
            <w:pPr>
              <w:tabs>
                <w:tab w:val="left" w:pos="142"/>
              </w:tabs>
              <w:rPr>
                <w:rFonts w:ascii="Times New Roman" w:hAnsi="Times New Roman"/>
                <w:sz w:val="18"/>
                <w:szCs w:val="18"/>
                <w:lang w:val="en-IN"/>
              </w:rPr>
            </w:pPr>
            <w:r w:rsidRPr="005D7A60">
              <w:rPr>
                <w:rFonts w:ascii="Times New Roman" w:hAnsi="Times New Roman"/>
                <w:sz w:val="18"/>
                <w:szCs w:val="18"/>
                <w:lang w:val="en-IN"/>
              </w:rPr>
              <w:t>Credit risk weights (0%, 20%, 50%, 100%)</w:t>
            </w:r>
          </w:p>
        </w:tc>
        <w:tc>
          <w:tcPr>
            <w:tcW w:w="0" w:type="auto"/>
            <w:hideMark/>
          </w:tcPr>
          <w:p w14:paraId="6A07A538" w14:textId="77777777" w:rsidR="00F83517" w:rsidRPr="005D7A60" w:rsidRDefault="00F83517">
            <w:pPr>
              <w:tabs>
                <w:tab w:val="left" w:pos="142"/>
              </w:tabs>
              <w:rPr>
                <w:rFonts w:ascii="Times New Roman" w:hAnsi="Times New Roman"/>
                <w:sz w:val="18"/>
                <w:szCs w:val="18"/>
                <w:lang w:val="en-IN"/>
              </w:rPr>
            </w:pPr>
            <w:r w:rsidRPr="005D7A60">
              <w:rPr>
                <w:rFonts w:ascii="Times New Roman" w:hAnsi="Times New Roman"/>
                <w:sz w:val="18"/>
                <w:szCs w:val="18"/>
                <w:lang w:val="en-IN"/>
              </w:rPr>
              <w:t>Established minimum capital ratio 8%</w:t>
            </w:r>
          </w:p>
        </w:tc>
      </w:tr>
      <w:tr w:rsidR="00376E92" w:rsidRPr="005D7A60" w14:paraId="11843293" w14:textId="77777777">
        <w:tc>
          <w:tcPr>
            <w:tcW w:w="0" w:type="auto"/>
            <w:hideMark/>
          </w:tcPr>
          <w:p w14:paraId="1B0CF603" w14:textId="77777777" w:rsidR="00F83517" w:rsidRPr="005D7A60" w:rsidRDefault="00F83517">
            <w:pPr>
              <w:tabs>
                <w:tab w:val="left" w:pos="142"/>
              </w:tabs>
              <w:rPr>
                <w:rFonts w:ascii="Times New Roman" w:hAnsi="Times New Roman"/>
                <w:sz w:val="18"/>
                <w:szCs w:val="18"/>
                <w:lang w:val="en-IN"/>
              </w:rPr>
            </w:pPr>
            <w:r w:rsidRPr="005D7A60">
              <w:rPr>
                <w:rFonts w:ascii="Times New Roman" w:hAnsi="Times New Roman"/>
                <w:sz w:val="18"/>
                <w:szCs w:val="18"/>
                <w:lang w:val="en-IN"/>
              </w:rPr>
              <w:t xml:space="preserve">Basel Committee (2004) – </w:t>
            </w:r>
            <w:r w:rsidRPr="005D7A60">
              <w:rPr>
                <w:rFonts w:ascii="Times New Roman" w:hAnsi="Times New Roman"/>
                <w:i/>
                <w:iCs/>
                <w:sz w:val="18"/>
                <w:szCs w:val="18"/>
                <w:lang w:val="en-IN"/>
              </w:rPr>
              <w:t>Basel II: International Convergence of Capital Measurement and Capital Standards</w:t>
            </w:r>
          </w:p>
        </w:tc>
        <w:tc>
          <w:tcPr>
            <w:tcW w:w="0" w:type="auto"/>
            <w:hideMark/>
          </w:tcPr>
          <w:p w14:paraId="5B469C04" w14:textId="77777777" w:rsidR="00F83517" w:rsidRPr="005D7A60" w:rsidRDefault="00F83517">
            <w:pPr>
              <w:tabs>
                <w:tab w:val="left" w:pos="142"/>
              </w:tabs>
              <w:rPr>
                <w:rFonts w:ascii="Times New Roman" w:hAnsi="Times New Roman"/>
                <w:sz w:val="18"/>
                <w:szCs w:val="18"/>
                <w:lang w:val="en-IN"/>
              </w:rPr>
            </w:pPr>
            <w:r w:rsidRPr="005D7A60">
              <w:rPr>
                <w:rFonts w:ascii="Times New Roman" w:hAnsi="Times New Roman"/>
                <w:sz w:val="18"/>
                <w:szCs w:val="18"/>
                <w:lang w:val="en-IN"/>
              </w:rPr>
              <w:t>Basel II: SA + IRB approaches</w:t>
            </w:r>
          </w:p>
        </w:tc>
        <w:tc>
          <w:tcPr>
            <w:tcW w:w="0" w:type="auto"/>
            <w:hideMark/>
          </w:tcPr>
          <w:p w14:paraId="3EDC37DE" w14:textId="77777777" w:rsidR="00F83517" w:rsidRPr="005D7A60" w:rsidRDefault="00F83517">
            <w:pPr>
              <w:tabs>
                <w:tab w:val="left" w:pos="142"/>
              </w:tabs>
              <w:rPr>
                <w:rFonts w:ascii="Times New Roman" w:hAnsi="Times New Roman"/>
                <w:sz w:val="18"/>
                <w:szCs w:val="18"/>
                <w:lang w:val="en-IN"/>
              </w:rPr>
            </w:pPr>
            <w:r w:rsidRPr="005D7A60">
              <w:rPr>
                <w:rFonts w:ascii="Times New Roman" w:hAnsi="Times New Roman"/>
                <w:sz w:val="18"/>
                <w:szCs w:val="18"/>
                <w:lang w:val="en-IN"/>
              </w:rPr>
              <w:t>Regulatory text</w:t>
            </w:r>
          </w:p>
        </w:tc>
        <w:tc>
          <w:tcPr>
            <w:tcW w:w="0" w:type="auto"/>
            <w:hideMark/>
          </w:tcPr>
          <w:p w14:paraId="21582780" w14:textId="77777777" w:rsidR="00F83517" w:rsidRPr="005D7A60" w:rsidRDefault="00F83517">
            <w:pPr>
              <w:tabs>
                <w:tab w:val="left" w:pos="142"/>
              </w:tabs>
              <w:rPr>
                <w:rFonts w:ascii="Times New Roman" w:hAnsi="Times New Roman"/>
                <w:sz w:val="18"/>
                <w:szCs w:val="18"/>
                <w:lang w:val="en-IN"/>
              </w:rPr>
            </w:pPr>
            <w:r w:rsidRPr="005D7A60">
              <w:rPr>
                <w:rFonts w:ascii="Times New Roman" w:hAnsi="Times New Roman"/>
                <w:sz w:val="18"/>
                <w:szCs w:val="18"/>
                <w:lang w:val="en-IN"/>
              </w:rPr>
              <w:t>PD, LGD, EAD framework</w:t>
            </w:r>
          </w:p>
        </w:tc>
        <w:tc>
          <w:tcPr>
            <w:tcW w:w="0" w:type="auto"/>
            <w:hideMark/>
          </w:tcPr>
          <w:p w14:paraId="4DF029E6" w14:textId="77777777" w:rsidR="00F83517" w:rsidRPr="005D7A60" w:rsidRDefault="00F83517">
            <w:pPr>
              <w:tabs>
                <w:tab w:val="left" w:pos="142"/>
              </w:tabs>
              <w:rPr>
                <w:rFonts w:ascii="Times New Roman" w:hAnsi="Times New Roman"/>
                <w:sz w:val="18"/>
                <w:szCs w:val="18"/>
                <w:lang w:val="en-IN"/>
              </w:rPr>
            </w:pPr>
            <w:r w:rsidRPr="005D7A60">
              <w:rPr>
                <w:rFonts w:ascii="Times New Roman" w:hAnsi="Times New Roman"/>
                <w:sz w:val="18"/>
                <w:szCs w:val="18"/>
                <w:lang w:val="en-IN"/>
              </w:rPr>
              <w:t>Linked internal models with capital requirements</w:t>
            </w:r>
          </w:p>
        </w:tc>
      </w:tr>
      <w:tr w:rsidR="00376E92" w:rsidRPr="005D7A60" w14:paraId="0745203C" w14:textId="77777777">
        <w:tc>
          <w:tcPr>
            <w:tcW w:w="0" w:type="auto"/>
            <w:hideMark/>
          </w:tcPr>
          <w:p w14:paraId="1794F8F6" w14:textId="77777777" w:rsidR="00F83517" w:rsidRPr="005D7A60" w:rsidRDefault="00F83517">
            <w:pPr>
              <w:tabs>
                <w:tab w:val="left" w:pos="142"/>
              </w:tabs>
              <w:rPr>
                <w:rFonts w:ascii="Times New Roman" w:hAnsi="Times New Roman"/>
                <w:sz w:val="18"/>
                <w:szCs w:val="18"/>
                <w:lang w:val="en-IN"/>
              </w:rPr>
            </w:pPr>
            <w:r w:rsidRPr="005D7A60">
              <w:rPr>
                <w:rFonts w:ascii="Times New Roman" w:hAnsi="Times New Roman"/>
                <w:sz w:val="18"/>
                <w:szCs w:val="18"/>
                <w:lang w:val="en-IN"/>
              </w:rPr>
              <w:t xml:space="preserve">Basel Committee (2010, rev. 2011) – </w:t>
            </w:r>
            <w:r w:rsidRPr="005D7A60">
              <w:rPr>
                <w:rFonts w:ascii="Times New Roman" w:hAnsi="Times New Roman"/>
                <w:i/>
                <w:iCs/>
                <w:sz w:val="18"/>
                <w:szCs w:val="18"/>
                <w:lang w:val="en-IN"/>
              </w:rPr>
              <w:t>Basel III: A global regulatory framework for more resilient banks and banking systems</w:t>
            </w:r>
          </w:p>
        </w:tc>
        <w:tc>
          <w:tcPr>
            <w:tcW w:w="0" w:type="auto"/>
            <w:hideMark/>
          </w:tcPr>
          <w:p w14:paraId="491FBAC0" w14:textId="77777777" w:rsidR="00F83517" w:rsidRPr="005D7A60" w:rsidRDefault="00F83517">
            <w:pPr>
              <w:tabs>
                <w:tab w:val="left" w:pos="142"/>
              </w:tabs>
              <w:rPr>
                <w:rFonts w:ascii="Times New Roman" w:hAnsi="Times New Roman"/>
                <w:sz w:val="18"/>
                <w:szCs w:val="18"/>
                <w:lang w:val="en-IN"/>
              </w:rPr>
            </w:pPr>
            <w:r w:rsidRPr="005D7A60">
              <w:rPr>
                <w:rFonts w:ascii="Times New Roman" w:hAnsi="Times New Roman"/>
                <w:sz w:val="18"/>
                <w:szCs w:val="18"/>
                <w:lang w:val="en-IN"/>
              </w:rPr>
              <w:t>Basel III: post-GFC reforms</w:t>
            </w:r>
          </w:p>
        </w:tc>
        <w:tc>
          <w:tcPr>
            <w:tcW w:w="0" w:type="auto"/>
            <w:hideMark/>
          </w:tcPr>
          <w:p w14:paraId="614C393B" w14:textId="77777777" w:rsidR="00F83517" w:rsidRPr="005D7A60" w:rsidRDefault="00F83517">
            <w:pPr>
              <w:tabs>
                <w:tab w:val="left" w:pos="142"/>
              </w:tabs>
              <w:rPr>
                <w:rFonts w:ascii="Times New Roman" w:hAnsi="Times New Roman"/>
                <w:sz w:val="18"/>
                <w:szCs w:val="18"/>
                <w:lang w:val="en-IN"/>
              </w:rPr>
            </w:pPr>
            <w:r w:rsidRPr="005D7A60">
              <w:rPr>
                <w:rFonts w:ascii="Times New Roman" w:hAnsi="Times New Roman"/>
                <w:sz w:val="18"/>
                <w:szCs w:val="18"/>
                <w:lang w:val="en-IN"/>
              </w:rPr>
              <w:t>Regulatory text</w:t>
            </w:r>
          </w:p>
        </w:tc>
        <w:tc>
          <w:tcPr>
            <w:tcW w:w="0" w:type="auto"/>
            <w:hideMark/>
          </w:tcPr>
          <w:p w14:paraId="443C7256" w14:textId="77777777" w:rsidR="00F83517" w:rsidRPr="005D7A60" w:rsidRDefault="00F83517">
            <w:pPr>
              <w:tabs>
                <w:tab w:val="left" w:pos="142"/>
              </w:tabs>
              <w:rPr>
                <w:rFonts w:ascii="Times New Roman" w:hAnsi="Times New Roman"/>
                <w:sz w:val="18"/>
                <w:szCs w:val="18"/>
                <w:lang w:val="en-IN"/>
              </w:rPr>
            </w:pPr>
            <w:r w:rsidRPr="005D7A60">
              <w:rPr>
                <w:rFonts w:ascii="Times New Roman" w:hAnsi="Times New Roman"/>
                <w:sz w:val="18"/>
                <w:szCs w:val="18"/>
                <w:lang w:val="en-IN"/>
              </w:rPr>
              <w:t>Leverage ratio, liquidity ratios, higher capital buffers</w:t>
            </w:r>
          </w:p>
        </w:tc>
        <w:tc>
          <w:tcPr>
            <w:tcW w:w="0" w:type="auto"/>
            <w:hideMark/>
          </w:tcPr>
          <w:p w14:paraId="5DFB2847" w14:textId="77777777" w:rsidR="00F83517" w:rsidRPr="005D7A60" w:rsidRDefault="00F83517">
            <w:pPr>
              <w:tabs>
                <w:tab w:val="left" w:pos="142"/>
              </w:tabs>
              <w:rPr>
                <w:rFonts w:ascii="Times New Roman" w:hAnsi="Times New Roman"/>
                <w:sz w:val="18"/>
                <w:szCs w:val="18"/>
                <w:lang w:val="en-IN"/>
              </w:rPr>
            </w:pPr>
            <w:r w:rsidRPr="005D7A60">
              <w:rPr>
                <w:rFonts w:ascii="Times New Roman" w:hAnsi="Times New Roman"/>
                <w:sz w:val="18"/>
                <w:szCs w:val="18"/>
                <w:lang w:val="en-IN"/>
              </w:rPr>
              <w:t>Strengthened capital adequacy and liquidity coverage</w:t>
            </w:r>
          </w:p>
        </w:tc>
      </w:tr>
      <w:tr w:rsidR="00376E92" w:rsidRPr="005D7A60" w14:paraId="6785A854" w14:textId="77777777">
        <w:tc>
          <w:tcPr>
            <w:tcW w:w="0" w:type="auto"/>
            <w:hideMark/>
          </w:tcPr>
          <w:p w14:paraId="01F25B9E" w14:textId="77777777" w:rsidR="00F83517" w:rsidRPr="005D7A60" w:rsidRDefault="00F83517">
            <w:pPr>
              <w:tabs>
                <w:tab w:val="left" w:pos="142"/>
              </w:tabs>
              <w:rPr>
                <w:rFonts w:ascii="Times New Roman" w:hAnsi="Times New Roman"/>
                <w:sz w:val="18"/>
                <w:szCs w:val="18"/>
                <w:lang w:val="en-IN"/>
              </w:rPr>
            </w:pPr>
            <w:r w:rsidRPr="005D7A60">
              <w:rPr>
                <w:rFonts w:ascii="Times New Roman" w:hAnsi="Times New Roman"/>
                <w:sz w:val="18"/>
                <w:szCs w:val="18"/>
                <w:lang w:val="en-IN"/>
              </w:rPr>
              <w:t xml:space="preserve">Basel Committee (2017) – </w:t>
            </w:r>
            <w:r w:rsidRPr="005D7A60">
              <w:rPr>
                <w:rFonts w:ascii="Times New Roman" w:hAnsi="Times New Roman"/>
                <w:i/>
                <w:iCs/>
                <w:sz w:val="18"/>
                <w:szCs w:val="18"/>
                <w:lang w:val="en-IN"/>
              </w:rPr>
              <w:t>Basel III: Finalising post-crisis reforms</w:t>
            </w:r>
            <w:r w:rsidRPr="005D7A60">
              <w:rPr>
                <w:rFonts w:ascii="Times New Roman" w:hAnsi="Times New Roman"/>
                <w:sz w:val="18"/>
                <w:szCs w:val="18"/>
                <w:lang w:val="en-IN"/>
              </w:rPr>
              <w:t xml:space="preserve"> (“Basel 3.1”)</w:t>
            </w:r>
          </w:p>
        </w:tc>
        <w:tc>
          <w:tcPr>
            <w:tcW w:w="0" w:type="auto"/>
            <w:hideMark/>
          </w:tcPr>
          <w:p w14:paraId="49B16A41" w14:textId="77777777" w:rsidR="00F83517" w:rsidRPr="005D7A60" w:rsidRDefault="00F83517">
            <w:pPr>
              <w:tabs>
                <w:tab w:val="left" w:pos="142"/>
              </w:tabs>
              <w:rPr>
                <w:rFonts w:ascii="Times New Roman" w:hAnsi="Times New Roman"/>
                <w:sz w:val="18"/>
                <w:szCs w:val="18"/>
                <w:lang w:val="en-IN"/>
              </w:rPr>
            </w:pPr>
            <w:r w:rsidRPr="005D7A60">
              <w:rPr>
                <w:rFonts w:ascii="Times New Roman" w:hAnsi="Times New Roman"/>
                <w:sz w:val="18"/>
                <w:szCs w:val="18"/>
                <w:lang w:val="en-IN"/>
              </w:rPr>
              <w:t>Basel 3.1: final package of Basel III reforms</w:t>
            </w:r>
          </w:p>
        </w:tc>
        <w:tc>
          <w:tcPr>
            <w:tcW w:w="0" w:type="auto"/>
            <w:hideMark/>
          </w:tcPr>
          <w:p w14:paraId="36461FC0" w14:textId="77777777" w:rsidR="00F83517" w:rsidRPr="005D7A60" w:rsidRDefault="00F83517">
            <w:pPr>
              <w:tabs>
                <w:tab w:val="left" w:pos="142"/>
              </w:tabs>
              <w:rPr>
                <w:rFonts w:ascii="Times New Roman" w:hAnsi="Times New Roman"/>
                <w:sz w:val="18"/>
                <w:szCs w:val="18"/>
                <w:lang w:val="en-IN"/>
              </w:rPr>
            </w:pPr>
            <w:r w:rsidRPr="005D7A60">
              <w:rPr>
                <w:rFonts w:ascii="Times New Roman" w:hAnsi="Times New Roman"/>
                <w:sz w:val="18"/>
                <w:szCs w:val="18"/>
                <w:lang w:val="en-IN"/>
              </w:rPr>
              <w:t>Regulatory text</w:t>
            </w:r>
          </w:p>
        </w:tc>
        <w:tc>
          <w:tcPr>
            <w:tcW w:w="0" w:type="auto"/>
            <w:hideMark/>
          </w:tcPr>
          <w:p w14:paraId="3B3CD4F4" w14:textId="77777777" w:rsidR="00F83517" w:rsidRPr="005D7A60" w:rsidRDefault="00F83517">
            <w:pPr>
              <w:tabs>
                <w:tab w:val="left" w:pos="142"/>
              </w:tabs>
              <w:rPr>
                <w:rFonts w:ascii="Times New Roman" w:hAnsi="Times New Roman"/>
                <w:sz w:val="18"/>
                <w:szCs w:val="18"/>
                <w:lang w:val="en-IN"/>
              </w:rPr>
            </w:pPr>
            <w:r w:rsidRPr="005D7A60">
              <w:rPr>
                <w:rFonts w:ascii="Times New Roman" w:hAnsi="Times New Roman"/>
                <w:sz w:val="18"/>
                <w:szCs w:val="18"/>
                <w:lang w:val="en-IN"/>
              </w:rPr>
              <w:t>Revised SA, IRB input floors, output floor (72.5%)</w:t>
            </w:r>
          </w:p>
        </w:tc>
        <w:tc>
          <w:tcPr>
            <w:tcW w:w="0" w:type="auto"/>
            <w:hideMark/>
          </w:tcPr>
          <w:p w14:paraId="27C26411" w14:textId="77777777" w:rsidR="00F83517" w:rsidRPr="005D7A60" w:rsidRDefault="00F83517">
            <w:pPr>
              <w:tabs>
                <w:tab w:val="left" w:pos="142"/>
              </w:tabs>
              <w:rPr>
                <w:rFonts w:ascii="Times New Roman" w:hAnsi="Times New Roman"/>
                <w:sz w:val="18"/>
                <w:szCs w:val="18"/>
                <w:lang w:val="en-IN"/>
              </w:rPr>
            </w:pPr>
            <w:r w:rsidRPr="005D7A60">
              <w:rPr>
                <w:rFonts w:ascii="Times New Roman" w:hAnsi="Times New Roman"/>
                <w:sz w:val="18"/>
                <w:szCs w:val="18"/>
                <w:lang w:val="en-IN"/>
              </w:rPr>
              <w:t>Harmonised risk-weighted assets; tightened model variability</w:t>
            </w:r>
          </w:p>
        </w:tc>
      </w:tr>
      <w:tr w:rsidR="00376E92" w:rsidRPr="005D7A60" w14:paraId="4BF84E55" w14:textId="77777777">
        <w:tc>
          <w:tcPr>
            <w:tcW w:w="0" w:type="auto"/>
            <w:hideMark/>
          </w:tcPr>
          <w:p w14:paraId="0D979BA6" w14:textId="77777777" w:rsidR="00F83517" w:rsidRPr="005D7A60" w:rsidRDefault="00F83517">
            <w:pPr>
              <w:tabs>
                <w:tab w:val="left" w:pos="142"/>
              </w:tabs>
              <w:rPr>
                <w:rFonts w:ascii="Times New Roman" w:hAnsi="Times New Roman"/>
                <w:sz w:val="18"/>
                <w:szCs w:val="18"/>
                <w:lang w:val="en-IN"/>
              </w:rPr>
            </w:pPr>
            <w:r w:rsidRPr="005D7A60">
              <w:rPr>
                <w:rFonts w:ascii="Times New Roman" w:hAnsi="Times New Roman"/>
                <w:sz w:val="18"/>
                <w:szCs w:val="18"/>
                <w:lang w:val="en-IN"/>
              </w:rPr>
              <w:t>Jones &amp; Zeitz (2017)</w:t>
            </w:r>
          </w:p>
        </w:tc>
        <w:tc>
          <w:tcPr>
            <w:tcW w:w="0" w:type="auto"/>
            <w:hideMark/>
          </w:tcPr>
          <w:p w14:paraId="0C3AEFD2" w14:textId="77777777" w:rsidR="00F83517" w:rsidRPr="005D7A60" w:rsidRDefault="00F83517">
            <w:pPr>
              <w:tabs>
                <w:tab w:val="left" w:pos="142"/>
              </w:tabs>
              <w:rPr>
                <w:rFonts w:ascii="Times New Roman" w:hAnsi="Times New Roman"/>
                <w:sz w:val="18"/>
                <w:szCs w:val="18"/>
                <w:lang w:val="en-IN"/>
              </w:rPr>
            </w:pPr>
            <w:r w:rsidRPr="005D7A60">
              <w:rPr>
                <w:rFonts w:ascii="Times New Roman" w:hAnsi="Times New Roman"/>
                <w:sz w:val="18"/>
                <w:szCs w:val="18"/>
                <w:lang w:val="en-IN"/>
              </w:rPr>
              <w:t>Historical analysis of Basel corpus</w:t>
            </w:r>
          </w:p>
        </w:tc>
        <w:tc>
          <w:tcPr>
            <w:tcW w:w="0" w:type="auto"/>
            <w:hideMark/>
          </w:tcPr>
          <w:p w14:paraId="4C0F0DD3" w14:textId="77777777" w:rsidR="00F83517" w:rsidRPr="005D7A60" w:rsidRDefault="00F83517">
            <w:pPr>
              <w:tabs>
                <w:tab w:val="left" w:pos="142"/>
              </w:tabs>
              <w:rPr>
                <w:rFonts w:ascii="Times New Roman" w:hAnsi="Times New Roman"/>
                <w:sz w:val="18"/>
                <w:szCs w:val="18"/>
                <w:lang w:val="en-IN"/>
              </w:rPr>
            </w:pPr>
            <w:r w:rsidRPr="005D7A60">
              <w:rPr>
                <w:rFonts w:ascii="Times New Roman" w:hAnsi="Times New Roman"/>
                <w:sz w:val="18"/>
                <w:szCs w:val="18"/>
                <w:lang w:val="en-IN"/>
              </w:rPr>
              <w:t>Document review</w:t>
            </w:r>
          </w:p>
        </w:tc>
        <w:tc>
          <w:tcPr>
            <w:tcW w:w="0" w:type="auto"/>
            <w:hideMark/>
          </w:tcPr>
          <w:p w14:paraId="78923CE1" w14:textId="77777777" w:rsidR="00F83517" w:rsidRPr="005D7A60" w:rsidRDefault="00F83517">
            <w:pPr>
              <w:tabs>
                <w:tab w:val="left" w:pos="142"/>
              </w:tabs>
              <w:rPr>
                <w:rFonts w:ascii="Times New Roman" w:hAnsi="Times New Roman"/>
                <w:sz w:val="18"/>
                <w:szCs w:val="18"/>
                <w:lang w:val="en-IN"/>
              </w:rPr>
            </w:pPr>
            <w:r w:rsidRPr="005D7A60">
              <w:rPr>
                <w:rFonts w:ascii="Times New Roman" w:hAnsi="Times New Roman"/>
                <w:sz w:val="18"/>
                <w:szCs w:val="18"/>
                <w:lang w:val="en-IN"/>
              </w:rPr>
              <w:t>Basel I–III</w:t>
            </w:r>
          </w:p>
        </w:tc>
        <w:tc>
          <w:tcPr>
            <w:tcW w:w="0" w:type="auto"/>
            <w:hideMark/>
          </w:tcPr>
          <w:p w14:paraId="1D366CCA" w14:textId="77777777" w:rsidR="00F83517" w:rsidRPr="005D7A60" w:rsidRDefault="00F83517">
            <w:pPr>
              <w:tabs>
                <w:tab w:val="left" w:pos="142"/>
              </w:tabs>
              <w:rPr>
                <w:rFonts w:ascii="Times New Roman" w:hAnsi="Times New Roman"/>
                <w:sz w:val="18"/>
                <w:szCs w:val="18"/>
                <w:lang w:val="en-IN"/>
              </w:rPr>
            </w:pPr>
            <w:r w:rsidRPr="005D7A60">
              <w:rPr>
                <w:rFonts w:ascii="Times New Roman" w:hAnsi="Times New Roman"/>
                <w:sz w:val="18"/>
                <w:szCs w:val="18"/>
                <w:lang w:val="en-IN"/>
              </w:rPr>
              <w:t>Traced expansion from ~30 pages (Basel I) to 600+ (Basel III)</w:t>
            </w:r>
          </w:p>
        </w:tc>
      </w:tr>
      <w:tr w:rsidR="00376E92" w:rsidRPr="005D7A60" w14:paraId="7FE10630" w14:textId="77777777">
        <w:tc>
          <w:tcPr>
            <w:tcW w:w="0" w:type="auto"/>
            <w:hideMark/>
          </w:tcPr>
          <w:p w14:paraId="0FE201A0" w14:textId="77777777" w:rsidR="00F83517" w:rsidRPr="005D7A60" w:rsidRDefault="00F83517">
            <w:pPr>
              <w:tabs>
                <w:tab w:val="left" w:pos="142"/>
              </w:tabs>
              <w:rPr>
                <w:rFonts w:ascii="Times New Roman" w:hAnsi="Times New Roman"/>
                <w:sz w:val="18"/>
                <w:szCs w:val="18"/>
                <w:lang w:val="en-IN"/>
              </w:rPr>
            </w:pPr>
            <w:r w:rsidRPr="005D7A60">
              <w:rPr>
                <w:rFonts w:ascii="Times New Roman" w:hAnsi="Times New Roman"/>
                <w:sz w:val="18"/>
                <w:szCs w:val="18"/>
                <w:lang w:val="en-IN"/>
              </w:rPr>
              <w:t>Junge &amp; Kugler (2018)</w:t>
            </w:r>
          </w:p>
        </w:tc>
        <w:tc>
          <w:tcPr>
            <w:tcW w:w="0" w:type="auto"/>
            <w:hideMark/>
          </w:tcPr>
          <w:p w14:paraId="6C651C6E" w14:textId="77777777" w:rsidR="00F83517" w:rsidRPr="005D7A60" w:rsidRDefault="00F83517">
            <w:pPr>
              <w:tabs>
                <w:tab w:val="left" w:pos="142"/>
              </w:tabs>
              <w:rPr>
                <w:rFonts w:ascii="Times New Roman" w:hAnsi="Times New Roman"/>
                <w:sz w:val="18"/>
                <w:szCs w:val="18"/>
                <w:lang w:val="en-IN"/>
              </w:rPr>
            </w:pPr>
            <w:r w:rsidRPr="005D7A60">
              <w:rPr>
                <w:rFonts w:ascii="Times New Roman" w:hAnsi="Times New Roman"/>
                <w:sz w:val="18"/>
                <w:szCs w:val="18"/>
                <w:lang w:val="en-IN"/>
              </w:rPr>
              <w:t>Basel compliance cost study</w:t>
            </w:r>
          </w:p>
        </w:tc>
        <w:tc>
          <w:tcPr>
            <w:tcW w:w="0" w:type="auto"/>
            <w:hideMark/>
          </w:tcPr>
          <w:p w14:paraId="7E00A8D6" w14:textId="77777777" w:rsidR="00F83517" w:rsidRPr="005D7A60" w:rsidRDefault="00F83517">
            <w:pPr>
              <w:tabs>
                <w:tab w:val="left" w:pos="142"/>
              </w:tabs>
              <w:rPr>
                <w:rFonts w:ascii="Times New Roman" w:hAnsi="Times New Roman"/>
                <w:sz w:val="18"/>
                <w:szCs w:val="18"/>
                <w:lang w:val="en-IN"/>
              </w:rPr>
            </w:pPr>
            <w:r w:rsidRPr="005D7A60">
              <w:rPr>
                <w:rFonts w:ascii="Times New Roman" w:hAnsi="Times New Roman"/>
                <w:sz w:val="18"/>
                <w:szCs w:val="18"/>
                <w:lang w:val="en-IN"/>
              </w:rPr>
              <w:t>Econometric assessment</w:t>
            </w:r>
          </w:p>
        </w:tc>
        <w:tc>
          <w:tcPr>
            <w:tcW w:w="0" w:type="auto"/>
            <w:hideMark/>
          </w:tcPr>
          <w:p w14:paraId="7A5A03C3" w14:textId="77777777" w:rsidR="00F83517" w:rsidRPr="005D7A60" w:rsidRDefault="00F83517">
            <w:pPr>
              <w:tabs>
                <w:tab w:val="left" w:pos="142"/>
              </w:tabs>
              <w:rPr>
                <w:rFonts w:ascii="Times New Roman" w:hAnsi="Times New Roman"/>
                <w:sz w:val="18"/>
                <w:szCs w:val="18"/>
                <w:lang w:val="en-IN"/>
              </w:rPr>
            </w:pPr>
            <w:r w:rsidRPr="005D7A60">
              <w:rPr>
                <w:rFonts w:ascii="Times New Roman" w:hAnsi="Times New Roman"/>
                <w:sz w:val="18"/>
                <w:szCs w:val="18"/>
                <w:lang w:val="en-IN"/>
              </w:rPr>
              <w:t>EU bank panel</w:t>
            </w:r>
          </w:p>
        </w:tc>
        <w:tc>
          <w:tcPr>
            <w:tcW w:w="0" w:type="auto"/>
            <w:hideMark/>
          </w:tcPr>
          <w:p w14:paraId="6A4F50F0" w14:textId="77777777" w:rsidR="00F83517" w:rsidRPr="005D7A60" w:rsidRDefault="00F83517">
            <w:pPr>
              <w:tabs>
                <w:tab w:val="left" w:pos="142"/>
              </w:tabs>
              <w:rPr>
                <w:rFonts w:ascii="Times New Roman" w:hAnsi="Times New Roman"/>
                <w:sz w:val="18"/>
                <w:szCs w:val="18"/>
                <w:lang w:val="en-IN"/>
              </w:rPr>
            </w:pPr>
            <w:r w:rsidRPr="005D7A60">
              <w:rPr>
                <w:rFonts w:ascii="Times New Roman" w:hAnsi="Times New Roman"/>
                <w:sz w:val="18"/>
                <w:szCs w:val="18"/>
                <w:lang w:val="en-IN"/>
              </w:rPr>
              <w:t>Basel rules significantly raised compliance costs</w:t>
            </w:r>
          </w:p>
        </w:tc>
      </w:tr>
      <w:tr w:rsidR="00376E92" w:rsidRPr="005D7A60" w14:paraId="534A675F" w14:textId="77777777">
        <w:tc>
          <w:tcPr>
            <w:tcW w:w="0" w:type="auto"/>
            <w:hideMark/>
          </w:tcPr>
          <w:p w14:paraId="76B75B11" w14:textId="77777777" w:rsidR="00F83517" w:rsidRPr="005D7A60" w:rsidRDefault="00F83517">
            <w:pPr>
              <w:tabs>
                <w:tab w:val="left" w:pos="142"/>
              </w:tabs>
              <w:rPr>
                <w:rFonts w:ascii="Times New Roman" w:hAnsi="Times New Roman"/>
                <w:sz w:val="18"/>
                <w:szCs w:val="18"/>
                <w:lang w:val="de-DE"/>
              </w:rPr>
            </w:pPr>
            <w:r w:rsidRPr="005D7A60">
              <w:rPr>
                <w:rFonts w:ascii="Times New Roman" w:hAnsi="Times New Roman"/>
                <w:sz w:val="18"/>
                <w:szCs w:val="18"/>
                <w:lang w:val="de-DE"/>
              </w:rPr>
              <w:lastRenderedPageBreak/>
              <w:t>Behn, Haselmann &amp; Wachtel (2019, BIS WP 799)</w:t>
            </w:r>
          </w:p>
        </w:tc>
        <w:tc>
          <w:tcPr>
            <w:tcW w:w="0" w:type="auto"/>
            <w:hideMark/>
          </w:tcPr>
          <w:p w14:paraId="732D9049" w14:textId="77777777" w:rsidR="00F83517" w:rsidRPr="005D7A60" w:rsidRDefault="00F83517">
            <w:pPr>
              <w:tabs>
                <w:tab w:val="left" w:pos="142"/>
              </w:tabs>
              <w:rPr>
                <w:rFonts w:ascii="Times New Roman" w:hAnsi="Times New Roman"/>
                <w:sz w:val="18"/>
                <w:szCs w:val="18"/>
                <w:lang w:val="en-IN"/>
              </w:rPr>
            </w:pPr>
            <w:r w:rsidRPr="005D7A60">
              <w:rPr>
                <w:rFonts w:ascii="Times New Roman" w:hAnsi="Times New Roman"/>
                <w:sz w:val="18"/>
                <w:szCs w:val="18"/>
                <w:lang w:val="en-IN"/>
              </w:rPr>
              <w:t>Empirical assessment of IRB vs SA</w:t>
            </w:r>
          </w:p>
        </w:tc>
        <w:tc>
          <w:tcPr>
            <w:tcW w:w="0" w:type="auto"/>
            <w:hideMark/>
          </w:tcPr>
          <w:p w14:paraId="36053D20" w14:textId="77777777" w:rsidR="00F83517" w:rsidRPr="005D7A60" w:rsidRDefault="00F83517">
            <w:pPr>
              <w:tabs>
                <w:tab w:val="left" w:pos="142"/>
              </w:tabs>
              <w:rPr>
                <w:rFonts w:ascii="Times New Roman" w:hAnsi="Times New Roman"/>
                <w:sz w:val="18"/>
                <w:szCs w:val="18"/>
                <w:lang w:val="en-IN"/>
              </w:rPr>
            </w:pPr>
            <w:r w:rsidRPr="005D7A60">
              <w:rPr>
                <w:rFonts w:ascii="Times New Roman" w:hAnsi="Times New Roman"/>
                <w:sz w:val="18"/>
                <w:szCs w:val="18"/>
                <w:lang w:val="en-IN"/>
              </w:rPr>
              <w:t>Econometric modelling</w:t>
            </w:r>
          </w:p>
        </w:tc>
        <w:tc>
          <w:tcPr>
            <w:tcW w:w="0" w:type="auto"/>
            <w:hideMark/>
          </w:tcPr>
          <w:p w14:paraId="0206D12A" w14:textId="77777777" w:rsidR="00F83517" w:rsidRPr="005D7A60" w:rsidRDefault="00F83517">
            <w:pPr>
              <w:tabs>
                <w:tab w:val="left" w:pos="142"/>
              </w:tabs>
              <w:rPr>
                <w:rFonts w:ascii="Times New Roman" w:hAnsi="Times New Roman"/>
                <w:sz w:val="18"/>
                <w:szCs w:val="18"/>
                <w:lang w:val="en-IN"/>
              </w:rPr>
            </w:pPr>
            <w:r w:rsidRPr="005D7A60">
              <w:rPr>
                <w:rFonts w:ascii="Times New Roman" w:hAnsi="Times New Roman"/>
                <w:sz w:val="18"/>
                <w:szCs w:val="18"/>
                <w:lang w:val="en-IN"/>
              </w:rPr>
              <w:t>Bank credit data</w:t>
            </w:r>
          </w:p>
        </w:tc>
        <w:tc>
          <w:tcPr>
            <w:tcW w:w="0" w:type="auto"/>
            <w:hideMark/>
          </w:tcPr>
          <w:p w14:paraId="5A92F83F" w14:textId="77777777" w:rsidR="00F83517" w:rsidRPr="005D7A60" w:rsidRDefault="00F83517">
            <w:pPr>
              <w:tabs>
                <w:tab w:val="left" w:pos="142"/>
              </w:tabs>
              <w:rPr>
                <w:rFonts w:ascii="Times New Roman" w:hAnsi="Times New Roman"/>
                <w:sz w:val="18"/>
                <w:szCs w:val="18"/>
                <w:lang w:val="en-IN"/>
              </w:rPr>
            </w:pPr>
            <w:r w:rsidRPr="005D7A60">
              <w:rPr>
                <w:rFonts w:ascii="Times New Roman" w:hAnsi="Times New Roman"/>
                <w:sz w:val="18"/>
                <w:szCs w:val="18"/>
                <w:lang w:val="en-IN"/>
              </w:rPr>
              <w:t>Showed IRB risk weights systematically lower than SA, raising comparability issues</w:t>
            </w:r>
          </w:p>
        </w:tc>
      </w:tr>
      <w:tr w:rsidR="00376E92" w:rsidRPr="005D7A60" w14:paraId="62989243" w14:textId="77777777">
        <w:tc>
          <w:tcPr>
            <w:tcW w:w="0" w:type="auto"/>
            <w:hideMark/>
          </w:tcPr>
          <w:p w14:paraId="686C9A3A" w14:textId="77777777" w:rsidR="00F83517" w:rsidRPr="005D7A60" w:rsidRDefault="00F83517">
            <w:pPr>
              <w:tabs>
                <w:tab w:val="left" w:pos="142"/>
              </w:tabs>
              <w:rPr>
                <w:rFonts w:ascii="Times New Roman" w:hAnsi="Times New Roman"/>
                <w:sz w:val="18"/>
                <w:szCs w:val="18"/>
                <w:lang w:val="en-IN"/>
              </w:rPr>
            </w:pPr>
            <w:proofErr w:type="spellStart"/>
            <w:r w:rsidRPr="005D7A60">
              <w:rPr>
                <w:rFonts w:ascii="Times New Roman" w:hAnsi="Times New Roman"/>
                <w:sz w:val="18"/>
                <w:szCs w:val="18"/>
                <w:lang w:val="en-IN"/>
              </w:rPr>
              <w:t>Drehmann</w:t>
            </w:r>
            <w:proofErr w:type="spellEnd"/>
            <w:r w:rsidRPr="005D7A60">
              <w:rPr>
                <w:rFonts w:ascii="Times New Roman" w:hAnsi="Times New Roman"/>
                <w:sz w:val="18"/>
                <w:szCs w:val="18"/>
                <w:lang w:val="en-IN"/>
              </w:rPr>
              <w:t xml:space="preserve"> &amp; </w:t>
            </w:r>
            <w:proofErr w:type="spellStart"/>
            <w:r w:rsidRPr="005D7A60">
              <w:rPr>
                <w:rFonts w:ascii="Times New Roman" w:hAnsi="Times New Roman"/>
                <w:sz w:val="18"/>
                <w:szCs w:val="18"/>
                <w:lang w:val="en-IN"/>
              </w:rPr>
              <w:t>Yetman</w:t>
            </w:r>
            <w:proofErr w:type="spellEnd"/>
            <w:r w:rsidRPr="005D7A60">
              <w:rPr>
                <w:rFonts w:ascii="Times New Roman" w:hAnsi="Times New Roman"/>
                <w:sz w:val="18"/>
                <w:szCs w:val="18"/>
                <w:lang w:val="en-IN"/>
              </w:rPr>
              <w:t xml:space="preserve"> (2020, BIS WP 859)</w:t>
            </w:r>
          </w:p>
        </w:tc>
        <w:tc>
          <w:tcPr>
            <w:tcW w:w="0" w:type="auto"/>
            <w:hideMark/>
          </w:tcPr>
          <w:p w14:paraId="2965806F" w14:textId="77777777" w:rsidR="00F83517" w:rsidRPr="005D7A60" w:rsidRDefault="00F83517">
            <w:pPr>
              <w:tabs>
                <w:tab w:val="left" w:pos="142"/>
              </w:tabs>
              <w:rPr>
                <w:rFonts w:ascii="Times New Roman" w:hAnsi="Times New Roman"/>
                <w:sz w:val="18"/>
                <w:szCs w:val="18"/>
                <w:lang w:val="en-IN"/>
              </w:rPr>
            </w:pPr>
            <w:r w:rsidRPr="005D7A60">
              <w:rPr>
                <w:rFonts w:ascii="Times New Roman" w:hAnsi="Times New Roman"/>
                <w:sz w:val="18"/>
                <w:szCs w:val="18"/>
                <w:lang w:val="en-IN"/>
              </w:rPr>
              <w:t>Basel III stress test usability</w:t>
            </w:r>
          </w:p>
        </w:tc>
        <w:tc>
          <w:tcPr>
            <w:tcW w:w="0" w:type="auto"/>
            <w:hideMark/>
          </w:tcPr>
          <w:p w14:paraId="35FCE23D" w14:textId="77777777" w:rsidR="00F83517" w:rsidRPr="005D7A60" w:rsidRDefault="00F83517">
            <w:pPr>
              <w:tabs>
                <w:tab w:val="left" w:pos="142"/>
              </w:tabs>
              <w:rPr>
                <w:rFonts w:ascii="Times New Roman" w:hAnsi="Times New Roman"/>
                <w:sz w:val="18"/>
                <w:szCs w:val="18"/>
                <w:lang w:val="en-IN"/>
              </w:rPr>
            </w:pPr>
            <w:r w:rsidRPr="005D7A60">
              <w:rPr>
                <w:rFonts w:ascii="Times New Roman" w:hAnsi="Times New Roman"/>
                <w:sz w:val="18"/>
                <w:szCs w:val="18"/>
                <w:lang w:val="en-IN"/>
              </w:rPr>
              <w:t>Simulation &amp; policy analysis</w:t>
            </w:r>
          </w:p>
        </w:tc>
        <w:tc>
          <w:tcPr>
            <w:tcW w:w="0" w:type="auto"/>
            <w:hideMark/>
          </w:tcPr>
          <w:p w14:paraId="418015AD" w14:textId="77777777" w:rsidR="00F83517" w:rsidRPr="005D7A60" w:rsidRDefault="00F83517">
            <w:pPr>
              <w:tabs>
                <w:tab w:val="left" w:pos="142"/>
              </w:tabs>
              <w:rPr>
                <w:rFonts w:ascii="Times New Roman" w:hAnsi="Times New Roman"/>
                <w:sz w:val="18"/>
                <w:szCs w:val="18"/>
                <w:lang w:val="en-IN"/>
              </w:rPr>
            </w:pPr>
            <w:r w:rsidRPr="005D7A60">
              <w:rPr>
                <w:rFonts w:ascii="Times New Roman" w:hAnsi="Times New Roman"/>
                <w:sz w:val="18"/>
                <w:szCs w:val="18"/>
                <w:lang w:val="en-IN"/>
              </w:rPr>
              <w:t>Basel capital buffers</w:t>
            </w:r>
          </w:p>
        </w:tc>
        <w:tc>
          <w:tcPr>
            <w:tcW w:w="0" w:type="auto"/>
            <w:hideMark/>
          </w:tcPr>
          <w:p w14:paraId="69CC6DAE" w14:textId="77777777" w:rsidR="00F83517" w:rsidRPr="005D7A60" w:rsidRDefault="00F83517">
            <w:pPr>
              <w:tabs>
                <w:tab w:val="left" w:pos="142"/>
              </w:tabs>
              <w:rPr>
                <w:rFonts w:ascii="Times New Roman" w:hAnsi="Times New Roman"/>
                <w:sz w:val="18"/>
                <w:szCs w:val="18"/>
                <w:lang w:val="en-IN"/>
              </w:rPr>
            </w:pPr>
            <w:r w:rsidRPr="005D7A60">
              <w:rPr>
                <w:rFonts w:ascii="Times New Roman" w:hAnsi="Times New Roman"/>
                <w:sz w:val="18"/>
                <w:szCs w:val="18"/>
                <w:lang w:val="en-IN"/>
              </w:rPr>
              <w:t>Capital buffers may not function as intended in stress</w:t>
            </w:r>
          </w:p>
        </w:tc>
      </w:tr>
      <w:tr w:rsidR="00376E92" w:rsidRPr="005D7A60" w14:paraId="189A08B2" w14:textId="77777777">
        <w:tc>
          <w:tcPr>
            <w:tcW w:w="0" w:type="auto"/>
            <w:hideMark/>
          </w:tcPr>
          <w:p w14:paraId="122FFD51" w14:textId="77777777" w:rsidR="00F83517" w:rsidRPr="005D7A60" w:rsidRDefault="00F83517">
            <w:pPr>
              <w:tabs>
                <w:tab w:val="left" w:pos="142"/>
              </w:tabs>
              <w:rPr>
                <w:rFonts w:ascii="Times New Roman" w:hAnsi="Times New Roman"/>
                <w:sz w:val="18"/>
                <w:szCs w:val="18"/>
                <w:lang w:val="en-IN"/>
              </w:rPr>
            </w:pPr>
            <w:proofErr w:type="spellStart"/>
            <w:r w:rsidRPr="005D7A60">
              <w:rPr>
                <w:rFonts w:ascii="Times New Roman" w:hAnsi="Times New Roman"/>
                <w:sz w:val="18"/>
                <w:szCs w:val="18"/>
                <w:lang w:val="en-IN"/>
              </w:rPr>
              <w:t>Anguren</w:t>
            </w:r>
            <w:proofErr w:type="spellEnd"/>
            <w:r w:rsidRPr="005D7A60">
              <w:rPr>
                <w:rFonts w:ascii="Times New Roman" w:hAnsi="Times New Roman"/>
                <w:sz w:val="18"/>
                <w:szCs w:val="18"/>
                <w:lang w:val="en-IN"/>
              </w:rPr>
              <w:t xml:space="preserve">, Jiménez &amp; </w:t>
            </w:r>
            <w:proofErr w:type="spellStart"/>
            <w:r w:rsidRPr="005D7A60">
              <w:rPr>
                <w:rFonts w:ascii="Times New Roman" w:hAnsi="Times New Roman"/>
                <w:sz w:val="18"/>
                <w:szCs w:val="18"/>
                <w:lang w:val="en-IN"/>
              </w:rPr>
              <w:t>Peydró</w:t>
            </w:r>
            <w:proofErr w:type="spellEnd"/>
            <w:r w:rsidRPr="005D7A60">
              <w:rPr>
                <w:rFonts w:ascii="Times New Roman" w:hAnsi="Times New Roman"/>
                <w:sz w:val="18"/>
                <w:szCs w:val="18"/>
                <w:lang w:val="en-IN"/>
              </w:rPr>
              <w:t xml:space="preserve"> (2024)</w:t>
            </w:r>
          </w:p>
        </w:tc>
        <w:tc>
          <w:tcPr>
            <w:tcW w:w="0" w:type="auto"/>
            <w:hideMark/>
          </w:tcPr>
          <w:p w14:paraId="5615D242" w14:textId="77777777" w:rsidR="00F83517" w:rsidRPr="005D7A60" w:rsidRDefault="00F83517">
            <w:pPr>
              <w:tabs>
                <w:tab w:val="left" w:pos="142"/>
              </w:tabs>
              <w:rPr>
                <w:rFonts w:ascii="Times New Roman" w:hAnsi="Times New Roman"/>
                <w:sz w:val="18"/>
                <w:szCs w:val="18"/>
                <w:lang w:val="en-IN"/>
              </w:rPr>
            </w:pPr>
            <w:r w:rsidRPr="005D7A60">
              <w:rPr>
                <w:rFonts w:ascii="Times New Roman" w:hAnsi="Times New Roman"/>
                <w:sz w:val="18"/>
                <w:szCs w:val="18"/>
                <w:lang w:val="en-IN"/>
              </w:rPr>
              <w:t>Basel III capital &amp; risk-taking</w:t>
            </w:r>
          </w:p>
        </w:tc>
        <w:tc>
          <w:tcPr>
            <w:tcW w:w="0" w:type="auto"/>
            <w:hideMark/>
          </w:tcPr>
          <w:p w14:paraId="1E3012E8" w14:textId="77777777" w:rsidR="00F83517" w:rsidRPr="005D7A60" w:rsidRDefault="00F83517">
            <w:pPr>
              <w:tabs>
                <w:tab w:val="left" w:pos="142"/>
              </w:tabs>
              <w:rPr>
                <w:rFonts w:ascii="Times New Roman" w:hAnsi="Times New Roman"/>
                <w:sz w:val="18"/>
                <w:szCs w:val="18"/>
                <w:lang w:val="en-IN"/>
              </w:rPr>
            </w:pPr>
            <w:r w:rsidRPr="005D7A60">
              <w:rPr>
                <w:rFonts w:ascii="Times New Roman" w:hAnsi="Times New Roman"/>
                <w:sz w:val="18"/>
                <w:szCs w:val="18"/>
                <w:lang w:val="en-IN"/>
              </w:rPr>
              <w:t>Econometric evidence</w:t>
            </w:r>
          </w:p>
        </w:tc>
        <w:tc>
          <w:tcPr>
            <w:tcW w:w="0" w:type="auto"/>
            <w:hideMark/>
          </w:tcPr>
          <w:p w14:paraId="35521B75" w14:textId="77777777" w:rsidR="00F83517" w:rsidRPr="005D7A60" w:rsidRDefault="00F83517">
            <w:pPr>
              <w:tabs>
                <w:tab w:val="left" w:pos="142"/>
              </w:tabs>
              <w:rPr>
                <w:rFonts w:ascii="Times New Roman" w:hAnsi="Times New Roman"/>
                <w:sz w:val="18"/>
                <w:szCs w:val="18"/>
                <w:lang w:val="en-IN"/>
              </w:rPr>
            </w:pPr>
            <w:r w:rsidRPr="005D7A60">
              <w:rPr>
                <w:rFonts w:ascii="Times New Roman" w:hAnsi="Times New Roman"/>
                <w:sz w:val="18"/>
                <w:szCs w:val="18"/>
                <w:lang w:val="en-IN"/>
              </w:rPr>
              <w:t>Spanish/European banks</w:t>
            </w:r>
          </w:p>
        </w:tc>
        <w:tc>
          <w:tcPr>
            <w:tcW w:w="0" w:type="auto"/>
            <w:hideMark/>
          </w:tcPr>
          <w:p w14:paraId="29F434CB" w14:textId="77777777" w:rsidR="00F83517" w:rsidRPr="005D7A60" w:rsidRDefault="00F83517">
            <w:pPr>
              <w:tabs>
                <w:tab w:val="left" w:pos="142"/>
              </w:tabs>
              <w:rPr>
                <w:rFonts w:ascii="Times New Roman" w:hAnsi="Times New Roman"/>
                <w:sz w:val="18"/>
                <w:szCs w:val="18"/>
                <w:lang w:val="en-IN"/>
              </w:rPr>
            </w:pPr>
            <w:r w:rsidRPr="005D7A60">
              <w:rPr>
                <w:rFonts w:ascii="Times New Roman" w:hAnsi="Times New Roman"/>
                <w:sz w:val="18"/>
                <w:szCs w:val="18"/>
                <w:lang w:val="en-IN"/>
              </w:rPr>
              <w:t>Basel III increased capital; mixed effects on lending/risk</w:t>
            </w:r>
          </w:p>
        </w:tc>
      </w:tr>
      <w:tr w:rsidR="00376E92" w:rsidRPr="005D7A60" w14:paraId="67037429" w14:textId="77777777">
        <w:tc>
          <w:tcPr>
            <w:tcW w:w="0" w:type="auto"/>
            <w:hideMark/>
          </w:tcPr>
          <w:p w14:paraId="684C49F0" w14:textId="77777777" w:rsidR="00F83517" w:rsidRPr="005D7A60" w:rsidRDefault="00F83517">
            <w:pPr>
              <w:tabs>
                <w:tab w:val="left" w:pos="142"/>
              </w:tabs>
              <w:rPr>
                <w:rFonts w:ascii="Times New Roman" w:hAnsi="Times New Roman"/>
                <w:sz w:val="18"/>
                <w:szCs w:val="18"/>
                <w:lang w:val="en-IN"/>
              </w:rPr>
            </w:pPr>
            <w:r w:rsidRPr="005D7A60">
              <w:rPr>
                <w:rFonts w:ascii="Times New Roman" w:hAnsi="Times New Roman"/>
                <w:sz w:val="18"/>
                <w:szCs w:val="18"/>
                <w:lang w:val="en-IN"/>
              </w:rPr>
              <w:t>Bashir et al. (2025)</w:t>
            </w:r>
          </w:p>
        </w:tc>
        <w:tc>
          <w:tcPr>
            <w:tcW w:w="0" w:type="auto"/>
            <w:hideMark/>
          </w:tcPr>
          <w:p w14:paraId="51BD5BA5" w14:textId="77777777" w:rsidR="00F83517" w:rsidRPr="005D7A60" w:rsidRDefault="00F83517">
            <w:pPr>
              <w:tabs>
                <w:tab w:val="left" w:pos="142"/>
              </w:tabs>
              <w:rPr>
                <w:rFonts w:ascii="Times New Roman" w:hAnsi="Times New Roman"/>
                <w:sz w:val="18"/>
                <w:szCs w:val="18"/>
                <w:lang w:val="en-IN"/>
              </w:rPr>
            </w:pPr>
            <w:r w:rsidRPr="005D7A60">
              <w:rPr>
                <w:rFonts w:ascii="Times New Roman" w:hAnsi="Times New Roman"/>
                <w:sz w:val="18"/>
                <w:szCs w:val="18"/>
                <w:lang w:val="en-IN"/>
              </w:rPr>
              <w:t>Basel capital rules in EM economies</w:t>
            </w:r>
          </w:p>
        </w:tc>
        <w:tc>
          <w:tcPr>
            <w:tcW w:w="0" w:type="auto"/>
            <w:hideMark/>
          </w:tcPr>
          <w:p w14:paraId="6871B283" w14:textId="77777777" w:rsidR="00F83517" w:rsidRPr="005D7A60" w:rsidRDefault="00F83517">
            <w:pPr>
              <w:tabs>
                <w:tab w:val="left" w:pos="142"/>
              </w:tabs>
              <w:rPr>
                <w:rFonts w:ascii="Times New Roman" w:hAnsi="Times New Roman"/>
                <w:sz w:val="18"/>
                <w:szCs w:val="18"/>
                <w:lang w:val="en-IN"/>
              </w:rPr>
            </w:pPr>
            <w:r w:rsidRPr="005D7A60">
              <w:rPr>
                <w:rFonts w:ascii="Times New Roman" w:hAnsi="Times New Roman"/>
                <w:sz w:val="18"/>
                <w:szCs w:val="18"/>
                <w:lang w:val="en-IN"/>
              </w:rPr>
              <w:t>Panel econometrics</w:t>
            </w:r>
          </w:p>
        </w:tc>
        <w:tc>
          <w:tcPr>
            <w:tcW w:w="0" w:type="auto"/>
            <w:hideMark/>
          </w:tcPr>
          <w:p w14:paraId="6CDA492B" w14:textId="77777777" w:rsidR="00F83517" w:rsidRPr="005D7A60" w:rsidRDefault="00F83517">
            <w:pPr>
              <w:tabs>
                <w:tab w:val="left" w:pos="142"/>
              </w:tabs>
              <w:rPr>
                <w:rFonts w:ascii="Times New Roman" w:hAnsi="Times New Roman"/>
                <w:sz w:val="18"/>
                <w:szCs w:val="18"/>
                <w:lang w:val="en-IN"/>
              </w:rPr>
            </w:pPr>
            <w:r w:rsidRPr="005D7A60">
              <w:rPr>
                <w:rFonts w:ascii="Times New Roman" w:hAnsi="Times New Roman"/>
                <w:sz w:val="18"/>
                <w:szCs w:val="18"/>
                <w:lang w:val="en-IN"/>
              </w:rPr>
              <w:t>Emerging-market bank data</w:t>
            </w:r>
          </w:p>
        </w:tc>
        <w:tc>
          <w:tcPr>
            <w:tcW w:w="0" w:type="auto"/>
            <w:hideMark/>
          </w:tcPr>
          <w:p w14:paraId="0D35E0F3" w14:textId="77777777" w:rsidR="00F83517" w:rsidRPr="005D7A60" w:rsidRDefault="00F83517">
            <w:pPr>
              <w:tabs>
                <w:tab w:val="left" w:pos="142"/>
              </w:tabs>
              <w:rPr>
                <w:rFonts w:ascii="Times New Roman" w:hAnsi="Times New Roman"/>
                <w:sz w:val="18"/>
                <w:szCs w:val="18"/>
                <w:lang w:val="en-IN"/>
              </w:rPr>
            </w:pPr>
            <w:r w:rsidRPr="005D7A60">
              <w:rPr>
                <w:rFonts w:ascii="Times New Roman" w:hAnsi="Times New Roman"/>
                <w:sz w:val="18"/>
                <w:szCs w:val="18"/>
                <w:lang w:val="en-IN"/>
              </w:rPr>
              <w:t>Basel capital regulations reshape risk-efficiency dynamics</w:t>
            </w:r>
          </w:p>
        </w:tc>
      </w:tr>
    </w:tbl>
    <w:p w14:paraId="22D7DAE0" w14:textId="77777777" w:rsidR="00CE49B4" w:rsidRPr="005D7A60" w:rsidRDefault="00CE49B4" w:rsidP="00173853">
      <w:pPr>
        <w:tabs>
          <w:tab w:val="left" w:pos="142"/>
        </w:tabs>
        <w:rPr>
          <w:rFonts w:ascii="Times New Roman" w:hAnsi="Times New Roman"/>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20" w:firstRow="1" w:lastRow="0" w:firstColumn="0" w:lastColumn="0" w:noHBand="0" w:noVBand="1"/>
      </w:tblPr>
      <w:tblGrid>
        <w:gridCol w:w="1925"/>
        <w:gridCol w:w="4956"/>
        <w:gridCol w:w="1454"/>
        <w:gridCol w:w="1701"/>
        <w:gridCol w:w="3140"/>
      </w:tblGrid>
      <w:tr w:rsidR="00BC6451" w:rsidRPr="005D7A60" w14:paraId="6DC531D8" w14:textId="77777777">
        <w:tc>
          <w:tcPr>
            <w:tcW w:w="0" w:type="auto"/>
            <w:gridSpan w:val="5"/>
            <w:tcBorders>
              <w:top w:val="single" w:sz="4" w:space="0" w:color="auto"/>
              <w:left w:val="single" w:sz="4" w:space="0" w:color="auto"/>
              <w:bottom w:val="single" w:sz="4" w:space="0" w:color="auto"/>
              <w:right w:val="single" w:sz="4" w:space="0" w:color="auto"/>
            </w:tcBorders>
          </w:tcPr>
          <w:p w14:paraId="3AD08D30" w14:textId="358A8E48" w:rsidR="00BC6451" w:rsidRPr="005D7A60" w:rsidRDefault="00BC6451">
            <w:pPr>
              <w:jc w:val="both"/>
              <w:rPr>
                <w:rFonts w:ascii="Times New Roman" w:hAnsi="Times New Roman"/>
                <w:b/>
                <w:bCs/>
                <w:color w:val="000000"/>
                <w:sz w:val="18"/>
                <w:szCs w:val="18"/>
                <w:lang w:val="en-IN" w:eastAsia="en-IN"/>
              </w:rPr>
            </w:pPr>
            <w:r w:rsidRPr="005D7A60">
              <w:rPr>
                <w:rFonts w:ascii="Times New Roman" w:hAnsi="Times New Roman"/>
                <w:b/>
                <w:bCs/>
                <w:sz w:val="18"/>
                <w:szCs w:val="18"/>
              </w:rPr>
              <w:t xml:space="preserve">Table </w:t>
            </w:r>
            <w:r w:rsidR="009E6F87" w:rsidRPr="005D7A60">
              <w:rPr>
                <w:rFonts w:ascii="Times New Roman" w:hAnsi="Times New Roman"/>
                <w:b/>
                <w:bCs/>
                <w:sz w:val="18"/>
                <w:szCs w:val="18"/>
              </w:rPr>
              <w:t>5</w:t>
            </w:r>
            <w:r w:rsidRPr="005D7A60">
              <w:rPr>
                <w:rFonts w:ascii="Times New Roman" w:hAnsi="Times New Roman"/>
                <w:b/>
                <w:bCs/>
                <w:sz w:val="18"/>
                <w:szCs w:val="18"/>
              </w:rPr>
              <w:t xml:space="preserve">: </w:t>
            </w:r>
            <w:r w:rsidR="009E6F87" w:rsidRPr="005D7A60">
              <w:rPr>
                <w:rFonts w:ascii="Times New Roman" w:hAnsi="Times New Roman"/>
                <w:b/>
                <w:bCs/>
                <w:sz w:val="18"/>
                <w:szCs w:val="18"/>
              </w:rPr>
              <w:t>Emerging Efforts to Combine Predictive and Generative AI in Credit Risk</w:t>
            </w:r>
          </w:p>
        </w:tc>
      </w:tr>
      <w:tr w:rsidR="00C20EFB" w:rsidRPr="005D7A60" w14:paraId="4BC5D0D4" w14:textId="77777777">
        <w:tc>
          <w:tcPr>
            <w:tcW w:w="0" w:type="auto"/>
            <w:tcBorders>
              <w:top w:val="single" w:sz="4" w:space="0" w:color="auto"/>
              <w:left w:val="single" w:sz="4" w:space="0" w:color="auto"/>
              <w:bottom w:val="single" w:sz="4" w:space="0" w:color="auto"/>
              <w:right w:val="single" w:sz="4" w:space="0" w:color="auto"/>
            </w:tcBorders>
            <w:hideMark/>
          </w:tcPr>
          <w:p w14:paraId="41162048" w14:textId="44277A2C" w:rsidR="009E6F87" w:rsidRPr="005D7A60" w:rsidRDefault="009E6F87" w:rsidP="009E6F87">
            <w:pPr>
              <w:rPr>
                <w:rFonts w:ascii="Times New Roman" w:hAnsi="Times New Roman"/>
                <w:b/>
                <w:bCs/>
                <w:color w:val="000000"/>
                <w:sz w:val="18"/>
                <w:szCs w:val="18"/>
                <w:lang w:val="en-IN" w:eastAsia="en-IN"/>
              </w:rPr>
            </w:pPr>
            <w:r w:rsidRPr="005D7A60">
              <w:rPr>
                <w:rFonts w:ascii="Times New Roman" w:hAnsi="Times New Roman"/>
                <w:b/>
                <w:bCs/>
                <w:sz w:val="18"/>
                <w:szCs w:val="18"/>
              </w:rPr>
              <w:t>Author</w:t>
            </w:r>
          </w:p>
        </w:tc>
        <w:tc>
          <w:tcPr>
            <w:tcW w:w="0" w:type="auto"/>
            <w:tcBorders>
              <w:top w:val="single" w:sz="4" w:space="0" w:color="auto"/>
              <w:left w:val="single" w:sz="4" w:space="0" w:color="auto"/>
              <w:bottom w:val="single" w:sz="4" w:space="0" w:color="auto"/>
              <w:right w:val="single" w:sz="4" w:space="0" w:color="auto"/>
            </w:tcBorders>
            <w:hideMark/>
          </w:tcPr>
          <w:p w14:paraId="08E14AE4" w14:textId="02D99E68" w:rsidR="009E6F87" w:rsidRPr="005D7A60" w:rsidRDefault="009E6F87" w:rsidP="009E6F87">
            <w:pPr>
              <w:rPr>
                <w:rFonts w:ascii="Times New Roman" w:hAnsi="Times New Roman"/>
                <w:b/>
                <w:bCs/>
                <w:color w:val="000000"/>
                <w:sz w:val="18"/>
                <w:szCs w:val="18"/>
                <w:lang w:val="en-IN" w:eastAsia="en-IN"/>
              </w:rPr>
            </w:pPr>
            <w:r w:rsidRPr="005D7A60">
              <w:rPr>
                <w:rFonts w:ascii="Times New Roman" w:hAnsi="Times New Roman"/>
                <w:b/>
                <w:bCs/>
                <w:sz w:val="18"/>
                <w:szCs w:val="18"/>
              </w:rPr>
              <w:t>Contribution</w:t>
            </w:r>
          </w:p>
        </w:tc>
        <w:tc>
          <w:tcPr>
            <w:tcW w:w="0" w:type="auto"/>
            <w:tcBorders>
              <w:top w:val="single" w:sz="4" w:space="0" w:color="auto"/>
              <w:left w:val="single" w:sz="4" w:space="0" w:color="auto"/>
              <w:bottom w:val="single" w:sz="4" w:space="0" w:color="auto"/>
              <w:right w:val="single" w:sz="4" w:space="0" w:color="auto"/>
            </w:tcBorders>
            <w:hideMark/>
          </w:tcPr>
          <w:p w14:paraId="4602D369" w14:textId="77777777" w:rsidR="009E6F87" w:rsidRPr="005D7A60" w:rsidRDefault="009E6F87" w:rsidP="009E6F87">
            <w:pPr>
              <w:rPr>
                <w:rFonts w:ascii="Times New Roman" w:hAnsi="Times New Roman"/>
                <w:b/>
                <w:bCs/>
                <w:color w:val="000000"/>
                <w:sz w:val="18"/>
                <w:szCs w:val="18"/>
                <w:lang w:val="en-IN" w:eastAsia="en-IN"/>
              </w:rPr>
            </w:pPr>
            <w:r w:rsidRPr="005D7A60">
              <w:rPr>
                <w:rFonts w:ascii="Times New Roman" w:hAnsi="Times New Roman"/>
                <w:b/>
                <w:bCs/>
                <w:sz w:val="18"/>
                <w:szCs w:val="18"/>
              </w:rPr>
              <w:t>Model Used</w:t>
            </w:r>
          </w:p>
        </w:tc>
        <w:tc>
          <w:tcPr>
            <w:tcW w:w="0" w:type="auto"/>
            <w:tcBorders>
              <w:top w:val="single" w:sz="4" w:space="0" w:color="auto"/>
              <w:left w:val="single" w:sz="4" w:space="0" w:color="auto"/>
              <w:bottom w:val="single" w:sz="4" w:space="0" w:color="auto"/>
              <w:right w:val="single" w:sz="4" w:space="0" w:color="auto"/>
            </w:tcBorders>
            <w:hideMark/>
          </w:tcPr>
          <w:p w14:paraId="75754107" w14:textId="77777777" w:rsidR="009E6F87" w:rsidRPr="005D7A60" w:rsidRDefault="009E6F87" w:rsidP="009E6F87">
            <w:pPr>
              <w:rPr>
                <w:rFonts w:ascii="Times New Roman" w:hAnsi="Times New Roman"/>
                <w:b/>
                <w:bCs/>
                <w:color w:val="000000"/>
                <w:sz w:val="18"/>
                <w:szCs w:val="18"/>
                <w:lang w:val="en-IN" w:eastAsia="en-IN"/>
              </w:rPr>
            </w:pPr>
            <w:r w:rsidRPr="005D7A60">
              <w:rPr>
                <w:rFonts w:ascii="Times New Roman" w:hAnsi="Times New Roman"/>
                <w:b/>
                <w:bCs/>
                <w:sz w:val="18"/>
                <w:szCs w:val="18"/>
              </w:rPr>
              <w:t>Data/Input</w:t>
            </w:r>
          </w:p>
        </w:tc>
        <w:tc>
          <w:tcPr>
            <w:tcW w:w="0" w:type="auto"/>
            <w:tcBorders>
              <w:top w:val="single" w:sz="4" w:space="0" w:color="auto"/>
              <w:left w:val="single" w:sz="4" w:space="0" w:color="auto"/>
              <w:bottom w:val="single" w:sz="4" w:space="0" w:color="auto"/>
              <w:right w:val="single" w:sz="4" w:space="0" w:color="auto"/>
            </w:tcBorders>
            <w:hideMark/>
          </w:tcPr>
          <w:p w14:paraId="2E4C9A3D" w14:textId="77777777" w:rsidR="009E6F87" w:rsidRPr="005D7A60" w:rsidRDefault="009E6F87" w:rsidP="009E6F87">
            <w:pPr>
              <w:rPr>
                <w:rFonts w:ascii="Times New Roman" w:hAnsi="Times New Roman"/>
                <w:b/>
                <w:bCs/>
                <w:color w:val="000000"/>
                <w:sz w:val="18"/>
                <w:szCs w:val="18"/>
                <w:lang w:val="en-IN" w:eastAsia="en-IN"/>
              </w:rPr>
            </w:pPr>
            <w:r w:rsidRPr="005D7A60">
              <w:rPr>
                <w:rFonts w:ascii="Times New Roman" w:hAnsi="Times New Roman"/>
                <w:b/>
                <w:bCs/>
                <w:sz w:val="18"/>
                <w:szCs w:val="18"/>
              </w:rPr>
              <w:t>Outcome</w:t>
            </w:r>
          </w:p>
        </w:tc>
      </w:tr>
      <w:tr w:rsidR="00C20EFB" w:rsidRPr="005D7A60" w14:paraId="16BB8832" w14:textId="77777777">
        <w:tc>
          <w:tcPr>
            <w:tcW w:w="0" w:type="auto"/>
            <w:tcBorders>
              <w:top w:val="single" w:sz="4" w:space="0" w:color="auto"/>
              <w:left w:val="single" w:sz="4" w:space="0" w:color="auto"/>
              <w:bottom w:val="single" w:sz="4" w:space="0" w:color="auto"/>
              <w:right w:val="single" w:sz="4" w:space="0" w:color="auto"/>
            </w:tcBorders>
            <w:hideMark/>
          </w:tcPr>
          <w:p w14:paraId="7EE93778" w14:textId="6D4684B6" w:rsidR="009E6F87" w:rsidRPr="005D7A60" w:rsidRDefault="009E6F87" w:rsidP="009E6F87">
            <w:pPr>
              <w:rPr>
                <w:rFonts w:ascii="Times New Roman" w:hAnsi="Times New Roman"/>
                <w:color w:val="000000"/>
                <w:sz w:val="18"/>
                <w:szCs w:val="18"/>
                <w:lang w:val="en-IN" w:eastAsia="en-IN"/>
              </w:rPr>
            </w:pPr>
            <w:r w:rsidRPr="005D7A60">
              <w:rPr>
                <w:rFonts w:ascii="Times New Roman" w:hAnsi="Times New Roman"/>
                <w:sz w:val="18"/>
                <w:szCs w:val="18"/>
              </w:rPr>
              <w:t>Currently limited</w:t>
            </w:r>
          </w:p>
        </w:tc>
        <w:tc>
          <w:tcPr>
            <w:tcW w:w="0" w:type="auto"/>
            <w:tcBorders>
              <w:top w:val="single" w:sz="4" w:space="0" w:color="auto"/>
              <w:left w:val="single" w:sz="4" w:space="0" w:color="auto"/>
              <w:bottom w:val="single" w:sz="4" w:space="0" w:color="auto"/>
              <w:right w:val="single" w:sz="4" w:space="0" w:color="auto"/>
            </w:tcBorders>
            <w:hideMark/>
          </w:tcPr>
          <w:p w14:paraId="5401EA5B" w14:textId="4A5AB443" w:rsidR="009E6F87" w:rsidRPr="005D7A60" w:rsidRDefault="009E6F87" w:rsidP="009E6F87">
            <w:pPr>
              <w:rPr>
                <w:rFonts w:ascii="Times New Roman" w:hAnsi="Times New Roman"/>
                <w:color w:val="000000"/>
                <w:sz w:val="18"/>
                <w:szCs w:val="18"/>
                <w:lang w:val="en-IN" w:eastAsia="en-IN"/>
              </w:rPr>
            </w:pPr>
            <w:r w:rsidRPr="005D7A60">
              <w:rPr>
                <w:rFonts w:ascii="Times New Roman" w:hAnsi="Times New Roman"/>
                <w:sz w:val="18"/>
                <w:szCs w:val="18"/>
              </w:rPr>
              <w:t>Literature treats predictive and generative AI separately</w:t>
            </w:r>
          </w:p>
        </w:tc>
        <w:tc>
          <w:tcPr>
            <w:tcW w:w="0" w:type="auto"/>
            <w:tcBorders>
              <w:top w:val="single" w:sz="4" w:space="0" w:color="auto"/>
              <w:left w:val="single" w:sz="4" w:space="0" w:color="auto"/>
              <w:bottom w:val="single" w:sz="4" w:space="0" w:color="auto"/>
              <w:right w:val="single" w:sz="4" w:space="0" w:color="auto"/>
            </w:tcBorders>
            <w:hideMark/>
          </w:tcPr>
          <w:p w14:paraId="68889752" w14:textId="77777777" w:rsidR="009E6F87" w:rsidRPr="005D7A60" w:rsidRDefault="009E6F87" w:rsidP="009E6F87">
            <w:pPr>
              <w:rPr>
                <w:rFonts w:ascii="Times New Roman" w:hAnsi="Times New Roman"/>
                <w:color w:val="000000"/>
                <w:sz w:val="18"/>
                <w:szCs w:val="18"/>
                <w:lang w:val="en-IN" w:eastAsia="en-IN"/>
              </w:rPr>
            </w:pPr>
            <w:r w:rsidRPr="005D7A60">
              <w:rPr>
                <w:rFonts w:ascii="Times New Roman" w:hAnsi="Times New Roman"/>
                <w:sz w:val="18"/>
                <w:szCs w:val="18"/>
              </w:rPr>
              <w:t>Document analysis</w:t>
            </w:r>
          </w:p>
        </w:tc>
        <w:tc>
          <w:tcPr>
            <w:tcW w:w="0" w:type="auto"/>
            <w:tcBorders>
              <w:top w:val="single" w:sz="4" w:space="0" w:color="auto"/>
              <w:left w:val="single" w:sz="4" w:space="0" w:color="auto"/>
              <w:bottom w:val="single" w:sz="4" w:space="0" w:color="auto"/>
              <w:right w:val="single" w:sz="4" w:space="0" w:color="auto"/>
            </w:tcBorders>
            <w:hideMark/>
          </w:tcPr>
          <w:p w14:paraId="5B222511" w14:textId="77777777" w:rsidR="009E6F87" w:rsidRPr="005D7A60" w:rsidRDefault="009E6F87" w:rsidP="009E6F87">
            <w:pPr>
              <w:rPr>
                <w:rFonts w:ascii="Times New Roman" w:hAnsi="Times New Roman"/>
                <w:color w:val="000000"/>
                <w:sz w:val="18"/>
                <w:szCs w:val="18"/>
                <w:lang w:val="en-IN" w:eastAsia="en-IN"/>
              </w:rPr>
            </w:pPr>
            <w:r w:rsidRPr="005D7A60">
              <w:rPr>
                <w:rFonts w:ascii="Times New Roman" w:hAnsi="Times New Roman"/>
                <w:sz w:val="18"/>
                <w:szCs w:val="18"/>
              </w:rPr>
              <w:t>Basel I–III frameworks</w:t>
            </w:r>
          </w:p>
        </w:tc>
        <w:tc>
          <w:tcPr>
            <w:tcW w:w="0" w:type="auto"/>
            <w:tcBorders>
              <w:top w:val="single" w:sz="4" w:space="0" w:color="auto"/>
              <w:left w:val="single" w:sz="4" w:space="0" w:color="auto"/>
              <w:bottom w:val="single" w:sz="4" w:space="0" w:color="auto"/>
              <w:right w:val="single" w:sz="4" w:space="0" w:color="auto"/>
            </w:tcBorders>
            <w:hideMark/>
          </w:tcPr>
          <w:p w14:paraId="47F4D5D1" w14:textId="77777777" w:rsidR="009E6F87" w:rsidRPr="005D7A60" w:rsidRDefault="009E6F87" w:rsidP="009E6F87">
            <w:pPr>
              <w:rPr>
                <w:rFonts w:ascii="Times New Roman" w:hAnsi="Times New Roman"/>
                <w:color w:val="000000"/>
                <w:sz w:val="18"/>
                <w:szCs w:val="18"/>
                <w:lang w:val="en-IN" w:eastAsia="en-IN"/>
              </w:rPr>
            </w:pPr>
            <w:r w:rsidRPr="005D7A60">
              <w:rPr>
                <w:rFonts w:ascii="Times New Roman" w:hAnsi="Times New Roman"/>
                <w:sz w:val="18"/>
                <w:szCs w:val="18"/>
              </w:rPr>
              <w:t>Basel text expanded from ~30pp to 600+</w:t>
            </w:r>
          </w:p>
        </w:tc>
      </w:tr>
      <w:tr w:rsidR="00C20EFB" w:rsidRPr="005D7A60" w14:paraId="44653E0A" w14:textId="77777777">
        <w:tc>
          <w:tcPr>
            <w:tcW w:w="0" w:type="auto"/>
            <w:tcBorders>
              <w:top w:val="single" w:sz="4" w:space="0" w:color="auto"/>
              <w:left w:val="single" w:sz="4" w:space="0" w:color="auto"/>
              <w:bottom w:val="single" w:sz="4" w:space="0" w:color="auto"/>
              <w:right w:val="single" w:sz="4" w:space="0" w:color="auto"/>
            </w:tcBorders>
            <w:hideMark/>
          </w:tcPr>
          <w:p w14:paraId="3364B4C4" w14:textId="7AF08E8C" w:rsidR="009E6F87" w:rsidRPr="005D7A60" w:rsidRDefault="009E6F87" w:rsidP="009E6F87">
            <w:pPr>
              <w:rPr>
                <w:rFonts w:ascii="Times New Roman" w:hAnsi="Times New Roman"/>
                <w:color w:val="000000"/>
                <w:sz w:val="18"/>
                <w:szCs w:val="18"/>
                <w:lang w:val="en-IN" w:eastAsia="en-IN"/>
              </w:rPr>
            </w:pPr>
            <w:r w:rsidRPr="005D7A60">
              <w:rPr>
                <w:rFonts w:ascii="Times New Roman" w:hAnsi="Times New Roman"/>
                <w:sz w:val="18"/>
                <w:szCs w:val="18"/>
              </w:rPr>
              <w:t>(Proposed by present study)</w:t>
            </w:r>
          </w:p>
        </w:tc>
        <w:tc>
          <w:tcPr>
            <w:tcW w:w="0" w:type="auto"/>
            <w:tcBorders>
              <w:top w:val="single" w:sz="4" w:space="0" w:color="auto"/>
              <w:left w:val="single" w:sz="4" w:space="0" w:color="auto"/>
              <w:bottom w:val="single" w:sz="4" w:space="0" w:color="auto"/>
              <w:right w:val="single" w:sz="4" w:space="0" w:color="auto"/>
            </w:tcBorders>
            <w:hideMark/>
          </w:tcPr>
          <w:p w14:paraId="39778B6F" w14:textId="10036B28" w:rsidR="009E6F87" w:rsidRPr="005D7A60" w:rsidRDefault="009E6F87" w:rsidP="009E6F87">
            <w:pPr>
              <w:rPr>
                <w:rFonts w:ascii="Times New Roman" w:hAnsi="Times New Roman"/>
                <w:color w:val="000000"/>
                <w:sz w:val="18"/>
                <w:szCs w:val="18"/>
                <w:lang w:val="en-IN" w:eastAsia="en-IN"/>
              </w:rPr>
            </w:pPr>
            <w:r w:rsidRPr="005D7A60">
              <w:rPr>
                <w:rFonts w:ascii="Times New Roman" w:hAnsi="Times New Roman"/>
                <w:sz w:val="18"/>
                <w:szCs w:val="18"/>
              </w:rPr>
              <w:t>Integration of predictive analytics (credit scoring) with GenAI (Basel automation)</w:t>
            </w:r>
          </w:p>
        </w:tc>
        <w:tc>
          <w:tcPr>
            <w:tcW w:w="0" w:type="auto"/>
            <w:tcBorders>
              <w:top w:val="single" w:sz="4" w:space="0" w:color="auto"/>
              <w:left w:val="single" w:sz="4" w:space="0" w:color="auto"/>
              <w:bottom w:val="single" w:sz="4" w:space="0" w:color="auto"/>
              <w:right w:val="single" w:sz="4" w:space="0" w:color="auto"/>
            </w:tcBorders>
            <w:hideMark/>
          </w:tcPr>
          <w:p w14:paraId="3A2CFF0F" w14:textId="77777777" w:rsidR="009E6F87" w:rsidRPr="005D7A60" w:rsidRDefault="009E6F87" w:rsidP="009E6F87">
            <w:pPr>
              <w:rPr>
                <w:rFonts w:ascii="Times New Roman" w:hAnsi="Times New Roman"/>
                <w:color w:val="000000"/>
                <w:sz w:val="18"/>
                <w:szCs w:val="18"/>
                <w:lang w:val="en-IN" w:eastAsia="en-IN"/>
              </w:rPr>
            </w:pPr>
            <w:r w:rsidRPr="005D7A60">
              <w:rPr>
                <w:rFonts w:ascii="Times New Roman" w:hAnsi="Times New Roman"/>
                <w:sz w:val="18"/>
                <w:szCs w:val="18"/>
              </w:rPr>
              <w:t>Regulatory review</w:t>
            </w:r>
          </w:p>
        </w:tc>
        <w:tc>
          <w:tcPr>
            <w:tcW w:w="0" w:type="auto"/>
            <w:tcBorders>
              <w:top w:val="single" w:sz="4" w:space="0" w:color="auto"/>
              <w:left w:val="single" w:sz="4" w:space="0" w:color="auto"/>
              <w:bottom w:val="single" w:sz="4" w:space="0" w:color="auto"/>
              <w:right w:val="single" w:sz="4" w:space="0" w:color="auto"/>
            </w:tcBorders>
            <w:hideMark/>
          </w:tcPr>
          <w:p w14:paraId="6B41C534" w14:textId="77777777" w:rsidR="009E6F87" w:rsidRPr="005D7A60" w:rsidRDefault="009E6F87" w:rsidP="009E6F87">
            <w:pPr>
              <w:rPr>
                <w:rFonts w:ascii="Times New Roman" w:hAnsi="Times New Roman"/>
                <w:color w:val="000000"/>
                <w:sz w:val="18"/>
                <w:szCs w:val="18"/>
                <w:lang w:val="en-IN" w:eastAsia="en-IN"/>
              </w:rPr>
            </w:pPr>
            <w:r w:rsidRPr="005D7A60">
              <w:rPr>
                <w:rFonts w:ascii="Times New Roman" w:hAnsi="Times New Roman"/>
                <w:sz w:val="18"/>
                <w:szCs w:val="18"/>
              </w:rPr>
              <w:t>Basel III documents</w:t>
            </w:r>
          </w:p>
        </w:tc>
        <w:tc>
          <w:tcPr>
            <w:tcW w:w="0" w:type="auto"/>
            <w:tcBorders>
              <w:top w:val="single" w:sz="4" w:space="0" w:color="auto"/>
              <w:left w:val="single" w:sz="4" w:space="0" w:color="auto"/>
              <w:bottom w:val="single" w:sz="4" w:space="0" w:color="auto"/>
              <w:right w:val="single" w:sz="4" w:space="0" w:color="auto"/>
            </w:tcBorders>
            <w:hideMark/>
          </w:tcPr>
          <w:p w14:paraId="5537452A" w14:textId="77777777" w:rsidR="009E6F87" w:rsidRPr="005D7A60" w:rsidRDefault="009E6F87" w:rsidP="009E6F87">
            <w:pPr>
              <w:rPr>
                <w:rFonts w:ascii="Times New Roman" w:hAnsi="Times New Roman"/>
                <w:color w:val="000000"/>
                <w:sz w:val="18"/>
                <w:szCs w:val="18"/>
                <w:lang w:val="en-IN" w:eastAsia="en-IN"/>
              </w:rPr>
            </w:pPr>
            <w:r w:rsidRPr="005D7A60">
              <w:rPr>
                <w:rFonts w:ascii="Times New Roman" w:hAnsi="Times New Roman"/>
                <w:sz w:val="18"/>
                <w:szCs w:val="18"/>
              </w:rPr>
              <w:t>Summarized capital/stress/liquidity provisions</w:t>
            </w:r>
          </w:p>
        </w:tc>
      </w:tr>
    </w:tbl>
    <w:p w14:paraId="6C9DE41C" w14:textId="77777777" w:rsidR="00CE49B4" w:rsidRPr="005D7A60" w:rsidRDefault="00CE49B4" w:rsidP="00173853">
      <w:pPr>
        <w:tabs>
          <w:tab w:val="left" w:pos="142"/>
        </w:tabs>
        <w:rPr>
          <w:rFonts w:ascii="Times New Roman" w:hAnsi="Times New Roman"/>
          <w:lang w:val="en-IN"/>
        </w:rPr>
      </w:pPr>
    </w:p>
    <w:p w14:paraId="2029E8BA" w14:textId="77777777" w:rsidR="001112BE" w:rsidRPr="005D7A60" w:rsidRDefault="001112BE" w:rsidP="00173853">
      <w:pPr>
        <w:tabs>
          <w:tab w:val="left" w:pos="142"/>
        </w:tabs>
        <w:rPr>
          <w:rFonts w:ascii="Times New Roman" w:hAnsi="Times New Roman"/>
        </w:rPr>
        <w:sectPr w:rsidR="001112BE" w:rsidRPr="005D7A60" w:rsidSect="000F1485">
          <w:endnotePr>
            <w:numFmt w:val="decimal"/>
          </w:endnotePr>
          <w:pgSz w:w="15840" w:h="12240" w:orient="landscape" w:code="1"/>
          <w:pgMar w:top="1440" w:right="1440" w:bottom="1440" w:left="1440" w:header="709" w:footer="709" w:gutter="0"/>
          <w:cols w:space="708"/>
          <w:docGrid w:linePitch="326"/>
        </w:sectPr>
      </w:pPr>
    </w:p>
    <w:p w14:paraId="0D16E623" w14:textId="1782F22C" w:rsidR="003B7373" w:rsidRPr="005D7A60" w:rsidRDefault="003B7373" w:rsidP="00285FE6">
      <w:pPr>
        <w:pStyle w:val="Heading1"/>
      </w:pPr>
      <w:bookmarkStart w:id="5" w:name="_Toc208463193"/>
      <w:bookmarkStart w:id="6" w:name="Contribution_of_the_proposed_d"/>
      <w:bookmarkEnd w:id="4"/>
      <w:r w:rsidRPr="005D7A60">
        <w:lastRenderedPageBreak/>
        <w:t xml:space="preserve">Objectives </w:t>
      </w:r>
      <w:r w:rsidR="00E72889" w:rsidRPr="005D7A60">
        <w:t>of</w:t>
      </w:r>
      <w:r w:rsidRPr="005D7A60">
        <w:t xml:space="preserve"> the Study</w:t>
      </w:r>
      <w:bookmarkEnd w:id="5"/>
    </w:p>
    <w:p w14:paraId="5BA6962D" w14:textId="3F9F313F" w:rsidR="00ED57E1" w:rsidRPr="005D7A60" w:rsidRDefault="00ED57E1" w:rsidP="009931D4">
      <w:pPr>
        <w:spacing w:line="480" w:lineRule="auto"/>
        <w:ind w:firstLine="720"/>
        <w:jc w:val="both"/>
        <w:rPr>
          <w:rFonts w:ascii="Times New Roman" w:hAnsi="Times New Roman"/>
        </w:rPr>
      </w:pPr>
      <w:r w:rsidRPr="005D7A60">
        <w:rPr>
          <w:rFonts w:ascii="Times New Roman" w:hAnsi="Times New Roman"/>
        </w:rPr>
        <w:t>The key objective of this research is to investigate how predictive and generative artificial intelligence can be systematically integrated with Basel 3.1 capital requirements. The specific objectives are as follows:</w:t>
      </w:r>
    </w:p>
    <w:p w14:paraId="3D3348AB" w14:textId="13728315" w:rsidR="0012664B" w:rsidRPr="005D7A60" w:rsidRDefault="0012664B" w:rsidP="0012664B">
      <w:pPr>
        <w:numPr>
          <w:ilvl w:val="0"/>
          <w:numId w:val="31"/>
        </w:numPr>
        <w:spacing w:line="480" w:lineRule="auto"/>
        <w:jc w:val="both"/>
        <w:rPr>
          <w:rFonts w:ascii="Times New Roman" w:hAnsi="Times New Roman"/>
          <w:lang w:val="en-IN"/>
        </w:rPr>
      </w:pPr>
      <w:r w:rsidRPr="005D7A60">
        <w:rPr>
          <w:rFonts w:ascii="Times New Roman" w:hAnsi="Times New Roman"/>
          <w:lang w:val="en-IN"/>
        </w:rPr>
        <w:t>To investigate methods for integrating borrower-level credit risk assessments with Basel 3.1 regulatory capital computations to enable real-time evaluation of capital impact at the point of credit origination.</w:t>
      </w:r>
    </w:p>
    <w:p w14:paraId="7377A554" w14:textId="77777777" w:rsidR="0012664B" w:rsidRPr="005D7A60" w:rsidRDefault="0012664B" w:rsidP="0012664B">
      <w:pPr>
        <w:numPr>
          <w:ilvl w:val="0"/>
          <w:numId w:val="31"/>
        </w:numPr>
        <w:spacing w:line="480" w:lineRule="auto"/>
        <w:jc w:val="both"/>
        <w:rPr>
          <w:rFonts w:ascii="Times New Roman" w:hAnsi="Times New Roman"/>
          <w:lang w:val="en-IN"/>
        </w:rPr>
      </w:pPr>
      <w:r w:rsidRPr="005D7A60">
        <w:rPr>
          <w:rFonts w:ascii="Times New Roman" w:hAnsi="Times New Roman"/>
          <w:lang w:val="en-IN"/>
        </w:rPr>
        <w:t>To analyse how the application of predictive and generative AI in credit risk management influences decision quality, risk sensitivity, and compliance with Basel 3.1 regulatory requirements.</w:t>
      </w:r>
    </w:p>
    <w:p w14:paraId="500E8638" w14:textId="77777777" w:rsidR="0012664B" w:rsidRPr="005D7A60" w:rsidRDefault="0012664B" w:rsidP="0012664B">
      <w:pPr>
        <w:numPr>
          <w:ilvl w:val="0"/>
          <w:numId w:val="31"/>
        </w:numPr>
        <w:spacing w:line="480" w:lineRule="auto"/>
        <w:jc w:val="both"/>
        <w:rPr>
          <w:rFonts w:ascii="Times New Roman" w:hAnsi="Times New Roman"/>
          <w:lang w:val="en-IN"/>
        </w:rPr>
      </w:pPr>
      <w:r w:rsidRPr="005D7A60">
        <w:rPr>
          <w:rFonts w:ascii="Times New Roman" w:hAnsi="Times New Roman"/>
          <w:lang w:val="en-IN"/>
        </w:rPr>
        <w:t>To evaluate methods for embedding explainability and fairness into AI-based credit risk models, with particular emphasis on ensuring transparency and auditability in line with supervisory expectations.</w:t>
      </w:r>
    </w:p>
    <w:p w14:paraId="583FF22D" w14:textId="455FE03F" w:rsidR="0012664B" w:rsidRPr="005D7A60" w:rsidRDefault="0012664B" w:rsidP="0012664B">
      <w:pPr>
        <w:numPr>
          <w:ilvl w:val="0"/>
          <w:numId w:val="31"/>
        </w:numPr>
        <w:spacing w:line="480" w:lineRule="auto"/>
        <w:jc w:val="both"/>
        <w:rPr>
          <w:rFonts w:ascii="Times New Roman" w:hAnsi="Times New Roman"/>
          <w:lang w:val="en-IN"/>
        </w:rPr>
      </w:pPr>
      <w:r w:rsidRPr="005D7A60">
        <w:rPr>
          <w:rFonts w:ascii="Times New Roman" w:hAnsi="Times New Roman"/>
          <w:lang w:val="en-IN"/>
        </w:rPr>
        <w:t>To critically assess model interpretation techniques—such as feature attribution, fairness metrics, and counterfactual reasoning—</w:t>
      </w:r>
      <w:r w:rsidR="00F062CC" w:rsidRPr="005D7A60">
        <w:rPr>
          <w:rFonts w:ascii="Times New Roman" w:hAnsi="Times New Roman"/>
          <w:lang w:val="en-IN"/>
        </w:rPr>
        <w:t>to</w:t>
      </w:r>
      <w:r w:rsidRPr="005D7A60">
        <w:rPr>
          <w:rFonts w:ascii="Times New Roman" w:hAnsi="Times New Roman"/>
          <w:lang w:val="en-IN"/>
        </w:rPr>
        <w:t xml:space="preserve"> determine their effectiveness in clarifying model behaviour without undermining predictive performance.</w:t>
      </w:r>
    </w:p>
    <w:p w14:paraId="283A8E67" w14:textId="77777777" w:rsidR="0012664B" w:rsidRPr="005D7A60" w:rsidRDefault="0012664B" w:rsidP="0012664B">
      <w:pPr>
        <w:numPr>
          <w:ilvl w:val="0"/>
          <w:numId w:val="31"/>
        </w:numPr>
        <w:spacing w:line="480" w:lineRule="auto"/>
        <w:jc w:val="both"/>
        <w:rPr>
          <w:rFonts w:ascii="Times New Roman" w:hAnsi="Times New Roman"/>
          <w:lang w:val="en-IN"/>
        </w:rPr>
      </w:pPr>
      <w:r w:rsidRPr="005D7A60">
        <w:rPr>
          <w:rFonts w:ascii="Times New Roman" w:hAnsi="Times New Roman"/>
          <w:lang w:val="en-IN"/>
        </w:rPr>
        <w:t>To investigate the potential of generative AI for operationalising Basel 3.1 clauses by converting complex regulatory provisions into structured, machine-readable logic suitable for integration with predictive model outputs.</w:t>
      </w:r>
    </w:p>
    <w:p w14:paraId="6975C807" w14:textId="77777777" w:rsidR="0012664B" w:rsidRPr="005D7A60" w:rsidRDefault="0012664B" w:rsidP="0012664B">
      <w:pPr>
        <w:numPr>
          <w:ilvl w:val="0"/>
          <w:numId w:val="31"/>
        </w:numPr>
        <w:spacing w:line="480" w:lineRule="auto"/>
        <w:jc w:val="both"/>
        <w:rPr>
          <w:rFonts w:ascii="Times New Roman" w:hAnsi="Times New Roman"/>
          <w:lang w:val="en-IN"/>
        </w:rPr>
      </w:pPr>
      <w:r w:rsidRPr="005D7A60">
        <w:rPr>
          <w:rFonts w:ascii="Times New Roman" w:hAnsi="Times New Roman"/>
          <w:lang w:val="en-IN"/>
        </w:rPr>
        <w:t>To contribute to the research literature on regulatory alignment by examining both the methodological feasibility and the supervisory implications of combining predictive and generative AI for credit risk assessment under Basel 3.1.</w:t>
      </w:r>
    </w:p>
    <w:p w14:paraId="131F0FC1" w14:textId="77777777" w:rsidR="00A502C8" w:rsidRPr="005D7A60" w:rsidRDefault="00A502C8" w:rsidP="009B6D85">
      <w:pPr>
        <w:rPr>
          <w:rFonts w:ascii="Times New Roman" w:hAnsi="Times New Roman"/>
          <w:lang w:val="en-IN"/>
        </w:rPr>
      </w:pPr>
    </w:p>
    <w:p w14:paraId="26898367" w14:textId="5CDA46D8" w:rsidR="006A7D38" w:rsidRPr="005D7A60" w:rsidRDefault="005F576E" w:rsidP="006A7D38">
      <w:pPr>
        <w:spacing w:line="480" w:lineRule="auto"/>
        <w:jc w:val="both"/>
        <w:rPr>
          <w:rFonts w:ascii="Times New Roman" w:hAnsi="Times New Roman"/>
          <w:lang w:val="en-IN"/>
        </w:rPr>
      </w:pPr>
      <w:r w:rsidRPr="005D7A60">
        <w:rPr>
          <w:rFonts w:ascii="Times New Roman" w:hAnsi="Times New Roman"/>
          <w:b/>
          <w:bCs/>
          <w:i/>
          <w:iCs/>
          <w:lang w:val="en-IN"/>
        </w:rPr>
        <w:lastRenderedPageBreak/>
        <w:t>Central Research Hypothesis:</w:t>
      </w:r>
      <w:r w:rsidR="0006756C" w:rsidRPr="005D7A60">
        <w:rPr>
          <w:rFonts w:ascii="Times New Roman" w:hAnsi="Times New Roman"/>
          <w:b/>
          <w:bCs/>
          <w:i/>
          <w:iCs/>
          <w:lang w:val="en-IN"/>
        </w:rPr>
        <w:t xml:space="preserve"> </w:t>
      </w:r>
      <w:r w:rsidR="006A7D38" w:rsidRPr="005D7A60">
        <w:rPr>
          <w:rFonts w:ascii="Times New Roman" w:hAnsi="Times New Roman"/>
          <w:lang w:val="en-IN"/>
        </w:rPr>
        <w:t xml:space="preserve">An integrated, explainable AI framework that combines predictive modelling with </w:t>
      </w:r>
      <w:r w:rsidR="00962A61" w:rsidRPr="005D7A60">
        <w:rPr>
          <w:rFonts w:ascii="Times New Roman" w:hAnsi="Times New Roman"/>
          <w:lang w:val="en-IN"/>
        </w:rPr>
        <w:t>G</w:t>
      </w:r>
      <w:r w:rsidR="006A7D38" w:rsidRPr="005D7A60">
        <w:rPr>
          <w:rFonts w:ascii="Times New Roman" w:hAnsi="Times New Roman"/>
          <w:lang w:val="en-IN"/>
        </w:rPr>
        <w:t>enerative AI–based regulatory logic translation can improve the timeliness, transparency, and Basel 3.1 compliance alignment of credit risk assessment more effectively than existing batch-based or siloed approaches.</w:t>
      </w:r>
    </w:p>
    <w:p w14:paraId="6A99F7DD" w14:textId="77777777" w:rsidR="00945380" w:rsidRPr="005D7A60" w:rsidRDefault="00945380" w:rsidP="00E4791D">
      <w:pPr>
        <w:pStyle w:val="Heading1"/>
      </w:pPr>
      <w:bookmarkStart w:id="7" w:name="_Toc208463194"/>
      <w:bookmarkStart w:id="8" w:name="Research_Questions"/>
      <w:bookmarkEnd w:id="6"/>
      <w:r w:rsidRPr="005D7A60">
        <w:t>Research Questions</w:t>
      </w:r>
      <w:bookmarkEnd w:id="7"/>
    </w:p>
    <w:p w14:paraId="1F49FB0C" w14:textId="77777777" w:rsidR="002110A3" w:rsidRPr="005D7A60" w:rsidRDefault="002110A3" w:rsidP="002110A3">
      <w:pPr>
        <w:numPr>
          <w:ilvl w:val="0"/>
          <w:numId w:val="23"/>
        </w:numPr>
        <w:spacing w:before="100" w:beforeAutospacing="1" w:after="100" w:afterAutospacing="1" w:line="480" w:lineRule="auto"/>
        <w:rPr>
          <w:rFonts w:ascii="Times New Roman" w:hAnsi="Times New Roman"/>
          <w:lang w:val="en-IN" w:eastAsia="en-IN"/>
        </w:rPr>
      </w:pPr>
      <w:r w:rsidRPr="005D7A60">
        <w:rPr>
          <w:rFonts w:ascii="Times New Roman" w:hAnsi="Times New Roman"/>
          <w:lang w:val="en-IN" w:eastAsia="en-IN"/>
        </w:rPr>
        <w:t>To what extent can borrower-level credit risk assessments be integrated with Basel 3.1 RWA computations, as demonstrated through simulated frameworks that are auditable and reproducible against supervisory standards?</w:t>
      </w:r>
    </w:p>
    <w:p w14:paraId="7430CE9A" w14:textId="77777777" w:rsidR="002110A3" w:rsidRPr="005D7A60" w:rsidRDefault="002110A3" w:rsidP="002110A3">
      <w:pPr>
        <w:numPr>
          <w:ilvl w:val="0"/>
          <w:numId w:val="23"/>
        </w:numPr>
        <w:spacing w:before="100" w:beforeAutospacing="1" w:after="100" w:afterAutospacing="1" w:line="480" w:lineRule="auto"/>
        <w:rPr>
          <w:rFonts w:ascii="Times New Roman" w:hAnsi="Times New Roman"/>
          <w:lang w:val="en-IN" w:eastAsia="en-IN"/>
        </w:rPr>
      </w:pPr>
      <w:r w:rsidRPr="005D7A60">
        <w:rPr>
          <w:rFonts w:ascii="Times New Roman" w:hAnsi="Times New Roman"/>
          <w:lang w:val="en-IN" w:eastAsia="en-IN"/>
        </w:rPr>
        <w:t>How does the application of predictive and generative AI in credit risk assessment affect decision quality, risk sensitivity, and regulatory compliance, as measured by changes in timeliness, capital impact accuracy, and alignment with Basel 3.1 provisions?</w:t>
      </w:r>
    </w:p>
    <w:p w14:paraId="0F72E295" w14:textId="77777777" w:rsidR="002110A3" w:rsidRPr="005D7A60" w:rsidRDefault="002110A3" w:rsidP="002110A3">
      <w:pPr>
        <w:numPr>
          <w:ilvl w:val="0"/>
          <w:numId w:val="23"/>
        </w:numPr>
        <w:spacing w:before="100" w:beforeAutospacing="1" w:after="100" w:afterAutospacing="1" w:line="480" w:lineRule="auto"/>
        <w:rPr>
          <w:rFonts w:ascii="Times New Roman" w:hAnsi="Times New Roman"/>
          <w:lang w:val="en-IN" w:eastAsia="en-IN"/>
        </w:rPr>
      </w:pPr>
      <w:r w:rsidRPr="005D7A60">
        <w:rPr>
          <w:rFonts w:ascii="Times New Roman" w:hAnsi="Times New Roman"/>
          <w:lang w:val="en-IN" w:eastAsia="en-IN"/>
        </w:rPr>
        <w:t>In what ways can explainability and fairness be embedded within AI-based credit risk models, and how can their adequacy be assessed using regulatory audit criteria such as transparency, traceability, and absence of bias?</w:t>
      </w:r>
    </w:p>
    <w:p w14:paraId="456B32B0" w14:textId="77777777" w:rsidR="002110A3" w:rsidRPr="005D7A60" w:rsidRDefault="002110A3" w:rsidP="002110A3">
      <w:pPr>
        <w:numPr>
          <w:ilvl w:val="0"/>
          <w:numId w:val="23"/>
        </w:numPr>
        <w:spacing w:before="100" w:beforeAutospacing="1" w:after="100" w:afterAutospacing="1" w:line="480" w:lineRule="auto"/>
        <w:rPr>
          <w:rFonts w:ascii="Times New Roman" w:hAnsi="Times New Roman"/>
          <w:lang w:val="en-IN" w:eastAsia="en-IN"/>
        </w:rPr>
      </w:pPr>
      <w:r w:rsidRPr="005D7A60">
        <w:rPr>
          <w:rFonts w:ascii="Times New Roman" w:hAnsi="Times New Roman"/>
          <w:lang w:val="en-IN" w:eastAsia="en-IN"/>
        </w:rPr>
        <w:t>How effective are interpretation techniques—such as feature attribution, fairness metrics, and counterfactual reasoning—in clarifying model behaviour, and how can their effectiveness be quantified without compromising predictive performance benchmarks?</w:t>
      </w:r>
    </w:p>
    <w:p w14:paraId="3C846B7F" w14:textId="77777777" w:rsidR="002110A3" w:rsidRPr="005D7A60" w:rsidRDefault="002110A3" w:rsidP="002110A3">
      <w:pPr>
        <w:numPr>
          <w:ilvl w:val="0"/>
          <w:numId w:val="23"/>
        </w:numPr>
        <w:spacing w:before="100" w:beforeAutospacing="1" w:after="100" w:afterAutospacing="1" w:line="480" w:lineRule="auto"/>
        <w:rPr>
          <w:rFonts w:ascii="Times New Roman" w:hAnsi="Times New Roman"/>
          <w:lang w:val="en-IN" w:eastAsia="en-IN"/>
        </w:rPr>
      </w:pPr>
      <w:r w:rsidRPr="005D7A60">
        <w:rPr>
          <w:rFonts w:ascii="Times New Roman" w:hAnsi="Times New Roman"/>
          <w:lang w:val="en-IN" w:eastAsia="en-IN"/>
        </w:rPr>
        <w:t>Can generative AI techniques reliably operationalise Basel 3.1 clauses by converting complex provisions into machine-readable logic, and how can this reliability be evaluated in terms of translation accuracy, consistency across models, and resulting impact on RWA computations?</w:t>
      </w:r>
    </w:p>
    <w:p w14:paraId="3F1CADA5" w14:textId="77777777" w:rsidR="002110A3" w:rsidRPr="005D7A60" w:rsidRDefault="002110A3" w:rsidP="002110A3">
      <w:pPr>
        <w:numPr>
          <w:ilvl w:val="0"/>
          <w:numId w:val="23"/>
        </w:numPr>
        <w:spacing w:before="100" w:beforeAutospacing="1" w:after="100" w:afterAutospacing="1" w:line="480" w:lineRule="auto"/>
        <w:rPr>
          <w:rFonts w:ascii="Times New Roman" w:hAnsi="Times New Roman"/>
          <w:lang w:val="en-IN" w:eastAsia="en-IN"/>
        </w:rPr>
      </w:pPr>
      <w:r w:rsidRPr="005D7A60">
        <w:rPr>
          <w:rFonts w:ascii="Times New Roman" w:hAnsi="Times New Roman"/>
          <w:lang w:val="en-IN" w:eastAsia="en-IN"/>
        </w:rPr>
        <w:lastRenderedPageBreak/>
        <w:t>What are the methodological feasibility and supervisory implications of combining predictive and generative AI within credit risk assessment, as evidenced through comparative experiments, error analysis, and alignment with regulatory expectations under Basel 3.1?</w:t>
      </w:r>
    </w:p>
    <w:p w14:paraId="3DE05FB4" w14:textId="48E36809" w:rsidR="003F1842" w:rsidRPr="005D7A60" w:rsidRDefault="00513CCB" w:rsidP="003F1842">
      <w:pPr>
        <w:pStyle w:val="Heading1"/>
      </w:pPr>
      <w:bookmarkStart w:id="9" w:name="_Toc208463195"/>
      <w:bookmarkStart w:id="10" w:name="Expected_Outcomes"/>
      <w:bookmarkEnd w:id="8"/>
      <w:r w:rsidRPr="005D7A60">
        <w:t>Proposed Methodology and Database</w:t>
      </w:r>
      <w:bookmarkEnd w:id="9"/>
    </w:p>
    <w:p w14:paraId="4EF7278C" w14:textId="77777777" w:rsidR="00C93122" w:rsidRPr="005D7A60" w:rsidRDefault="00C93122" w:rsidP="00C93122">
      <w:pPr>
        <w:spacing w:after="160" w:line="480" w:lineRule="auto"/>
        <w:ind w:firstLine="720"/>
        <w:jc w:val="both"/>
        <w:rPr>
          <w:rFonts w:ascii="Times New Roman" w:hAnsi="Times New Roman"/>
          <w:lang w:val="en-IN"/>
        </w:rPr>
      </w:pPr>
      <w:r w:rsidRPr="005D7A60">
        <w:rPr>
          <w:rFonts w:ascii="Times New Roman" w:hAnsi="Times New Roman"/>
          <w:lang w:val="en-IN"/>
        </w:rPr>
        <w:t>The methodology comprises two interconnected research modules designed to evaluate, in a simulated academic environment, how predictive and generative AI can be jointly applied for credit risk assessment and Basel 3.1 capital impact computation. Only publicly available datasets will be used, ensuring reproducibility and compliance with data protection requirements. Outputs from the first module will feed into the second to enable an integrated evaluation of borrower risk and regulatory capital implications.</w:t>
      </w:r>
    </w:p>
    <w:p w14:paraId="7AB4F654" w14:textId="77777777" w:rsidR="00C93122" w:rsidRPr="005D7A60" w:rsidRDefault="00C93122" w:rsidP="00E02FAF">
      <w:pPr>
        <w:spacing w:after="160" w:line="480" w:lineRule="auto"/>
        <w:jc w:val="both"/>
        <w:rPr>
          <w:rFonts w:ascii="Times New Roman" w:hAnsi="Times New Roman"/>
          <w:b/>
          <w:bCs/>
          <w:lang w:val="en-IN"/>
        </w:rPr>
      </w:pPr>
      <w:r w:rsidRPr="005D7A60">
        <w:rPr>
          <w:rFonts w:ascii="Times New Roman" w:hAnsi="Times New Roman"/>
          <w:b/>
          <w:bCs/>
          <w:lang w:val="en-IN"/>
        </w:rPr>
        <w:t>Module 1 – Credit Risk Prediction Layer</w:t>
      </w:r>
    </w:p>
    <w:p w14:paraId="0B5AF7DE" w14:textId="77777777" w:rsidR="00C93122" w:rsidRPr="005D7A60" w:rsidRDefault="00C93122" w:rsidP="00C93122">
      <w:pPr>
        <w:spacing w:after="160" w:line="480" w:lineRule="auto"/>
        <w:ind w:firstLine="720"/>
        <w:jc w:val="both"/>
        <w:rPr>
          <w:rFonts w:ascii="Times New Roman" w:hAnsi="Times New Roman"/>
          <w:lang w:val="en-IN"/>
        </w:rPr>
      </w:pPr>
      <w:r w:rsidRPr="005D7A60">
        <w:rPr>
          <w:rFonts w:ascii="Times New Roman" w:hAnsi="Times New Roman"/>
          <w:lang w:val="en-IN"/>
        </w:rPr>
        <w:t>This module will assess the performance of a range of machine learning models in estimating borrower-level default risk and related credit risk indicators. Publicly available datasets that capture borrower demographics, loan characteristics, repayment histories, and delinquency events will be employed. Candidate models will include widely used approaches such as gradient boosting algorithms and deep learning architectures, along with other established techniques where appropriate. Performance will be evaluated using a set of predictive and fairness-oriented metrics, including but not limited to ROC-AUC, F1-score, precision/recall, SHAP-based consistency checks, and fairness indicators. This evaluation will establish baseline predictive performance while testing the incremental value of incorporating Basel-aligned regulatory variables.</w:t>
      </w:r>
    </w:p>
    <w:p w14:paraId="3BE3C329" w14:textId="77777777" w:rsidR="00C93122" w:rsidRPr="005D7A60" w:rsidRDefault="00C93122" w:rsidP="00E02FAF">
      <w:pPr>
        <w:spacing w:after="160" w:line="480" w:lineRule="auto"/>
        <w:jc w:val="both"/>
        <w:rPr>
          <w:rFonts w:ascii="Times New Roman" w:hAnsi="Times New Roman"/>
          <w:b/>
          <w:bCs/>
          <w:lang w:val="en-IN"/>
        </w:rPr>
      </w:pPr>
      <w:r w:rsidRPr="005D7A60">
        <w:rPr>
          <w:rFonts w:ascii="Times New Roman" w:hAnsi="Times New Roman"/>
          <w:b/>
          <w:bCs/>
          <w:lang w:val="en-IN"/>
        </w:rPr>
        <w:t>Module 2 – RWA and Capital Impact Engine</w:t>
      </w:r>
    </w:p>
    <w:p w14:paraId="2BC2C89F" w14:textId="77777777" w:rsidR="00C93122" w:rsidRPr="005D7A60" w:rsidRDefault="00C93122" w:rsidP="00C93122">
      <w:pPr>
        <w:spacing w:after="160" w:line="480" w:lineRule="auto"/>
        <w:ind w:firstLine="720"/>
        <w:jc w:val="both"/>
        <w:rPr>
          <w:rFonts w:ascii="Times New Roman" w:hAnsi="Times New Roman"/>
          <w:lang w:val="en-IN"/>
        </w:rPr>
      </w:pPr>
      <w:r w:rsidRPr="005D7A60">
        <w:rPr>
          <w:rFonts w:ascii="Times New Roman" w:hAnsi="Times New Roman"/>
          <w:lang w:val="en-IN"/>
        </w:rPr>
        <w:lastRenderedPageBreak/>
        <w:t>This module will investigate how generative AI can be applied to operationalise selected Basel 3.1 provisions into machine-readable rules. The textual provisions of the Basel framework specify exposure segmentation, risk weight assignments, default recognition criteria, and treatment of different exposure classes. Generative AI will be employed to translate these provisions into structured variables—such as exposure class indicators, loan-to-value regulatory buckets, default status aligned with Basel definitions, and unrated obligor flags—which can then be integrated with the borrower-level datasets. Outputs from Module 1 will be combined with these regulatory variables to compute risk-weighted assets and capital impact. Accuracy will be assessed through multiple criteria, including consistency with Basel worked examples, reconciliation across exposure classes, and computational efficiency.</w:t>
      </w:r>
    </w:p>
    <w:p w14:paraId="6A975599" w14:textId="77777777" w:rsidR="00C93122" w:rsidRPr="005D7A60" w:rsidRDefault="00C93122" w:rsidP="00E02FAF">
      <w:pPr>
        <w:spacing w:after="160" w:line="480" w:lineRule="auto"/>
        <w:jc w:val="both"/>
        <w:rPr>
          <w:rFonts w:ascii="Times New Roman" w:hAnsi="Times New Roman"/>
          <w:b/>
          <w:bCs/>
          <w:lang w:val="en-IN"/>
        </w:rPr>
      </w:pPr>
      <w:r w:rsidRPr="005D7A60">
        <w:rPr>
          <w:rFonts w:ascii="Times New Roman" w:hAnsi="Times New Roman"/>
          <w:b/>
          <w:bCs/>
          <w:lang w:val="en-IN"/>
        </w:rPr>
        <w:t>Integration of Basel 3.1 Variables with Public Credit Risk Datasets</w:t>
      </w:r>
    </w:p>
    <w:p w14:paraId="4ABBC69E" w14:textId="77777777" w:rsidR="00C93122" w:rsidRPr="005D7A60" w:rsidRDefault="00C93122" w:rsidP="00C93122">
      <w:pPr>
        <w:spacing w:after="160" w:line="480" w:lineRule="auto"/>
        <w:ind w:firstLine="720"/>
        <w:jc w:val="both"/>
        <w:rPr>
          <w:rFonts w:ascii="Times New Roman" w:hAnsi="Times New Roman"/>
          <w:lang w:val="en-IN"/>
        </w:rPr>
      </w:pPr>
      <w:r w:rsidRPr="005D7A60">
        <w:rPr>
          <w:rFonts w:ascii="Times New Roman" w:hAnsi="Times New Roman"/>
          <w:lang w:val="en-IN"/>
        </w:rPr>
        <w:t>The central innovation of this study lies in the integration of Basel 3.1 credit risk provisions with publicly available borrower-level datasets through generative AI–enabled variable construction. By aligning dataset fields with regulatory classifications and conditions, Basel-derived variables can be tested alongside native dataset features within predictive models. This enables a two-level evaluation:</w:t>
      </w:r>
    </w:p>
    <w:p w14:paraId="20BF74CA" w14:textId="77777777" w:rsidR="00C93122" w:rsidRPr="005D7A60" w:rsidRDefault="00C93122" w:rsidP="00C93122">
      <w:pPr>
        <w:numPr>
          <w:ilvl w:val="0"/>
          <w:numId w:val="33"/>
        </w:numPr>
        <w:spacing w:after="160" w:line="480" w:lineRule="auto"/>
        <w:jc w:val="both"/>
        <w:rPr>
          <w:rFonts w:ascii="Times New Roman" w:hAnsi="Times New Roman"/>
          <w:lang w:val="en-IN"/>
        </w:rPr>
      </w:pPr>
      <w:r w:rsidRPr="005D7A60">
        <w:rPr>
          <w:rFonts w:ascii="Times New Roman" w:hAnsi="Times New Roman"/>
          <w:b/>
          <w:bCs/>
          <w:lang w:val="en-IN"/>
        </w:rPr>
        <w:t>Predictive gain</w:t>
      </w:r>
      <w:r w:rsidRPr="005D7A60">
        <w:rPr>
          <w:rFonts w:ascii="Times New Roman" w:hAnsi="Times New Roman"/>
          <w:lang w:val="en-IN"/>
        </w:rPr>
        <w:t xml:space="preserve"> – whether the inclusion of Basel-aligned variables improves accuracy in estimating borrower default risk.</w:t>
      </w:r>
    </w:p>
    <w:p w14:paraId="6BF0379B" w14:textId="77777777" w:rsidR="00C93122" w:rsidRPr="005D7A60" w:rsidRDefault="00C93122" w:rsidP="00C93122">
      <w:pPr>
        <w:numPr>
          <w:ilvl w:val="0"/>
          <w:numId w:val="33"/>
        </w:numPr>
        <w:spacing w:after="160" w:line="480" w:lineRule="auto"/>
        <w:jc w:val="both"/>
        <w:rPr>
          <w:rFonts w:ascii="Times New Roman" w:hAnsi="Times New Roman"/>
          <w:lang w:val="en-IN"/>
        </w:rPr>
      </w:pPr>
      <w:r w:rsidRPr="005D7A60">
        <w:rPr>
          <w:rFonts w:ascii="Times New Roman" w:hAnsi="Times New Roman"/>
          <w:b/>
          <w:bCs/>
          <w:lang w:val="en-IN"/>
        </w:rPr>
        <w:t>Regulatory alignment</w:t>
      </w:r>
      <w:r w:rsidRPr="005D7A60">
        <w:rPr>
          <w:rFonts w:ascii="Times New Roman" w:hAnsi="Times New Roman"/>
          <w:lang w:val="en-IN"/>
        </w:rPr>
        <w:t xml:space="preserve"> – whether the resulting outputs, when reconciled with Basel risk weights, provide more policy-relevant insights into capital adequacy.</w:t>
      </w:r>
    </w:p>
    <w:p w14:paraId="7992276C" w14:textId="77777777" w:rsidR="00C93122" w:rsidRPr="005D7A60" w:rsidRDefault="00C93122" w:rsidP="00C93122">
      <w:pPr>
        <w:spacing w:after="160" w:line="480" w:lineRule="auto"/>
        <w:ind w:firstLine="720"/>
        <w:jc w:val="both"/>
        <w:rPr>
          <w:rFonts w:ascii="Times New Roman" w:hAnsi="Times New Roman"/>
          <w:lang w:val="en-IN"/>
        </w:rPr>
      </w:pPr>
      <w:r w:rsidRPr="005D7A60">
        <w:rPr>
          <w:rFonts w:ascii="Times New Roman" w:hAnsi="Times New Roman"/>
          <w:lang w:val="en-IN"/>
        </w:rPr>
        <w:t xml:space="preserve">By linking the two modules, the framework will ensure that borrower-level risk predictions directly inform capital adequacy calculations, allowing the research to evaluate not </w:t>
      </w:r>
      <w:r w:rsidRPr="005D7A60">
        <w:rPr>
          <w:rFonts w:ascii="Times New Roman" w:hAnsi="Times New Roman"/>
          <w:lang w:val="en-IN"/>
        </w:rPr>
        <w:lastRenderedPageBreak/>
        <w:t>only the performance of predictive models but also their implications for Basel 3.1–compliant regulatory outcomes.</w:t>
      </w:r>
    </w:p>
    <w:p w14:paraId="3F65F860" w14:textId="40377894" w:rsidR="008B62A5" w:rsidRPr="005D7A60" w:rsidRDefault="00D6356F" w:rsidP="00E52F43">
      <w:pPr>
        <w:spacing w:line="480" w:lineRule="auto"/>
        <w:rPr>
          <w:rFonts w:ascii="Times New Roman" w:hAnsi="Times New Roman"/>
          <w:b/>
          <w:bCs/>
          <w:noProof/>
        </w:rPr>
      </w:pPr>
      <w:r w:rsidRPr="005D7A60">
        <w:rPr>
          <w:rFonts w:ascii="Times New Roman" w:hAnsi="Times New Roman"/>
          <w:b/>
          <w:bCs/>
          <w:noProof/>
        </w:rPr>
        <w:t xml:space="preserve">End-to-End System Architecture – </w:t>
      </w:r>
    </w:p>
    <w:p w14:paraId="20565A75" w14:textId="65456723" w:rsidR="00B50F42" w:rsidRPr="005D7A60" w:rsidRDefault="00E16347" w:rsidP="00132470">
      <w:pPr>
        <w:spacing w:line="480" w:lineRule="auto"/>
        <w:ind w:left="-567"/>
        <w:rPr>
          <w:rFonts w:ascii="Times New Roman" w:hAnsi="Times New Roman"/>
          <w:b/>
          <w:bCs/>
          <w:u w:val="single"/>
        </w:rPr>
      </w:pPr>
      <w:r>
        <w:rPr>
          <w:rFonts w:ascii="Times New Roman" w:hAnsi="Times New Roman"/>
          <w:b/>
          <w:bCs/>
          <w:u w:val="single"/>
        </w:rPr>
        <w:pict w14:anchorId="331431F6">
          <v:shape id="_x0000_i1026" type="#_x0000_t75" style="width:505.65pt;height:250.55pt;mso-left-percent:-10001;mso-top-percent:-10001;mso-position-horizontal:absolute;mso-position-horizontal-relative:char;mso-position-vertical:absolute;mso-position-vertical-relative:line;mso-left-percent:-10001;mso-top-percent:-10001">
            <v:imagedata r:id="rId11" o:title=""/>
          </v:shape>
        </w:pict>
      </w:r>
    </w:p>
    <w:p w14:paraId="6453EE21" w14:textId="67DA23BD" w:rsidR="00A932D4" w:rsidRPr="005D7A60" w:rsidRDefault="00613ECA" w:rsidP="00F324B6">
      <w:pPr>
        <w:spacing w:after="160" w:line="480" w:lineRule="auto"/>
        <w:jc w:val="both"/>
        <w:rPr>
          <w:rFonts w:ascii="Times New Roman" w:hAnsi="Times New Roman"/>
          <w:b/>
          <w:bCs/>
        </w:rPr>
      </w:pPr>
      <w:r w:rsidRPr="005D7A60">
        <w:rPr>
          <w:rFonts w:ascii="Times New Roman" w:hAnsi="Times New Roman"/>
          <w:b/>
          <w:bCs/>
        </w:rPr>
        <w:t xml:space="preserve">Empirical Foundations: </w:t>
      </w:r>
      <w:r w:rsidR="00884A8D" w:rsidRPr="005D7A60">
        <w:rPr>
          <w:rFonts w:ascii="Times New Roman" w:hAnsi="Times New Roman"/>
          <w:b/>
          <w:bCs/>
        </w:rPr>
        <w:t>Publicly Available Datasets in Credit Risk Modelling</w:t>
      </w:r>
    </w:p>
    <w:p w14:paraId="225619C3" w14:textId="77777777" w:rsidR="008A1940" w:rsidRPr="005D7A60" w:rsidRDefault="00A932D4" w:rsidP="00F324B6">
      <w:pPr>
        <w:spacing w:after="160" w:line="480" w:lineRule="auto"/>
        <w:jc w:val="both"/>
        <w:rPr>
          <w:rFonts w:ascii="Times New Roman" w:hAnsi="Times New Roman"/>
        </w:rPr>
      </w:pPr>
      <w:r w:rsidRPr="005D7A60">
        <w:rPr>
          <w:rFonts w:ascii="Times New Roman" w:hAnsi="Times New Roman"/>
        </w:rPr>
        <w:t xml:space="preserve">The development of credit risk assessment models has relied heavily on publicly available benchmark datasets that enable comparative evaluation across modelling approaches. These open-source databases originate from diverse geographical contexts—ranging from the German Credit Data and Australian Credit Approval datasets to the Taiwanese credit card default records, the U.S. Lending Club loan portfolio, and more recent Kaggle-curated datasets simulating borrower behaviour. In addition, regulatory data initiatives such as the European Central Bank’s AnaCredit and the Reserve Bank of India’s Public Credit Registry provide structured, borrower-level information that holds promise for research once wider access becomes feasible. Table X summarises the most widely used datasets, indicating their origin, key features, representative </w:t>
      </w:r>
      <w:r w:rsidRPr="005D7A60">
        <w:rPr>
          <w:rFonts w:ascii="Times New Roman" w:hAnsi="Times New Roman"/>
        </w:rPr>
        <w:lastRenderedPageBreak/>
        <w:t>studies, and access sources. Collectively, these resources form the empirical foundation for testing predictive models, developing explainable frameworks, and exploring the potential of generative AI in credit risk management.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644"/>
        <w:gridCol w:w="973"/>
        <w:gridCol w:w="4032"/>
        <w:gridCol w:w="2001"/>
        <w:gridCol w:w="926"/>
      </w:tblGrid>
      <w:tr w:rsidR="00170916" w:rsidRPr="005D7A60" w14:paraId="111B0075" w14:textId="77777777" w:rsidTr="00D16D7E">
        <w:trPr>
          <w:trHeight w:val="274"/>
        </w:trPr>
        <w:tc>
          <w:tcPr>
            <w:tcW w:w="5000" w:type="pct"/>
            <w:gridSpan w:val="5"/>
            <w:tcBorders>
              <w:top w:val="single" w:sz="4" w:space="0" w:color="auto"/>
              <w:left w:val="single" w:sz="4" w:space="0" w:color="auto"/>
              <w:bottom w:val="single" w:sz="4" w:space="0" w:color="auto"/>
              <w:right w:val="single" w:sz="4" w:space="0" w:color="auto"/>
            </w:tcBorders>
          </w:tcPr>
          <w:p w14:paraId="2030F45B" w14:textId="77777777" w:rsidR="00170916" w:rsidRPr="005D7A60" w:rsidRDefault="00170916" w:rsidP="00696092">
            <w:pPr>
              <w:rPr>
                <w:rFonts w:ascii="Times New Roman" w:hAnsi="Times New Roman"/>
                <w:b/>
                <w:bCs/>
                <w:sz w:val="18"/>
                <w:szCs w:val="18"/>
                <w:lang w:val="en-IN"/>
              </w:rPr>
            </w:pPr>
            <w:r w:rsidRPr="005D7A60">
              <w:rPr>
                <w:rFonts w:ascii="Times New Roman" w:hAnsi="Times New Roman"/>
                <w:b/>
                <w:bCs/>
                <w:sz w:val="18"/>
                <w:szCs w:val="18"/>
              </w:rPr>
              <w:t>Table 5: Open-Source Databases for Credit Risk Modelling</w:t>
            </w:r>
          </w:p>
        </w:tc>
      </w:tr>
      <w:tr w:rsidR="00170916" w:rsidRPr="005D7A60" w14:paraId="13991BE8" w14:textId="77777777" w:rsidTr="00D16D7E">
        <w:trPr>
          <w:trHeight w:val="416"/>
        </w:trPr>
        <w:tc>
          <w:tcPr>
            <w:tcW w:w="863" w:type="pct"/>
            <w:tcBorders>
              <w:top w:val="single" w:sz="4" w:space="0" w:color="auto"/>
              <w:left w:val="single" w:sz="4" w:space="0" w:color="auto"/>
              <w:bottom w:val="single" w:sz="4" w:space="0" w:color="auto"/>
              <w:right w:val="single" w:sz="4" w:space="0" w:color="auto"/>
            </w:tcBorders>
          </w:tcPr>
          <w:p w14:paraId="53ED4139" w14:textId="77777777" w:rsidR="00170916" w:rsidRPr="005D7A60" w:rsidRDefault="00170916" w:rsidP="00696092">
            <w:pPr>
              <w:rPr>
                <w:rFonts w:ascii="Times New Roman" w:hAnsi="Times New Roman"/>
                <w:b/>
                <w:bCs/>
                <w:sz w:val="18"/>
                <w:szCs w:val="18"/>
                <w:lang w:val="en-IN"/>
              </w:rPr>
            </w:pPr>
            <w:r w:rsidRPr="005D7A60">
              <w:rPr>
                <w:rFonts w:ascii="Times New Roman" w:hAnsi="Times New Roman"/>
                <w:b/>
                <w:bCs/>
                <w:sz w:val="18"/>
                <w:szCs w:val="18"/>
                <w:lang w:val="en-IN"/>
              </w:rPr>
              <w:t>Dataset</w:t>
            </w:r>
          </w:p>
        </w:tc>
        <w:tc>
          <w:tcPr>
            <w:tcW w:w="513" w:type="pct"/>
            <w:tcBorders>
              <w:top w:val="single" w:sz="4" w:space="0" w:color="auto"/>
              <w:left w:val="single" w:sz="4" w:space="0" w:color="auto"/>
              <w:bottom w:val="single" w:sz="4" w:space="0" w:color="auto"/>
              <w:right w:val="single" w:sz="4" w:space="0" w:color="auto"/>
            </w:tcBorders>
          </w:tcPr>
          <w:p w14:paraId="4FEC14CD" w14:textId="77777777" w:rsidR="00170916" w:rsidRPr="005D7A60" w:rsidRDefault="00170916" w:rsidP="00696092">
            <w:pPr>
              <w:rPr>
                <w:rFonts w:ascii="Times New Roman" w:hAnsi="Times New Roman"/>
                <w:b/>
                <w:bCs/>
                <w:sz w:val="18"/>
                <w:szCs w:val="18"/>
                <w:lang w:val="en-IN"/>
              </w:rPr>
            </w:pPr>
            <w:r w:rsidRPr="005D7A60">
              <w:rPr>
                <w:rFonts w:ascii="Times New Roman" w:hAnsi="Times New Roman"/>
                <w:b/>
                <w:bCs/>
                <w:sz w:val="18"/>
                <w:szCs w:val="18"/>
                <w:lang w:val="en-IN"/>
              </w:rPr>
              <w:t>Country / Origin</w:t>
            </w:r>
          </w:p>
        </w:tc>
        <w:tc>
          <w:tcPr>
            <w:tcW w:w="2110" w:type="pct"/>
            <w:tcBorders>
              <w:top w:val="single" w:sz="4" w:space="0" w:color="auto"/>
              <w:left w:val="single" w:sz="4" w:space="0" w:color="auto"/>
              <w:bottom w:val="single" w:sz="4" w:space="0" w:color="auto"/>
              <w:right w:val="single" w:sz="4" w:space="0" w:color="auto"/>
            </w:tcBorders>
          </w:tcPr>
          <w:p w14:paraId="2EE6E84C" w14:textId="77777777" w:rsidR="00170916" w:rsidRPr="005D7A60" w:rsidRDefault="00170916" w:rsidP="00696092">
            <w:pPr>
              <w:rPr>
                <w:rFonts w:ascii="Times New Roman" w:hAnsi="Times New Roman"/>
                <w:b/>
                <w:bCs/>
                <w:sz w:val="18"/>
                <w:szCs w:val="18"/>
              </w:rPr>
            </w:pPr>
            <w:r w:rsidRPr="005D7A60">
              <w:rPr>
                <w:rFonts w:ascii="Times New Roman" w:hAnsi="Times New Roman"/>
                <w:b/>
                <w:bCs/>
                <w:sz w:val="18"/>
                <w:szCs w:val="18"/>
              </w:rPr>
              <w:t>Size / Features</w:t>
            </w:r>
          </w:p>
        </w:tc>
        <w:tc>
          <w:tcPr>
            <w:tcW w:w="1049" w:type="pct"/>
            <w:tcBorders>
              <w:top w:val="single" w:sz="4" w:space="0" w:color="auto"/>
              <w:left w:val="single" w:sz="4" w:space="0" w:color="auto"/>
              <w:bottom w:val="single" w:sz="4" w:space="0" w:color="auto"/>
              <w:right w:val="single" w:sz="4" w:space="0" w:color="auto"/>
            </w:tcBorders>
          </w:tcPr>
          <w:p w14:paraId="6B6A6DB2" w14:textId="77777777" w:rsidR="00170916" w:rsidRPr="005D7A60" w:rsidRDefault="00170916" w:rsidP="00696092">
            <w:pPr>
              <w:rPr>
                <w:rFonts w:ascii="Times New Roman" w:hAnsi="Times New Roman"/>
                <w:b/>
                <w:bCs/>
                <w:sz w:val="18"/>
                <w:szCs w:val="18"/>
                <w:lang w:val="de-DE"/>
              </w:rPr>
            </w:pPr>
            <w:r w:rsidRPr="005D7A60">
              <w:rPr>
                <w:rFonts w:ascii="Times New Roman" w:hAnsi="Times New Roman"/>
                <w:b/>
                <w:bCs/>
                <w:sz w:val="18"/>
                <w:szCs w:val="18"/>
                <w:lang w:val="de-DE"/>
              </w:rPr>
              <w:t>Papers</w:t>
            </w:r>
          </w:p>
        </w:tc>
        <w:tc>
          <w:tcPr>
            <w:tcW w:w="464" w:type="pct"/>
            <w:tcBorders>
              <w:top w:val="single" w:sz="4" w:space="0" w:color="auto"/>
              <w:left w:val="single" w:sz="4" w:space="0" w:color="auto"/>
              <w:bottom w:val="single" w:sz="4" w:space="0" w:color="auto"/>
              <w:right w:val="single" w:sz="4" w:space="0" w:color="auto"/>
            </w:tcBorders>
          </w:tcPr>
          <w:p w14:paraId="6CFF2771" w14:textId="77777777" w:rsidR="00170916" w:rsidRPr="005D7A60" w:rsidRDefault="00170916" w:rsidP="00696092">
            <w:pPr>
              <w:rPr>
                <w:rFonts w:ascii="Times New Roman" w:hAnsi="Times New Roman"/>
                <w:b/>
                <w:bCs/>
                <w:sz w:val="18"/>
                <w:szCs w:val="18"/>
                <w:lang w:val="en-IN"/>
              </w:rPr>
            </w:pPr>
            <w:r w:rsidRPr="005D7A60">
              <w:rPr>
                <w:rFonts w:ascii="Times New Roman" w:hAnsi="Times New Roman"/>
                <w:b/>
                <w:bCs/>
                <w:sz w:val="18"/>
                <w:szCs w:val="18"/>
                <w:lang w:val="en-IN"/>
              </w:rPr>
              <w:t>Database links</w:t>
            </w:r>
          </w:p>
        </w:tc>
      </w:tr>
      <w:tr w:rsidR="00170916" w:rsidRPr="005D7A60" w14:paraId="470F2EE6" w14:textId="77777777" w:rsidTr="00D16D7E">
        <w:trPr>
          <w:trHeight w:val="484"/>
        </w:trPr>
        <w:tc>
          <w:tcPr>
            <w:tcW w:w="863" w:type="pct"/>
            <w:tcBorders>
              <w:top w:val="single" w:sz="4" w:space="0" w:color="auto"/>
              <w:left w:val="single" w:sz="4" w:space="0" w:color="auto"/>
              <w:bottom w:val="single" w:sz="4" w:space="0" w:color="auto"/>
              <w:right w:val="single" w:sz="4" w:space="0" w:color="auto"/>
            </w:tcBorders>
          </w:tcPr>
          <w:p w14:paraId="73D03E83" w14:textId="77777777" w:rsidR="00170916" w:rsidRPr="005D7A60" w:rsidRDefault="00170916" w:rsidP="00696092">
            <w:pPr>
              <w:rPr>
                <w:rFonts w:ascii="Times New Roman" w:hAnsi="Times New Roman"/>
                <w:sz w:val="18"/>
                <w:szCs w:val="18"/>
                <w:lang w:val="en-IN"/>
              </w:rPr>
            </w:pPr>
            <w:r w:rsidRPr="005D7A60">
              <w:rPr>
                <w:rStyle w:val="Strong"/>
                <w:rFonts w:ascii="Times New Roman" w:hAnsi="Times New Roman"/>
                <w:b w:val="0"/>
                <w:bCs w:val="0"/>
                <w:sz w:val="18"/>
                <w:szCs w:val="18"/>
                <w:lang w:val="en-IN"/>
              </w:rPr>
              <w:t>German Credit Data</w:t>
            </w:r>
          </w:p>
        </w:tc>
        <w:tc>
          <w:tcPr>
            <w:tcW w:w="513" w:type="pct"/>
            <w:tcBorders>
              <w:top w:val="single" w:sz="4" w:space="0" w:color="auto"/>
              <w:left w:val="single" w:sz="4" w:space="0" w:color="auto"/>
              <w:bottom w:val="single" w:sz="4" w:space="0" w:color="auto"/>
              <w:right w:val="single" w:sz="4" w:space="0" w:color="auto"/>
            </w:tcBorders>
          </w:tcPr>
          <w:p w14:paraId="16FB2061" w14:textId="77777777" w:rsidR="00170916" w:rsidRPr="005D7A60" w:rsidRDefault="00170916" w:rsidP="00696092">
            <w:pPr>
              <w:rPr>
                <w:rFonts w:ascii="Times New Roman" w:hAnsi="Times New Roman"/>
                <w:sz w:val="18"/>
                <w:szCs w:val="18"/>
                <w:lang w:val="en-IN"/>
              </w:rPr>
            </w:pPr>
            <w:r w:rsidRPr="005D7A60">
              <w:rPr>
                <w:rFonts w:ascii="Times New Roman" w:hAnsi="Times New Roman"/>
                <w:sz w:val="18"/>
                <w:szCs w:val="18"/>
                <w:lang w:val="en-IN"/>
              </w:rPr>
              <w:t>Germany</w:t>
            </w:r>
          </w:p>
        </w:tc>
        <w:tc>
          <w:tcPr>
            <w:tcW w:w="2110" w:type="pct"/>
            <w:tcBorders>
              <w:top w:val="single" w:sz="4" w:space="0" w:color="auto"/>
              <w:left w:val="single" w:sz="4" w:space="0" w:color="auto"/>
              <w:bottom w:val="single" w:sz="4" w:space="0" w:color="auto"/>
              <w:right w:val="single" w:sz="4" w:space="0" w:color="auto"/>
            </w:tcBorders>
          </w:tcPr>
          <w:p w14:paraId="3B15D539" w14:textId="77777777" w:rsidR="00170916" w:rsidRPr="005D7A60" w:rsidRDefault="00170916" w:rsidP="00696092">
            <w:pPr>
              <w:rPr>
                <w:rFonts w:ascii="Times New Roman" w:hAnsi="Times New Roman"/>
                <w:sz w:val="18"/>
                <w:szCs w:val="18"/>
              </w:rPr>
            </w:pPr>
            <w:r w:rsidRPr="005D7A60">
              <w:rPr>
                <w:rFonts w:ascii="Times New Roman" w:hAnsi="Times New Roman"/>
                <w:sz w:val="18"/>
                <w:szCs w:val="18"/>
              </w:rPr>
              <w:t>1,000 instances, 20 attributes (credit history, purpose, amount, etc.); binary risk label</w:t>
            </w:r>
          </w:p>
        </w:tc>
        <w:tc>
          <w:tcPr>
            <w:tcW w:w="1049" w:type="pct"/>
            <w:tcBorders>
              <w:top w:val="single" w:sz="4" w:space="0" w:color="auto"/>
              <w:left w:val="single" w:sz="4" w:space="0" w:color="auto"/>
              <w:bottom w:val="single" w:sz="4" w:space="0" w:color="auto"/>
              <w:right w:val="single" w:sz="4" w:space="0" w:color="auto"/>
            </w:tcBorders>
          </w:tcPr>
          <w:p w14:paraId="4FA1B716" w14:textId="77777777" w:rsidR="00170916" w:rsidRPr="005D7A60" w:rsidRDefault="00170916" w:rsidP="00696092">
            <w:pPr>
              <w:rPr>
                <w:rFonts w:ascii="Times New Roman" w:hAnsi="Times New Roman"/>
                <w:sz w:val="18"/>
                <w:szCs w:val="18"/>
                <w:lang w:val="de-DE"/>
              </w:rPr>
            </w:pPr>
            <w:r w:rsidRPr="005D7A60">
              <w:rPr>
                <w:rFonts w:ascii="Times New Roman" w:hAnsi="Times New Roman"/>
                <w:sz w:val="18"/>
                <w:szCs w:val="18"/>
                <w:lang w:val="de-DE"/>
              </w:rPr>
              <w:t>Quan et al. (2024); Lessmann et al. (2015)</w:t>
            </w:r>
          </w:p>
        </w:tc>
        <w:tc>
          <w:tcPr>
            <w:tcW w:w="464" w:type="pct"/>
            <w:tcBorders>
              <w:top w:val="single" w:sz="4" w:space="0" w:color="auto"/>
              <w:left w:val="single" w:sz="4" w:space="0" w:color="auto"/>
              <w:bottom w:val="single" w:sz="4" w:space="0" w:color="auto"/>
              <w:right w:val="single" w:sz="4" w:space="0" w:color="auto"/>
            </w:tcBorders>
          </w:tcPr>
          <w:p w14:paraId="09F9967F" w14:textId="77777777" w:rsidR="00170916" w:rsidRPr="005D7A60" w:rsidRDefault="00170916" w:rsidP="00696092">
            <w:pPr>
              <w:rPr>
                <w:rFonts w:ascii="Times New Roman" w:hAnsi="Times New Roman"/>
                <w:sz w:val="18"/>
                <w:szCs w:val="18"/>
                <w:lang w:val="en-IN"/>
              </w:rPr>
            </w:pPr>
            <w:hyperlink r:id="rId12" w:history="1">
              <w:r w:rsidRPr="005D7A60">
                <w:rPr>
                  <w:rStyle w:val="Hyperlink"/>
                  <w:rFonts w:ascii="Times New Roman" w:hAnsi="Times New Roman"/>
                  <w:sz w:val="18"/>
                  <w:szCs w:val="18"/>
                  <w:lang w:val="en-IN"/>
                </w:rPr>
                <w:t>Link</w:t>
              </w:r>
            </w:hyperlink>
          </w:p>
        </w:tc>
      </w:tr>
      <w:tr w:rsidR="00170916" w:rsidRPr="005D7A60" w14:paraId="4518E27E" w14:textId="77777777" w:rsidTr="00D16D7E">
        <w:trPr>
          <w:trHeight w:val="484"/>
        </w:trPr>
        <w:tc>
          <w:tcPr>
            <w:tcW w:w="863" w:type="pct"/>
            <w:tcBorders>
              <w:top w:val="single" w:sz="4" w:space="0" w:color="auto"/>
              <w:left w:val="single" w:sz="4" w:space="0" w:color="auto"/>
              <w:bottom w:val="single" w:sz="4" w:space="0" w:color="auto"/>
              <w:right w:val="single" w:sz="4" w:space="0" w:color="auto"/>
            </w:tcBorders>
          </w:tcPr>
          <w:p w14:paraId="2C870034" w14:textId="77777777" w:rsidR="00170916" w:rsidRPr="005D7A60" w:rsidRDefault="00170916" w:rsidP="00696092">
            <w:pPr>
              <w:rPr>
                <w:rFonts w:ascii="Times New Roman" w:hAnsi="Times New Roman"/>
                <w:sz w:val="18"/>
                <w:szCs w:val="18"/>
                <w:lang w:val="en-IN"/>
              </w:rPr>
            </w:pPr>
            <w:r w:rsidRPr="005D7A60">
              <w:rPr>
                <w:rStyle w:val="Strong"/>
                <w:rFonts w:ascii="Times New Roman" w:hAnsi="Times New Roman"/>
                <w:b w:val="0"/>
                <w:bCs w:val="0"/>
                <w:sz w:val="18"/>
                <w:szCs w:val="18"/>
                <w:lang w:val="en-IN"/>
              </w:rPr>
              <w:t>Australian Credit Approval</w:t>
            </w:r>
          </w:p>
        </w:tc>
        <w:tc>
          <w:tcPr>
            <w:tcW w:w="513" w:type="pct"/>
            <w:tcBorders>
              <w:top w:val="single" w:sz="4" w:space="0" w:color="auto"/>
              <w:left w:val="single" w:sz="4" w:space="0" w:color="auto"/>
              <w:bottom w:val="single" w:sz="4" w:space="0" w:color="auto"/>
              <w:right w:val="single" w:sz="4" w:space="0" w:color="auto"/>
            </w:tcBorders>
          </w:tcPr>
          <w:p w14:paraId="521F8BC7" w14:textId="77777777" w:rsidR="00170916" w:rsidRPr="005D7A60" w:rsidRDefault="00170916" w:rsidP="00696092">
            <w:pPr>
              <w:rPr>
                <w:rFonts w:ascii="Times New Roman" w:hAnsi="Times New Roman"/>
                <w:sz w:val="18"/>
                <w:szCs w:val="18"/>
                <w:lang w:val="en-IN"/>
              </w:rPr>
            </w:pPr>
            <w:r w:rsidRPr="005D7A60">
              <w:rPr>
                <w:rFonts w:ascii="Times New Roman" w:hAnsi="Times New Roman"/>
                <w:sz w:val="18"/>
                <w:szCs w:val="18"/>
                <w:lang w:val="en-IN"/>
              </w:rPr>
              <w:t>Australia</w:t>
            </w:r>
          </w:p>
        </w:tc>
        <w:tc>
          <w:tcPr>
            <w:tcW w:w="2110" w:type="pct"/>
            <w:tcBorders>
              <w:top w:val="single" w:sz="4" w:space="0" w:color="auto"/>
              <w:left w:val="single" w:sz="4" w:space="0" w:color="auto"/>
              <w:bottom w:val="single" w:sz="4" w:space="0" w:color="auto"/>
              <w:right w:val="single" w:sz="4" w:space="0" w:color="auto"/>
            </w:tcBorders>
          </w:tcPr>
          <w:p w14:paraId="1F4236AC" w14:textId="77777777" w:rsidR="00170916" w:rsidRPr="005D7A60" w:rsidRDefault="00170916" w:rsidP="00696092">
            <w:pPr>
              <w:rPr>
                <w:rFonts w:ascii="Times New Roman" w:hAnsi="Times New Roman"/>
                <w:sz w:val="18"/>
                <w:szCs w:val="18"/>
              </w:rPr>
            </w:pPr>
            <w:r w:rsidRPr="005D7A60">
              <w:rPr>
                <w:rFonts w:ascii="Times New Roman" w:hAnsi="Times New Roman"/>
                <w:sz w:val="18"/>
                <w:szCs w:val="18"/>
              </w:rPr>
              <w:t>~690 instances, mixed-type attributes</w:t>
            </w:r>
          </w:p>
        </w:tc>
        <w:tc>
          <w:tcPr>
            <w:tcW w:w="1049" w:type="pct"/>
            <w:tcBorders>
              <w:top w:val="single" w:sz="4" w:space="0" w:color="auto"/>
              <w:left w:val="single" w:sz="4" w:space="0" w:color="auto"/>
              <w:bottom w:val="single" w:sz="4" w:space="0" w:color="auto"/>
              <w:right w:val="single" w:sz="4" w:space="0" w:color="auto"/>
            </w:tcBorders>
          </w:tcPr>
          <w:p w14:paraId="4A38351B" w14:textId="77777777" w:rsidR="00170916" w:rsidRPr="005D7A60" w:rsidRDefault="00170916" w:rsidP="00696092">
            <w:pPr>
              <w:rPr>
                <w:rFonts w:ascii="Times New Roman" w:hAnsi="Times New Roman"/>
                <w:sz w:val="18"/>
                <w:szCs w:val="18"/>
                <w:lang w:val="de-DE"/>
              </w:rPr>
            </w:pPr>
            <w:r w:rsidRPr="005D7A60">
              <w:rPr>
                <w:rFonts w:ascii="Times New Roman" w:hAnsi="Times New Roman"/>
                <w:sz w:val="18"/>
                <w:szCs w:val="18"/>
                <w:lang w:val="de-DE"/>
              </w:rPr>
              <w:t>Quan et al. (2024); Baesens et al. (2003); Lessmann et al. (2015)</w:t>
            </w:r>
          </w:p>
        </w:tc>
        <w:tc>
          <w:tcPr>
            <w:tcW w:w="464" w:type="pct"/>
            <w:tcBorders>
              <w:top w:val="single" w:sz="4" w:space="0" w:color="auto"/>
              <w:left w:val="single" w:sz="4" w:space="0" w:color="auto"/>
              <w:bottom w:val="single" w:sz="4" w:space="0" w:color="auto"/>
              <w:right w:val="single" w:sz="4" w:space="0" w:color="auto"/>
            </w:tcBorders>
          </w:tcPr>
          <w:p w14:paraId="695A37BB" w14:textId="77777777" w:rsidR="00170916" w:rsidRPr="005D7A60" w:rsidRDefault="00170916" w:rsidP="00696092">
            <w:pPr>
              <w:rPr>
                <w:rFonts w:ascii="Times New Roman" w:hAnsi="Times New Roman"/>
                <w:sz w:val="18"/>
                <w:szCs w:val="18"/>
                <w:lang w:val="en-IN"/>
              </w:rPr>
            </w:pPr>
            <w:hyperlink r:id="rId13" w:history="1">
              <w:r w:rsidRPr="005D7A60">
                <w:rPr>
                  <w:rStyle w:val="Hyperlink"/>
                  <w:rFonts w:ascii="Times New Roman" w:hAnsi="Times New Roman"/>
                  <w:sz w:val="18"/>
                  <w:szCs w:val="18"/>
                  <w:lang w:val="en-IN"/>
                </w:rPr>
                <w:t>Link</w:t>
              </w:r>
            </w:hyperlink>
          </w:p>
        </w:tc>
      </w:tr>
      <w:tr w:rsidR="00170916" w:rsidRPr="005D7A60" w14:paraId="1338957F" w14:textId="77777777" w:rsidTr="00D16D7E">
        <w:trPr>
          <w:trHeight w:val="484"/>
        </w:trPr>
        <w:tc>
          <w:tcPr>
            <w:tcW w:w="863" w:type="pct"/>
            <w:tcBorders>
              <w:top w:val="single" w:sz="4" w:space="0" w:color="auto"/>
              <w:left w:val="single" w:sz="4" w:space="0" w:color="auto"/>
              <w:bottom w:val="single" w:sz="4" w:space="0" w:color="auto"/>
              <w:right w:val="single" w:sz="4" w:space="0" w:color="auto"/>
            </w:tcBorders>
          </w:tcPr>
          <w:p w14:paraId="66B5C247" w14:textId="77777777" w:rsidR="00170916" w:rsidRPr="005D7A60" w:rsidRDefault="00170916" w:rsidP="00696092">
            <w:pPr>
              <w:rPr>
                <w:rFonts w:ascii="Times New Roman" w:hAnsi="Times New Roman"/>
                <w:sz w:val="18"/>
                <w:szCs w:val="18"/>
                <w:lang w:val="en-IN"/>
              </w:rPr>
            </w:pPr>
            <w:r w:rsidRPr="005D7A60">
              <w:rPr>
                <w:rStyle w:val="Strong"/>
                <w:rFonts w:ascii="Times New Roman" w:hAnsi="Times New Roman"/>
                <w:b w:val="0"/>
                <w:bCs w:val="0"/>
                <w:sz w:val="18"/>
                <w:szCs w:val="18"/>
                <w:lang w:val="en-IN"/>
              </w:rPr>
              <w:t>AMEX Credit Default Dataset</w:t>
            </w:r>
          </w:p>
        </w:tc>
        <w:tc>
          <w:tcPr>
            <w:tcW w:w="513" w:type="pct"/>
            <w:tcBorders>
              <w:top w:val="single" w:sz="4" w:space="0" w:color="auto"/>
              <w:left w:val="single" w:sz="4" w:space="0" w:color="auto"/>
              <w:bottom w:val="single" w:sz="4" w:space="0" w:color="auto"/>
              <w:right w:val="single" w:sz="4" w:space="0" w:color="auto"/>
            </w:tcBorders>
          </w:tcPr>
          <w:p w14:paraId="65EB1B12" w14:textId="77777777" w:rsidR="00170916" w:rsidRPr="005D7A60" w:rsidRDefault="00170916" w:rsidP="00696092">
            <w:pPr>
              <w:rPr>
                <w:rFonts w:ascii="Times New Roman" w:hAnsi="Times New Roman"/>
                <w:sz w:val="18"/>
                <w:szCs w:val="18"/>
                <w:lang w:val="en-IN"/>
              </w:rPr>
            </w:pPr>
            <w:r w:rsidRPr="005D7A60">
              <w:rPr>
                <w:rFonts w:ascii="Times New Roman" w:hAnsi="Times New Roman"/>
                <w:sz w:val="18"/>
                <w:szCs w:val="18"/>
                <w:lang w:val="en-IN"/>
              </w:rPr>
              <w:t>USA</w:t>
            </w:r>
          </w:p>
        </w:tc>
        <w:tc>
          <w:tcPr>
            <w:tcW w:w="2110" w:type="pct"/>
            <w:tcBorders>
              <w:top w:val="single" w:sz="4" w:space="0" w:color="auto"/>
              <w:left w:val="single" w:sz="4" w:space="0" w:color="auto"/>
              <w:bottom w:val="single" w:sz="4" w:space="0" w:color="auto"/>
              <w:right w:val="single" w:sz="4" w:space="0" w:color="auto"/>
            </w:tcBorders>
          </w:tcPr>
          <w:p w14:paraId="077A765B" w14:textId="77777777" w:rsidR="00170916" w:rsidRPr="005D7A60" w:rsidRDefault="00170916" w:rsidP="00696092">
            <w:pPr>
              <w:rPr>
                <w:rFonts w:ascii="Times New Roman" w:hAnsi="Times New Roman"/>
                <w:sz w:val="18"/>
                <w:szCs w:val="18"/>
              </w:rPr>
            </w:pPr>
            <w:r w:rsidRPr="005D7A60">
              <w:rPr>
                <w:rFonts w:ascii="Times New Roman" w:hAnsi="Times New Roman"/>
                <w:sz w:val="18"/>
                <w:szCs w:val="18"/>
              </w:rPr>
              <w:t>458,913 training records, 924,621 test records; &gt;200 multi-temporal features across delinquency, spend, balance, etc.; default label over 18-month window</w:t>
            </w:r>
          </w:p>
        </w:tc>
        <w:tc>
          <w:tcPr>
            <w:tcW w:w="1049" w:type="pct"/>
            <w:tcBorders>
              <w:top w:val="single" w:sz="4" w:space="0" w:color="auto"/>
              <w:left w:val="single" w:sz="4" w:space="0" w:color="auto"/>
              <w:bottom w:val="single" w:sz="4" w:space="0" w:color="auto"/>
              <w:right w:val="single" w:sz="4" w:space="0" w:color="auto"/>
            </w:tcBorders>
          </w:tcPr>
          <w:p w14:paraId="001B3B5B" w14:textId="77777777" w:rsidR="00170916" w:rsidRPr="005D7A60" w:rsidRDefault="00170916" w:rsidP="00696092">
            <w:pPr>
              <w:rPr>
                <w:rFonts w:ascii="Times New Roman" w:hAnsi="Times New Roman"/>
                <w:sz w:val="18"/>
                <w:szCs w:val="18"/>
                <w:lang w:val="de-DE"/>
              </w:rPr>
            </w:pPr>
            <w:r w:rsidRPr="005D7A60">
              <w:rPr>
                <w:rFonts w:ascii="Times New Roman" w:hAnsi="Times New Roman"/>
                <w:sz w:val="18"/>
                <w:szCs w:val="18"/>
                <w:lang w:val="de-DE"/>
              </w:rPr>
              <w:t>Hu &amp; Yeo (2025)</w:t>
            </w:r>
          </w:p>
        </w:tc>
        <w:tc>
          <w:tcPr>
            <w:tcW w:w="464" w:type="pct"/>
            <w:tcBorders>
              <w:top w:val="single" w:sz="4" w:space="0" w:color="auto"/>
              <w:left w:val="single" w:sz="4" w:space="0" w:color="auto"/>
              <w:bottom w:val="single" w:sz="4" w:space="0" w:color="auto"/>
              <w:right w:val="single" w:sz="4" w:space="0" w:color="auto"/>
            </w:tcBorders>
          </w:tcPr>
          <w:p w14:paraId="2FC0D1AD" w14:textId="77777777" w:rsidR="00170916" w:rsidRPr="005D7A60" w:rsidRDefault="00170916" w:rsidP="00696092">
            <w:pPr>
              <w:rPr>
                <w:rFonts w:ascii="Times New Roman" w:hAnsi="Times New Roman"/>
                <w:sz w:val="18"/>
                <w:szCs w:val="18"/>
                <w:lang w:val="en-IN"/>
              </w:rPr>
            </w:pPr>
            <w:hyperlink r:id="rId14" w:history="1">
              <w:r w:rsidRPr="005D7A60">
                <w:rPr>
                  <w:rStyle w:val="Hyperlink"/>
                  <w:rFonts w:ascii="Times New Roman" w:hAnsi="Times New Roman"/>
                  <w:sz w:val="18"/>
                  <w:szCs w:val="18"/>
                  <w:lang w:val="en-IN"/>
                </w:rPr>
                <w:t>Link</w:t>
              </w:r>
            </w:hyperlink>
          </w:p>
        </w:tc>
      </w:tr>
      <w:tr w:rsidR="00170916" w:rsidRPr="005D7A60" w14:paraId="4A6BE4B4" w14:textId="77777777" w:rsidTr="00D16D7E">
        <w:trPr>
          <w:trHeight w:val="484"/>
        </w:trPr>
        <w:tc>
          <w:tcPr>
            <w:tcW w:w="863" w:type="pct"/>
            <w:tcBorders>
              <w:top w:val="single" w:sz="4" w:space="0" w:color="auto"/>
              <w:left w:val="single" w:sz="4" w:space="0" w:color="auto"/>
              <w:bottom w:val="single" w:sz="4" w:space="0" w:color="auto"/>
              <w:right w:val="single" w:sz="4" w:space="0" w:color="auto"/>
            </w:tcBorders>
          </w:tcPr>
          <w:p w14:paraId="7CCBDB1C" w14:textId="77777777" w:rsidR="00170916" w:rsidRPr="005D7A60" w:rsidRDefault="00170916" w:rsidP="00696092">
            <w:pPr>
              <w:rPr>
                <w:rFonts w:ascii="Times New Roman" w:hAnsi="Times New Roman"/>
                <w:sz w:val="18"/>
                <w:szCs w:val="18"/>
                <w:lang w:val="en-IN"/>
              </w:rPr>
            </w:pPr>
            <w:r w:rsidRPr="005D7A60">
              <w:rPr>
                <w:rStyle w:val="Strong"/>
                <w:rFonts w:ascii="Times New Roman" w:hAnsi="Times New Roman"/>
                <w:b w:val="0"/>
                <w:bCs w:val="0"/>
                <w:sz w:val="18"/>
                <w:szCs w:val="18"/>
                <w:lang w:val="en-IN"/>
              </w:rPr>
              <w:t>Default of Credit Card Clients</w:t>
            </w:r>
          </w:p>
        </w:tc>
        <w:tc>
          <w:tcPr>
            <w:tcW w:w="513" w:type="pct"/>
            <w:tcBorders>
              <w:top w:val="single" w:sz="4" w:space="0" w:color="auto"/>
              <w:left w:val="single" w:sz="4" w:space="0" w:color="auto"/>
              <w:bottom w:val="single" w:sz="4" w:space="0" w:color="auto"/>
              <w:right w:val="single" w:sz="4" w:space="0" w:color="auto"/>
            </w:tcBorders>
          </w:tcPr>
          <w:p w14:paraId="33A1C74B" w14:textId="77777777" w:rsidR="00170916" w:rsidRPr="005D7A60" w:rsidRDefault="00170916" w:rsidP="00696092">
            <w:pPr>
              <w:rPr>
                <w:rFonts w:ascii="Times New Roman" w:hAnsi="Times New Roman"/>
                <w:sz w:val="18"/>
                <w:szCs w:val="18"/>
                <w:lang w:val="en-IN"/>
              </w:rPr>
            </w:pPr>
            <w:r w:rsidRPr="005D7A60">
              <w:rPr>
                <w:rFonts w:ascii="Times New Roman" w:hAnsi="Times New Roman"/>
                <w:sz w:val="18"/>
                <w:szCs w:val="18"/>
                <w:lang w:val="en-IN"/>
              </w:rPr>
              <w:t>Taiwan</w:t>
            </w:r>
          </w:p>
        </w:tc>
        <w:tc>
          <w:tcPr>
            <w:tcW w:w="2110" w:type="pct"/>
            <w:tcBorders>
              <w:top w:val="single" w:sz="4" w:space="0" w:color="auto"/>
              <w:left w:val="single" w:sz="4" w:space="0" w:color="auto"/>
              <w:bottom w:val="single" w:sz="4" w:space="0" w:color="auto"/>
              <w:right w:val="single" w:sz="4" w:space="0" w:color="auto"/>
            </w:tcBorders>
          </w:tcPr>
          <w:p w14:paraId="6067677A" w14:textId="77777777" w:rsidR="00170916" w:rsidRPr="005D7A60" w:rsidRDefault="00170916" w:rsidP="00696092">
            <w:pPr>
              <w:rPr>
                <w:rFonts w:ascii="Times New Roman" w:hAnsi="Times New Roman"/>
                <w:sz w:val="18"/>
                <w:szCs w:val="18"/>
              </w:rPr>
            </w:pPr>
            <w:r w:rsidRPr="005D7A60">
              <w:rPr>
                <w:rFonts w:ascii="Times New Roman" w:hAnsi="Times New Roman"/>
                <w:sz w:val="18"/>
                <w:szCs w:val="18"/>
              </w:rPr>
              <w:t>~30,000 instances; demographic + credit history + repayment records</w:t>
            </w:r>
          </w:p>
        </w:tc>
        <w:tc>
          <w:tcPr>
            <w:tcW w:w="1049" w:type="pct"/>
            <w:tcBorders>
              <w:top w:val="single" w:sz="4" w:space="0" w:color="auto"/>
              <w:left w:val="single" w:sz="4" w:space="0" w:color="auto"/>
              <w:bottom w:val="single" w:sz="4" w:space="0" w:color="auto"/>
              <w:right w:val="single" w:sz="4" w:space="0" w:color="auto"/>
            </w:tcBorders>
          </w:tcPr>
          <w:p w14:paraId="79F9AE59" w14:textId="77777777" w:rsidR="00170916" w:rsidRPr="005D7A60" w:rsidRDefault="00170916" w:rsidP="00696092">
            <w:pPr>
              <w:rPr>
                <w:rFonts w:ascii="Times New Roman" w:hAnsi="Times New Roman"/>
                <w:sz w:val="18"/>
                <w:szCs w:val="18"/>
                <w:lang w:val="de-DE"/>
              </w:rPr>
            </w:pPr>
            <w:r w:rsidRPr="005D7A60">
              <w:rPr>
                <w:rFonts w:ascii="Times New Roman" w:hAnsi="Times New Roman"/>
                <w:sz w:val="18"/>
                <w:szCs w:val="18"/>
                <w:lang w:val="de-DE"/>
              </w:rPr>
              <w:t>Yeh &amp; Lien (2009); Quan et al. (2024); Hu &amp; Yeo (2025)</w:t>
            </w:r>
          </w:p>
        </w:tc>
        <w:tc>
          <w:tcPr>
            <w:tcW w:w="464" w:type="pct"/>
            <w:tcBorders>
              <w:top w:val="single" w:sz="4" w:space="0" w:color="auto"/>
              <w:left w:val="single" w:sz="4" w:space="0" w:color="auto"/>
              <w:bottom w:val="single" w:sz="4" w:space="0" w:color="auto"/>
              <w:right w:val="single" w:sz="4" w:space="0" w:color="auto"/>
            </w:tcBorders>
          </w:tcPr>
          <w:p w14:paraId="7AA29646" w14:textId="77777777" w:rsidR="00170916" w:rsidRPr="005D7A60" w:rsidRDefault="00170916" w:rsidP="00696092">
            <w:pPr>
              <w:rPr>
                <w:rFonts w:ascii="Times New Roman" w:hAnsi="Times New Roman"/>
                <w:sz w:val="18"/>
                <w:szCs w:val="18"/>
                <w:lang w:val="en-IN"/>
              </w:rPr>
            </w:pPr>
            <w:hyperlink r:id="rId15" w:history="1">
              <w:r w:rsidRPr="005D7A60">
                <w:rPr>
                  <w:rStyle w:val="Hyperlink"/>
                  <w:rFonts w:ascii="Times New Roman" w:hAnsi="Times New Roman"/>
                  <w:sz w:val="18"/>
                  <w:szCs w:val="18"/>
                  <w:lang w:val="en-IN"/>
                </w:rPr>
                <w:t>Link</w:t>
              </w:r>
            </w:hyperlink>
          </w:p>
        </w:tc>
      </w:tr>
      <w:tr w:rsidR="00170916" w:rsidRPr="005D7A60" w14:paraId="2994CEB6" w14:textId="77777777" w:rsidTr="00D16D7E">
        <w:trPr>
          <w:trHeight w:val="484"/>
        </w:trPr>
        <w:tc>
          <w:tcPr>
            <w:tcW w:w="863" w:type="pct"/>
            <w:tcBorders>
              <w:top w:val="single" w:sz="4" w:space="0" w:color="auto"/>
              <w:left w:val="single" w:sz="4" w:space="0" w:color="auto"/>
              <w:bottom w:val="single" w:sz="4" w:space="0" w:color="auto"/>
              <w:right w:val="single" w:sz="4" w:space="0" w:color="auto"/>
            </w:tcBorders>
          </w:tcPr>
          <w:p w14:paraId="2831AF2C" w14:textId="77777777" w:rsidR="00170916" w:rsidRPr="005D7A60" w:rsidRDefault="00170916" w:rsidP="00696092">
            <w:pPr>
              <w:rPr>
                <w:rFonts w:ascii="Times New Roman" w:hAnsi="Times New Roman"/>
                <w:sz w:val="18"/>
                <w:szCs w:val="18"/>
                <w:lang w:val="en-IN"/>
              </w:rPr>
            </w:pPr>
            <w:r w:rsidRPr="005D7A60">
              <w:rPr>
                <w:rStyle w:val="Strong"/>
                <w:rFonts w:ascii="Times New Roman" w:hAnsi="Times New Roman"/>
                <w:b w:val="0"/>
                <w:bCs w:val="0"/>
                <w:sz w:val="18"/>
                <w:szCs w:val="18"/>
                <w:lang w:val="en-IN"/>
              </w:rPr>
              <w:t>Credit borrowers’ data</w:t>
            </w:r>
          </w:p>
        </w:tc>
        <w:tc>
          <w:tcPr>
            <w:tcW w:w="513" w:type="pct"/>
            <w:tcBorders>
              <w:top w:val="single" w:sz="4" w:space="0" w:color="auto"/>
              <w:left w:val="single" w:sz="4" w:space="0" w:color="auto"/>
              <w:bottom w:val="single" w:sz="4" w:space="0" w:color="auto"/>
              <w:right w:val="single" w:sz="4" w:space="0" w:color="auto"/>
            </w:tcBorders>
          </w:tcPr>
          <w:p w14:paraId="151A0666" w14:textId="77777777" w:rsidR="00170916" w:rsidRPr="005D7A60" w:rsidRDefault="00170916" w:rsidP="00696092">
            <w:pPr>
              <w:rPr>
                <w:rFonts w:ascii="Times New Roman" w:hAnsi="Times New Roman"/>
                <w:sz w:val="18"/>
                <w:szCs w:val="18"/>
                <w:lang w:val="en-IN"/>
              </w:rPr>
            </w:pPr>
            <w:r w:rsidRPr="005D7A60">
              <w:rPr>
                <w:rFonts w:ascii="Times New Roman" w:hAnsi="Times New Roman"/>
                <w:sz w:val="18"/>
                <w:szCs w:val="18"/>
                <w:lang w:val="en-IN"/>
              </w:rPr>
              <w:t>USA</w:t>
            </w:r>
          </w:p>
        </w:tc>
        <w:tc>
          <w:tcPr>
            <w:tcW w:w="2110" w:type="pct"/>
            <w:tcBorders>
              <w:top w:val="single" w:sz="4" w:space="0" w:color="auto"/>
              <w:left w:val="single" w:sz="4" w:space="0" w:color="auto"/>
              <w:bottom w:val="single" w:sz="4" w:space="0" w:color="auto"/>
              <w:right w:val="single" w:sz="4" w:space="0" w:color="auto"/>
            </w:tcBorders>
          </w:tcPr>
          <w:p w14:paraId="2274419C" w14:textId="77777777" w:rsidR="00170916" w:rsidRPr="005D7A60" w:rsidRDefault="00170916" w:rsidP="00696092">
            <w:pPr>
              <w:rPr>
                <w:rFonts w:ascii="Times New Roman" w:hAnsi="Times New Roman"/>
                <w:sz w:val="18"/>
                <w:szCs w:val="18"/>
              </w:rPr>
            </w:pPr>
            <w:r w:rsidRPr="005D7A60">
              <w:rPr>
                <w:rFonts w:ascii="Times New Roman" w:hAnsi="Times New Roman"/>
                <w:sz w:val="18"/>
                <w:szCs w:val="18"/>
              </w:rPr>
              <w:t>150,000 borrowers; 10 numerical features (income, debt ratio, age, etc.); default label</w:t>
            </w:r>
          </w:p>
        </w:tc>
        <w:tc>
          <w:tcPr>
            <w:tcW w:w="1049" w:type="pct"/>
            <w:tcBorders>
              <w:top w:val="single" w:sz="4" w:space="0" w:color="auto"/>
              <w:left w:val="single" w:sz="4" w:space="0" w:color="auto"/>
              <w:bottom w:val="single" w:sz="4" w:space="0" w:color="auto"/>
              <w:right w:val="single" w:sz="4" w:space="0" w:color="auto"/>
            </w:tcBorders>
          </w:tcPr>
          <w:p w14:paraId="6105CD3E" w14:textId="77777777" w:rsidR="00170916" w:rsidRPr="005D7A60" w:rsidRDefault="00170916" w:rsidP="00696092">
            <w:pPr>
              <w:rPr>
                <w:rFonts w:ascii="Times New Roman" w:hAnsi="Times New Roman"/>
                <w:sz w:val="18"/>
                <w:szCs w:val="18"/>
                <w:lang w:val="de-DE"/>
              </w:rPr>
            </w:pPr>
            <w:r w:rsidRPr="005D7A60">
              <w:rPr>
                <w:rFonts w:ascii="Times New Roman" w:hAnsi="Times New Roman"/>
                <w:sz w:val="18"/>
                <w:szCs w:val="18"/>
                <w:lang w:val="de-DE"/>
              </w:rPr>
              <w:t>Kozodoi et al. (2022)</w:t>
            </w:r>
          </w:p>
        </w:tc>
        <w:tc>
          <w:tcPr>
            <w:tcW w:w="464" w:type="pct"/>
            <w:tcBorders>
              <w:top w:val="single" w:sz="4" w:space="0" w:color="auto"/>
              <w:left w:val="single" w:sz="4" w:space="0" w:color="auto"/>
              <w:bottom w:val="single" w:sz="4" w:space="0" w:color="auto"/>
              <w:right w:val="single" w:sz="4" w:space="0" w:color="auto"/>
            </w:tcBorders>
          </w:tcPr>
          <w:p w14:paraId="369FBFFB" w14:textId="77777777" w:rsidR="00170916" w:rsidRPr="005D7A60" w:rsidRDefault="00170916" w:rsidP="00696092">
            <w:pPr>
              <w:rPr>
                <w:rFonts w:ascii="Times New Roman" w:hAnsi="Times New Roman"/>
                <w:sz w:val="18"/>
                <w:szCs w:val="18"/>
                <w:lang w:val="en-IN"/>
              </w:rPr>
            </w:pPr>
            <w:hyperlink r:id="rId16" w:history="1">
              <w:r w:rsidRPr="005D7A60">
                <w:rPr>
                  <w:rStyle w:val="Hyperlink"/>
                  <w:rFonts w:ascii="Times New Roman" w:hAnsi="Times New Roman"/>
                  <w:sz w:val="18"/>
                  <w:szCs w:val="18"/>
                  <w:lang w:val="en-IN"/>
                </w:rPr>
                <w:t>Link</w:t>
              </w:r>
            </w:hyperlink>
          </w:p>
        </w:tc>
      </w:tr>
      <w:tr w:rsidR="00170916" w:rsidRPr="005D7A60" w14:paraId="2061DB83" w14:textId="77777777" w:rsidTr="00D16D7E">
        <w:trPr>
          <w:trHeight w:val="484"/>
        </w:trPr>
        <w:tc>
          <w:tcPr>
            <w:tcW w:w="863" w:type="pct"/>
            <w:tcBorders>
              <w:top w:val="single" w:sz="4" w:space="0" w:color="auto"/>
              <w:left w:val="single" w:sz="4" w:space="0" w:color="auto"/>
              <w:bottom w:val="single" w:sz="4" w:space="0" w:color="auto"/>
              <w:right w:val="single" w:sz="4" w:space="0" w:color="auto"/>
            </w:tcBorders>
          </w:tcPr>
          <w:p w14:paraId="4CCADD61" w14:textId="77777777" w:rsidR="00170916" w:rsidRPr="005D7A60" w:rsidRDefault="00170916" w:rsidP="00696092">
            <w:pPr>
              <w:rPr>
                <w:rFonts w:ascii="Times New Roman" w:hAnsi="Times New Roman"/>
                <w:sz w:val="18"/>
                <w:szCs w:val="18"/>
                <w:lang w:val="en-IN"/>
              </w:rPr>
            </w:pPr>
            <w:r w:rsidRPr="005D7A60">
              <w:rPr>
                <w:rStyle w:val="Strong"/>
                <w:rFonts w:ascii="Times New Roman" w:hAnsi="Times New Roman"/>
                <w:b w:val="0"/>
                <w:bCs w:val="0"/>
                <w:sz w:val="18"/>
                <w:szCs w:val="18"/>
                <w:lang w:val="en-IN"/>
              </w:rPr>
              <w:t>Home Credit Default Risk</w:t>
            </w:r>
          </w:p>
        </w:tc>
        <w:tc>
          <w:tcPr>
            <w:tcW w:w="513" w:type="pct"/>
            <w:tcBorders>
              <w:top w:val="single" w:sz="4" w:space="0" w:color="auto"/>
              <w:left w:val="single" w:sz="4" w:space="0" w:color="auto"/>
              <w:bottom w:val="single" w:sz="4" w:space="0" w:color="auto"/>
              <w:right w:val="single" w:sz="4" w:space="0" w:color="auto"/>
            </w:tcBorders>
          </w:tcPr>
          <w:p w14:paraId="1D9BB419" w14:textId="77777777" w:rsidR="00170916" w:rsidRPr="005D7A60" w:rsidRDefault="00170916" w:rsidP="00696092">
            <w:pPr>
              <w:rPr>
                <w:rFonts w:ascii="Times New Roman" w:hAnsi="Times New Roman"/>
                <w:sz w:val="18"/>
                <w:szCs w:val="18"/>
                <w:lang w:val="en-IN"/>
              </w:rPr>
            </w:pPr>
            <w:r w:rsidRPr="005D7A60">
              <w:rPr>
                <w:rFonts w:ascii="Times New Roman" w:hAnsi="Times New Roman"/>
                <w:sz w:val="18"/>
                <w:szCs w:val="18"/>
                <w:lang w:val="en-IN"/>
              </w:rPr>
              <w:t>Europe</w:t>
            </w:r>
          </w:p>
        </w:tc>
        <w:tc>
          <w:tcPr>
            <w:tcW w:w="2110" w:type="pct"/>
            <w:tcBorders>
              <w:top w:val="single" w:sz="4" w:space="0" w:color="auto"/>
              <w:left w:val="single" w:sz="4" w:space="0" w:color="auto"/>
              <w:bottom w:val="single" w:sz="4" w:space="0" w:color="auto"/>
              <w:right w:val="single" w:sz="4" w:space="0" w:color="auto"/>
            </w:tcBorders>
          </w:tcPr>
          <w:p w14:paraId="7958DF19" w14:textId="77777777" w:rsidR="00170916" w:rsidRPr="005D7A60" w:rsidRDefault="00170916" w:rsidP="00696092">
            <w:pPr>
              <w:rPr>
                <w:rFonts w:ascii="Times New Roman" w:hAnsi="Times New Roman"/>
                <w:sz w:val="18"/>
                <w:szCs w:val="18"/>
              </w:rPr>
            </w:pPr>
            <w:r w:rsidRPr="005D7A60">
              <w:rPr>
                <w:rFonts w:ascii="Times New Roman" w:hAnsi="Times New Roman"/>
                <w:sz w:val="18"/>
                <w:szCs w:val="18"/>
              </w:rPr>
              <w:t>307,511 loan applications; ~200 features (demographics, credit history, behavioral data)</w:t>
            </w:r>
          </w:p>
        </w:tc>
        <w:tc>
          <w:tcPr>
            <w:tcW w:w="1049" w:type="pct"/>
            <w:tcBorders>
              <w:top w:val="single" w:sz="4" w:space="0" w:color="auto"/>
              <w:left w:val="single" w:sz="4" w:space="0" w:color="auto"/>
              <w:bottom w:val="single" w:sz="4" w:space="0" w:color="auto"/>
              <w:right w:val="single" w:sz="4" w:space="0" w:color="auto"/>
            </w:tcBorders>
          </w:tcPr>
          <w:p w14:paraId="6173AEE0" w14:textId="77777777" w:rsidR="00170916" w:rsidRPr="005D7A60" w:rsidRDefault="00170916" w:rsidP="00696092">
            <w:pPr>
              <w:rPr>
                <w:rFonts w:ascii="Times New Roman" w:hAnsi="Times New Roman"/>
                <w:sz w:val="18"/>
                <w:szCs w:val="18"/>
                <w:lang w:val="de-DE"/>
              </w:rPr>
            </w:pPr>
            <w:r w:rsidRPr="005D7A60">
              <w:rPr>
                <w:rFonts w:ascii="Times New Roman" w:hAnsi="Times New Roman"/>
                <w:sz w:val="18"/>
                <w:szCs w:val="18"/>
                <w:lang w:val="de-DE"/>
              </w:rPr>
              <w:t>Kozodoi et al. (2022)</w:t>
            </w:r>
          </w:p>
        </w:tc>
        <w:tc>
          <w:tcPr>
            <w:tcW w:w="464" w:type="pct"/>
            <w:tcBorders>
              <w:top w:val="single" w:sz="4" w:space="0" w:color="auto"/>
              <w:left w:val="single" w:sz="4" w:space="0" w:color="auto"/>
              <w:bottom w:val="single" w:sz="4" w:space="0" w:color="auto"/>
              <w:right w:val="single" w:sz="4" w:space="0" w:color="auto"/>
            </w:tcBorders>
          </w:tcPr>
          <w:p w14:paraId="2E08BDB0" w14:textId="77777777" w:rsidR="00170916" w:rsidRPr="005D7A60" w:rsidRDefault="00170916" w:rsidP="00696092">
            <w:pPr>
              <w:rPr>
                <w:rFonts w:ascii="Times New Roman" w:hAnsi="Times New Roman"/>
                <w:sz w:val="18"/>
                <w:szCs w:val="18"/>
                <w:lang w:val="en-IN"/>
              </w:rPr>
            </w:pPr>
            <w:hyperlink r:id="rId17" w:history="1">
              <w:r w:rsidRPr="005D7A60">
                <w:rPr>
                  <w:rStyle w:val="Hyperlink"/>
                  <w:rFonts w:ascii="Times New Roman" w:hAnsi="Times New Roman"/>
                  <w:sz w:val="18"/>
                  <w:szCs w:val="18"/>
                  <w:lang w:val="en-IN"/>
                </w:rPr>
                <w:t>Link</w:t>
              </w:r>
            </w:hyperlink>
          </w:p>
        </w:tc>
      </w:tr>
      <w:tr w:rsidR="00170916" w:rsidRPr="005D7A60" w14:paraId="202FCE71" w14:textId="77777777" w:rsidTr="00D16D7E">
        <w:trPr>
          <w:trHeight w:val="484"/>
        </w:trPr>
        <w:tc>
          <w:tcPr>
            <w:tcW w:w="863" w:type="pct"/>
            <w:tcBorders>
              <w:top w:val="single" w:sz="4" w:space="0" w:color="auto"/>
              <w:left w:val="single" w:sz="4" w:space="0" w:color="auto"/>
              <w:bottom w:val="single" w:sz="4" w:space="0" w:color="auto"/>
              <w:right w:val="single" w:sz="4" w:space="0" w:color="auto"/>
            </w:tcBorders>
          </w:tcPr>
          <w:p w14:paraId="652EEA82" w14:textId="77777777" w:rsidR="00170916" w:rsidRPr="005D7A60" w:rsidRDefault="00170916" w:rsidP="00696092">
            <w:pPr>
              <w:rPr>
                <w:rFonts w:ascii="Times New Roman" w:hAnsi="Times New Roman"/>
                <w:sz w:val="18"/>
                <w:szCs w:val="18"/>
                <w:lang w:val="en-IN"/>
              </w:rPr>
            </w:pPr>
            <w:r w:rsidRPr="005D7A60">
              <w:rPr>
                <w:rStyle w:val="Strong"/>
                <w:rFonts w:ascii="Times New Roman" w:hAnsi="Times New Roman"/>
                <w:b w:val="0"/>
                <w:bCs w:val="0"/>
                <w:sz w:val="18"/>
                <w:szCs w:val="18"/>
                <w:lang w:val="en-IN"/>
              </w:rPr>
              <w:t>PAKDD 2010 Credit Scoring</w:t>
            </w:r>
          </w:p>
        </w:tc>
        <w:tc>
          <w:tcPr>
            <w:tcW w:w="513" w:type="pct"/>
            <w:tcBorders>
              <w:top w:val="single" w:sz="4" w:space="0" w:color="auto"/>
              <w:left w:val="single" w:sz="4" w:space="0" w:color="auto"/>
              <w:bottom w:val="single" w:sz="4" w:space="0" w:color="auto"/>
              <w:right w:val="single" w:sz="4" w:space="0" w:color="auto"/>
            </w:tcBorders>
          </w:tcPr>
          <w:p w14:paraId="53E766BA" w14:textId="77777777" w:rsidR="00170916" w:rsidRPr="005D7A60" w:rsidRDefault="00170916" w:rsidP="00696092">
            <w:pPr>
              <w:rPr>
                <w:rFonts w:ascii="Times New Roman" w:hAnsi="Times New Roman"/>
                <w:sz w:val="18"/>
                <w:szCs w:val="18"/>
                <w:lang w:val="en-IN"/>
              </w:rPr>
            </w:pPr>
            <w:r w:rsidRPr="005D7A60">
              <w:rPr>
                <w:rFonts w:ascii="Times New Roman" w:hAnsi="Times New Roman"/>
                <w:sz w:val="18"/>
                <w:szCs w:val="18"/>
                <w:lang w:val="en-IN"/>
              </w:rPr>
              <w:t>Taiwan</w:t>
            </w:r>
          </w:p>
        </w:tc>
        <w:tc>
          <w:tcPr>
            <w:tcW w:w="2110" w:type="pct"/>
            <w:tcBorders>
              <w:top w:val="single" w:sz="4" w:space="0" w:color="auto"/>
              <w:left w:val="single" w:sz="4" w:space="0" w:color="auto"/>
              <w:bottom w:val="single" w:sz="4" w:space="0" w:color="auto"/>
              <w:right w:val="single" w:sz="4" w:space="0" w:color="auto"/>
            </w:tcBorders>
          </w:tcPr>
          <w:p w14:paraId="6F5CBDD1" w14:textId="77777777" w:rsidR="00170916" w:rsidRPr="005D7A60" w:rsidRDefault="00170916" w:rsidP="00696092">
            <w:pPr>
              <w:rPr>
                <w:rFonts w:ascii="Times New Roman" w:hAnsi="Times New Roman"/>
                <w:sz w:val="18"/>
                <w:szCs w:val="18"/>
              </w:rPr>
            </w:pPr>
            <w:r w:rsidRPr="005D7A60">
              <w:rPr>
                <w:rFonts w:ascii="Times New Roman" w:hAnsi="Times New Roman"/>
                <w:sz w:val="18"/>
                <w:szCs w:val="18"/>
              </w:rPr>
              <w:t>~50,000 instances; 18 features; loan default prediction competition</w:t>
            </w:r>
          </w:p>
        </w:tc>
        <w:tc>
          <w:tcPr>
            <w:tcW w:w="1049" w:type="pct"/>
            <w:tcBorders>
              <w:top w:val="single" w:sz="4" w:space="0" w:color="auto"/>
              <w:left w:val="single" w:sz="4" w:space="0" w:color="auto"/>
              <w:bottom w:val="single" w:sz="4" w:space="0" w:color="auto"/>
              <w:right w:val="single" w:sz="4" w:space="0" w:color="auto"/>
            </w:tcBorders>
          </w:tcPr>
          <w:p w14:paraId="53EAE95F" w14:textId="77777777" w:rsidR="00170916" w:rsidRPr="005D7A60" w:rsidRDefault="00170916" w:rsidP="00696092">
            <w:pPr>
              <w:rPr>
                <w:rFonts w:ascii="Times New Roman" w:hAnsi="Times New Roman"/>
                <w:sz w:val="18"/>
                <w:szCs w:val="18"/>
                <w:lang w:val="de-DE"/>
              </w:rPr>
            </w:pPr>
            <w:r w:rsidRPr="005D7A60">
              <w:rPr>
                <w:rFonts w:ascii="Times New Roman" w:hAnsi="Times New Roman"/>
                <w:sz w:val="18"/>
                <w:szCs w:val="18"/>
                <w:lang w:val="de-DE"/>
              </w:rPr>
              <w:t>Kozodoi et al. (2022)</w:t>
            </w:r>
          </w:p>
        </w:tc>
        <w:tc>
          <w:tcPr>
            <w:tcW w:w="464" w:type="pct"/>
            <w:tcBorders>
              <w:top w:val="single" w:sz="4" w:space="0" w:color="auto"/>
              <w:left w:val="single" w:sz="4" w:space="0" w:color="auto"/>
              <w:bottom w:val="single" w:sz="4" w:space="0" w:color="auto"/>
              <w:right w:val="single" w:sz="4" w:space="0" w:color="auto"/>
            </w:tcBorders>
          </w:tcPr>
          <w:p w14:paraId="7607B175" w14:textId="77777777" w:rsidR="00170916" w:rsidRPr="005D7A60" w:rsidRDefault="00170916" w:rsidP="00696092">
            <w:pPr>
              <w:rPr>
                <w:rFonts w:ascii="Times New Roman" w:hAnsi="Times New Roman"/>
                <w:sz w:val="18"/>
                <w:szCs w:val="18"/>
                <w:lang w:val="en-IN"/>
              </w:rPr>
            </w:pPr>
            <w:hyperlink r:id="rId18" w:history="1">
              <w:r w:rsidRPr="005D7A60">
                <w:rPr>
                  <w:rStyle w:val="Hyperlink"/>
                  <w:rFonts w:ascii="Times New Roman" w:hAnsi="Times New Roman"/>
                  <w:sz w:val="18"/>
                  <w:szCs w:val="18"/>
                  <w:lang w:val="en-IN"/>
                </w:rPr>
                <w:t>Link</w:t>
              </w:r>
            </w:hyperlink>
          </w:p>
        </w:tc>
      </w:tr>
      <w:tr w:rsidR="00B324E0" w:rsidRPr="005D7A60" w14:paraId="5F1AADC0" w14:textId="77777777" w:rsidTr="00D16D7E">
        <w:trPr>
          <w:trHeight w:val="484"/>
        </w:trPr>
        <w:tc>
          <w:tcPr>
            <w:tcW w:w="863" w:type="pct"/>
            <w:tcBorders>
              <w:top w:val="single" w:sz="4" w:space="0" w:color="auto"/>
              <w:left w:val="single" w:sz="4" w:space="0" w:color="auto"/>
              <w:bottom w:val="single" w:sz="4" w:space="0" w:color="auto"/>
              <w:right w:val="single" w:sz="4" w:space="0" w:color="auto"/>
            </w:tcBorders>
          </w:tcPr>
          <w:p w14:paraId="650F7F1E" w14:textId="77777777" w:rsidR="00170916" w:rsidRPr="005D7A60" w:rsidRDefault="00170916" w:rsidP="00696092">
            <w:pPr>
              <w:rPr>
                <w:rStyle w:val="Strong"/>
                <w:rFonts w:ascii="Times New Roman" w:hAnsi="Times New Roman"/>
                <w:b w:val="0"/>
                <w:bCs w:val="0"/>
                <w:sz w:val="18"/>
                <w:szCs w:val="18"/>
                <w:lang w:val="en-IN"/>
              </w:rPr>
            </w:pPr>
            <w:proofErr w:type="spellStart"/>
            <w:r w:rsidRPr="005D7A60">
              <w:rPr>
                <w:rFonts w:ascii="Times New Roman" w:hAnsi="Times New Roman"/>
                <w:sz w:val="18"/>
                <w:szCs w:val="18"/>
              </w:rPr>
              <w:t>Wilful</w:t>
            </w:r>
            <w:proofErr w:type="spellEnd"/>
            <w:r w:rsidRPr="005D7A60">
              <w:rPr>
                <w:rFonts w:ascii="Times New Roman" w:hAnsi="Times New Roman"/>
                <w:sz w:val="18"/>
                <w:szCs w:val="18"/>
              </w:rPr>
              <w:t xml:space="preserve"> Loan Defaulters</w:t>
            </w:r>
          </w:p>
        </w:tc>
        <w:tc>
          <w:tcPr>
            <w:tcW w:w="513" w:type="pct"/>
            <w:tcBorders>
              <w:top w:val="single" w:sz="4" w:space="0" w:color="auto"/>
              <w:left w:val="single" w:sz="4" w:space="0" w:color="auto"/>
              <w:bottom w:val="single" w:sz="4" w:space="0" w:color="auto"/>
              <w:right w:val="single" w:sz="4" w:space="0" w:color="auto"/>
            </w:tcBorders>
          </w:tcPr>
          <w:p w14:paraId="1E8C9956" w14:textId="77777777" w:rsidR="00170916" w:rsidRPr="005D7A60" w:rsidRDefault="00170916" w:rsidP="00696092">
            <w:pPr>
              <w:rPr>
                <w:rFonts w:ascii="Times New Roman" w:hAnsi="Times New Roman"/>
                <w:sz w:val="18"/>
                <w:szCs w:val="18"/>
                <w:lang w:val="en-IN"/>
              </w:rPr>
            </w:pPr>
            <w:r w:rsidRPr="005D7A60">
              <w:rPr>
                <w:rFonts w:ascii="Times New Roman" w:hAnsi="Times New Roman"/>
                <w:sz w:val="18"/>
                <w:szCs w:val="18"/>
                <w:lang w:val="en-IN"/>
              </w:rPr>
              <w:t>India</w:t>
            </w:r>
          </w:p>
        </w:tc>
        <w:tc>
          <w:tcPr>
            <w:tcW w:w="2110" w:type="pct"/>
            <w:tcBorders>
              <w:top w:val="single" w:sz="4" w:space="0" w:color="auto"/>
              <w:left w:val="single" w:sz="4" w:space="0" w:color="auto"/>
              <w:bottom w:val="single" w:sz="4" w:space="0" w:color="auto"/>
              <w:right w:val="single" w:sz="4" w:space="0" w:color="auto"/>
            </w:tcBorders>
          </w:tcPr>
          <w:p w14:paraId="12E34040" w14:textId="77777777" w:rsidR="00170916" w:rsidRPr="005D7A60" w:rsidRDefault="00170916" w:rsidP="00696092">
            <w:pPr>
              <w:rPr>
                <w:rFonts w:ascii="Times New Roman" w:hAnsi="Times New Roman"/>
                <w:sz w:val="18"/>
                <w:szCs w:val="18"/>
              </w:rPr>
            </w:pPr>
            <w:r w:rsidRPr="005D7A60">
              <w:rPr>
                <w:rFonts w:ascii="Times New Roman" w:hAnsi="Times New Roman"/>
                <w:sz w:val="18"/>
                <w:szCs w:val="18"/>
              </w:rPr>
              <w:t>Public lists (names, amounts, etc.) of loanees from Indian banks who are declared willful defaulters.</w:t>
            </w:r>
          </w:p>
        </w:tc>
        <w:tc>
          <w:tcPr>
            <w:tcW w:w="1049" w:type="pct"/>
            <w:tcBorders>
              <w:top w:val="single" w:sz="4" w:space="0" w:color="auto"/>
              <w:left w:val="single" w:sz="4" w:space="0" w:color="auto"/>
              <w:bottom w:val="single" w:sz="4" w:space="0" w:color="auto"/>
              <w:right w:val="single" w:sz="4" w:space="0" w:color="auto"/>
            </w:tcBorders>
          </w:tcPr>
          <w:p w14:paraId="3324A015" w14:textId="77777777" w:rsidR="00170916" w:rsidRPr="005D7A60" w:rsidRDefault="00170916" w:rsidP="00696092">
            <w:pPr>
              <w:rPr>
                <w:rFonts w:ascii="Times New Roman" w:hAnsi="Times New Roman"/>
                <w:sz w:val="18"/>
                <w:szCs w:val="18"/>
                <w:lang w:val="en-IN"/>
              </w:rPr>
            </w:pPr>
            <w:r w:rsidRPr="005D7A60">
              <w:rPr>
                <w:rFonts w:ascii="Times New Roman" w:hAnsi="Times New Roman"/>
                <w:sz w:val="18"/>
                <w:szCs w:val="18"/>
              </w:rPr>
              <w:t>Jayadev &amp; Padma (2019)</w:t>
            </w:r>
          </w:p>
        </w:tc>
        <w:tc>
          <w:tcPr>
            <w:tcW w:w="464" w:type="pct"/>
            <w:tcBorders>
              <w:top w:val="single" w:sz="4" w:space="0" w:color="auto"/>
              <w:left w:val="single" w:sz="4" w:space="0" w:color="auto"/>
              <w:bottom w:val="single" w:sz="4" w:space="0" w:color="auto"/>
              <w:right w:val="single" w:sz="4" w:space="0" w:color="auto"/>
            </w:tcBorders>
          </w:tcPr>
          <w:p w14:paraId="1F1E0E63" w14:textId="77777777" w:rsidR="00170916" w:rsidRPr="005D7A60" w:rsidRDefault="00170916" w:rsidP="00696092">
            <w:pPr>
              <w:rPr>
                <w:rFonts w:ascii="Times New Roman" w:hAnsi="Times New Roman"/>
                <w:sz w:val="18"/>
                <w:szCs w:val="18"/>
                <w:lang w:val="en-IN"/>
              </w:rPr>
            </w:pPr>
            <w:hyperlink r:id="rId19" w:history="1">
              <w:r w:rsidRPr="005D7A60">
                <w:rPr>
                  <w:rStyle w:val="Hyperlink"/>
                  <w:rFonts w:ascii="Times New Roman" w:hAnsi="Times New Roman"/>
                  <w:sz w:val="18"/>
                  <w:szCs w:val="18"/>
                  <w:lang w:val="en-IN"/>
                </w:rPr>
                <w:t>Link</w:t>
              </w:r>
            </w:hyperlink>
          </w:p>
        </w:tc>
      </w:tr>
    </w:tbl>
    <w:p w14:paraId="5F80F93D" w14:textId="77777777" w:rsidR="00B324E0" w:rsidRPr="005D7A60" w:rsidRDefault="00B324E0">
      <w:pPr>
        <w:rPr>
          <w:rFonts w:ascii="Times New Roman" w:hAnsi="Times New Roman"/>
        </w:rPr>
      </w:pPr>
      <w:bookmarkStart w:id="11" w:name="_Toc208463196"/>
      <w:bookmarkEnd w:id="10"/>
    </w:p>
    <w:p w14:paraId="583CC241" w14:textId="77777777" w:rsidR="0069237F" w:rsidRPr="005D7A60" w:rsidRDefault="0069237F" w:rsidP="0069237F">
      <w:pPr>
        <w:spacing w:line="480" w:lineRule="auto"/>
        <w:jc w:val="both"/>
        <w:rPr>
          <w:rFonts w:ascii="Times New Roman" w:hAnsi="Times New Roman"/>
          <w:b/>
          <w:bCs/>
          <w:lang w:val="en-IN"/>
        </w:rPr>
      </w:pPr>
      <w:r w:rsidRPr="005D7A60">
        <w:rPr>
          <w:rFonts w:ascii="Times New Roman" w:hAnsi="Times New Roman"/>
          <w:b/>
          <w:bCs/>
          <w:lang w:val="en-IN"/>
        </w:rPr>
        <w:t>Variable Framework: Integration of Dataset Features and Basel 3.1–Derived Indicators</w:t>
      </w:r>
    </w:p>
    <w:p w14:paraId="2DF509A9" w14:textId="77777777" w:rsidR="0069237F" w:rsidRPr="005D7A60" w:rsidRDefault="0069237F" w:rsidP="0069237F">
      <w:pPr>
        <w:spacing w:line="480" w:lineRule="auto"/>
        <w:ind w:firstLine="720"/>
        <w:jc w:val="both"/>
        <w:rPr>
          <w:rFonts w:ascii="Times New Roman" w:hAnsi="Times New Roman"/>
          <w:lang w:val="en-IN"/>
        </w:rPr>
      </w:pPr>
      <w:r w:rsidRPr="005D7A60">
        <w:rPr>
          <w:rFonts w:ascii="Times New Roman" w:hAnsi="Times New Roman"/>
          <w:lang w:val="en-IN"/>
        </w:rPr>
        <w:t>The development of the research model requires a careful definition of dependent and independent variables that are both observable in public datasets and, where feasible, derivable from Basel 3.1 provisions. This section outlines the variable framework adopted in the study. It integrates dataset-driven borrower and loan attributes with regulatory indicators translated from Basel 3.1 Credit Risk (CRE) standards using Generative AI. The intention is to remain methodologically rigorous by restricting the analysis to information that is either directly reported or cleanly derivable, while leaving scope to test how regulatory variables influence predictive performance and supervisory alignment.</w:t>
      </w:r>
    </w:p>
    <w:p w14:paraId="134D2D16" w14:textId="37E1FB0A" w:rsidR="008F2DAB" w:rsidRPr="005D7A60" w:rsidRDefault="0069237F" w:rsidP="00913942">
      <w:pPr>
        <w:spacing w:line="480" w:lineRule="auto"/>
        <w:ind w:firstLine="720"/>
        <w:jc w:val="both"/>
        <w:rPr>
          <w:rFonts w:ascii="Times New Roman" w:hAnsi="Times New Roman"/>
          <w:lang w:val="en-IN"/>
        </w:rPr>
      </w:pPr>
      <w:r w:rsidRPr="005D7A60">
        <w:rPr>
          <w:rFonts w:ascii="Times New Roman" w:hAnsi="Times New Roman"/>
          <w:lang w:val="en-IN"/>
        </w:rPr>
        <w:lastRenderedPageBreak/>
        <w:t>The dependent variables primarily capture default outcomes and repayment performance, while the independent variables span borrower characteristics, loan-level attributes, affordability measures, repayment behaviour, and regulatory features. Generative AI will be employed to convert the textual provisions of Basel 3.1 into structured indicators such as exposure classes, loan-to-value buckets, and risk weights. These indicators will be aligned with available dataset fields, ensuring that any constructed features are empirically grounded.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384"/>
        <w:gridCol w:w="996"/>
        <w:gridCol w:w="4955"/>
        <w:gridCol w:w="2241"/>
      </w:tblGrid>
      <w:tr w:rsidR="00D51054" w:rsidRPr="005D7A60" w14:paraId="2D4B6512" w14:textId="77777777" w:rsidTr="00DC65CC">
        <w:trPr>
          <w:trHeight w:val="470"/>
        </w:trPr>
        <w:tc>
          <w:tcPr>
            <w:tcW w:w="723" w:type="pct"/>
            <w:vAlign w:val="center"/>
          </w:tcPr>
          <w:p w14:paraId="1E05D314" w14:textId="481926F5" w:rsidR="00D51054" w:rsidRPr="005D7A60" w:rsidRDefault="00D51054" w:rsidP="00D51054">
            <w:pPr>
              <w:rPr>
                <w:rStyle w:val="Strong"/>
                <w:rFonts w:ascii="Times New Roman" w:hAnsi="Times New Roman"/>
                <w:b w:val="0"/>
                <w:bCs w:val="0"/>
                <w:sz w:val="18"/>
                <w:szCs w:val="18"/>
              </w:rPr>
            </w:pPr>
            <w:r w:rsidRPr="005D7A60">
              <w:rPr>
                <w:rFonts w:ascii="Times New Roman" w:hAnsi="Times New Roman"/>
                <w:b/>
                <w:bCs/>
                <w:sz w:val="18"/>
                <w:szCs w:val="18"/>
              </w:rPr>
              <w:t>Dataset</w:t>
            </w:r>
          </w:p>
        </w:tc>
        <w:tc>
          <w:tcPr>
            <w:tcW w:w="520" w:type="pct"/>
            <w:vAlign w:val="center"/>
          </w:tcPr>
          <w:p w14:paraId="607F68CD" w14:textId="07F85F12" w:rsidR="00D51054" w:rsidRPr="005D7A60" w:rsidRDefault="00D51054" w:rsidP="00D51054">
            <w:pPr>
              <w:rPr>
                <w:rFonts w:ascii="Times New Roman" w:hAnsi="Times New Roman"/>
                <w:sz w:val="18"/>
                <w:szCs w:val="18"/>
              </w:rPr>
            </w:pPr>
            <w:r w:rsidRPr="005D7A60">
              <w:rPr>
                <w:rFonts w:ascii="Times New Roman" w:hAnsi="Times New Roman"/>
                <w:b/>
                <w:bCs/>
                <w:sz w:val="18"/>
                <w:szCs w:val="18"/>
              </w:rPr>
              <w:t>Country / Origin</w:t>
            </w:r>
          </w:p>
        </w:tc>
        <w:tc>
          <w:tcPr>
            <w:tcW w:w="2587" w:type="pct"/>
            <w:vAlign w:val="center"/>
          </w:tcPr>
          <w:p w14:paraId="12E465B4" w14:textId="5E63F5C0" w:rsidR="00D51054" w:rsidRPr="005D7A60" w:rsidRDefault="00D51054" w:rsidP="00D51054">
            <w:pPr>
              <w:rPr>
                <w:rFonts w:ascii="Times New Roman" w:hAnsi="Times New Roman"/>
                <w:sz w:val="18"/>
                <w:szCs w:val="18"/>
              </w:rPr>
            </w:pPr>
            <w:r w:rsidRPr="005D7A60">
              <w:rPr>
                <w:rFonts w:ascii="Times New Roman" w:hAnsi="Times New Roman"/>
                <w:b/>
                <w:bCs/>
                <w:sz w:val="18"/>
                <w:szCs w:val="18"/>
              </w:rPr>
              <w:t>Input Variables (Columns)</w:t>
            </w:r>
          </w:p>
        </w:tc>
        <w:tc>
          <w:tcPr>
            <w:tcW w:w="1170" w:type="pct"/>
            <w:vAlign w:val="center"/>
          </w:tcPr>
          <w:p w14:paraId="5F1E6D13" w14:textId="3BD7BA24" w:rsidR="00D51054" w:rsidRPr="005D7A60" w:rsidRDefault="00D51054" w:rsidP="00D51054">
            <w:pPr>
              <w:rPr>
                <w:rFonts w:ascii="Times New Roman" w:hAnsi="Times New Roman"/>
                <w:sz w:val="18"/>
                <w:szCs w:val="18"/>
              </w:rPr>
            </w:pPr>
            <w:r w:rsidRPr="005D7A60">
              <w:rPr>
                <w:rFonts w:ascii="Times New Roman" w:hAnsi="Times New Roman"/>
                <w:b/>
                <w:bCs/>
                <w:sz w:val="18"/>
                <w:szCs w:val="18"/>
              </w:rPr>
              <w:t>Output Variable</w:t>
            </w:r>
          </w:p>
        </w:tc>
      </w:tr>
      <w:tr w:rsidR="00D51054" w:rsidRPr="005D7A60" w14:paraId="6C46E754" w14:textId="77777777" w:rsidTr="00DC65CC">
        <w:trPr>
          <w:trHeight w:val="470"/>
        </w:trPr>
        <w:tc>
          <w:tcPr>
            <w:tcW w:w="723" w:type="pct"/>
          </w:tcPr>
          <w:p w14:paraId="5B302C6C" w14:textId="6EB7FDEE" w:rsidR="00D51054" w:rsidRPr="005D7A60" w:rsidRDefault="00D51054" w:rsidP="00D51054">
            <w:pPr>
              <w:rPr>
                <w:rStyle w:val="Strong"/>
                <w:rFonts w:ascii="Times New Roman" w:hAnsi="Times New Roman"/>
                <w:b w:val="0"/>
                <w:bCs w:val="0"/>
                <w:sz w:val="18"/>
                <w:szCs w:val="18"/>
              </w:rPr>
            </w:pPr>
            <w:r w:rsidRPr="005D7A60">
              <w:rPr>
                <w:rStyle w:val="Strong"/>
                <w:rFonts w:ascii="Times New Roman" w:hAnsi="Times New Roman"/>
                <w:b w:val="0"/>
                <w:bCs w:val="0"/>
                <w:sz w:val="18"/>
                <w:szCs w:val="18"/>
              </w:rPr>
              <w:t>German Credit Data</w:t>
            </w:r>
          </w:p>
        </w:tc>
        <w:tc>
          <w:tcPr>
            <w:tcW w:w="520" w:type="pct"/>
          </w:tcPr>
          <w:p w14:paraId="62250ED0" w14:textId="2B252B26" w:rsidR="00D51054" w:rsidRPr="005D7A60" w:rsidRDefault="00D51054" w:rsidP="00D51054">
            <w:pPr>
              <w:rPr>
                <w:rFonts w:ascii="Times New Roman" w:hAnsi="Times New Roman"/>
                <w:sz w:val="18"/>
                <w:szCs w:val="18"/>
              </w:rPr>
            </w:pPr>
            <w:r w:rsidRPr="005D7A60">
              <w:rPr>
                <w:rFonts w:ascii="Times New Roman" w:hAnsi="Times New Roman"/>
                <w:sz w:val="18"/>
                <w:szCs w:val="18"/>
              </w:rPr>
              <w:t>Germany</w:t>
            </w:r>
          </w:p>
        </w:tc>
        <w:tc>
          <w:tcPr>
            <w:tcW w:w="2587" w:type="pct"/>
          </w:tcPr>
          <w:p w14:paraId="42B62AC3" w14:textId="4BF52BB1" w:rsidR="00D51054" w:rsidRPr="005D7A60" w:rsidRDefault="00D51054" w:rsidP="00D51054">
            <w:pPr>
              <w:rPr>
                <w:rFonts w:ascii="Times New Roman" w:hAnsi="Times New Roman"/>
                <w:sz w:val="18"/>
                <w:szCs w:val="18"/>
              </w:rPr>
            </w:pPr>
            <w:r w:rsidRPr="005D7A60">
              <w:rPr>
                <w:rFonts w:ascii="Times New Roman" w:hAnsi="Times New Roman"/>
                <w:sz w:val="18"/>
                <w:szCs w:val="18"/>
              </w:rPr>
              <w:t xml:space="preserve">20 inputs: Checking account status, Duration in months, Credit history, Purpose, Credit amount, Savings account/bonds, Employment since, Installment rate (% income), Personal status/sex, </w:t>
            </w:r>
            <w:proofErr w:type="gramStart"/>
            <w:r w:rsidRPr="005D7A60">
              <w:rPr>
                <w:rFonts w:ascii="Times New Roman" w:hAnsi="Times New Roman"/>
                <w:sz w:val="18"/>
                <w:szCs w:val="18"/>
              </w:rPr>
              <w:t>Other</w:t>
            </w:r>
            <w:proofErr w:type="gramEnd"/>
            <w:r w:rsidRPr="005D7A60">
              <w:rPr>
                <w:rFonts w:ascii="Times New Roman" w:hAnsi="Times New Roman"/>
                <w:sz w:val="18"/>
                <w:szCs w:val="18"/>
              </w:rPr>
              <w:t xml:space="preserve"> debtors/guarantors, Residence duration, Property, Age, Other installment plans, Housing, Existing credits, Job, Dependents, Telephone, Foreign worker</w:t>
            </w:r>
          </w:p>
        </w:tc>
        <w:tc>
          <w:tcPr>
            <w:tcW w:w="1170" w:type="pct"/>
          </w:tcPr>
          <w:p w14:paraId="61935594" w14:textId="179A0BCE" w:rsidR="00D51054" w:rsidRPr="005D7A60" w:rsidRDefault="00D51054" w:rsidP="00D51054">
            <w:pPr>
              <w:rPr>
                <w:rFonts w:ascii="Times New Roman" w:hAnsi="Times New Roman"/>
                <w:sz w:val="18"/>
                <w:szCs w:val="18"/>
              </w:rPr>
            </w:pPr>
            <w:r w:rsidRPr="005D7A60">
              <w:rPr>
                <w:rFonts w:ascii="Times New Roman" w:hAnsi="Times New Roman"/>
                <w:sz w:val="18"/>
                <w:szCs w:val="18"/>
              </w:rPr>
              <w:t>Credit risk classification (good / bad)</w:t>
            </w:r>
          </w:p>
        </w:tc>
      </w:tr>
      <w:tr w:rsidR="00D51054" w:rsidRPr="005D7A60" w14:paraId="49B50C43" w14:textId="77777777" w:rsidTr="00DC65CC">
        <w:trPr>
          <w:trHeight w:val="470"/>
        </w:trPr>
        <w:tc>
          <w:tcPr>
            <w:tcW w:w="723" w:type="pct"/>
          </w:tcPr>
          <w:p w14:paraId="44F8490E" w14:textId="74AFD2D3" w:rsidR="00D51054" w:rsidRPr="005D7A60" w:rsidRDefault="00D51054" w:rsidP="00D51054">
            <w:pPr>
              <w:rPr>
                <w:rStyle w:val="Strong"/>
                <w:rFonts w:ascii="Times New Roman" w:hAnsi="Times New Roman"/>
                <w:b w:val="0"/>
                <w:bCs w:val="0"/>
                <w:sz w:val="18"/>
                <w:szCs w:val="18"/>
              </w:rPr>
            </w:pPr>
            <w:r w:rsidRPr="005D7A60">
              <w:rPr>
                <w:rStyle w:val="Strong"/>
                <w:rFonts w:ascii="Times New Roman" w:hAnsi="Times New Roman"/>
                <w:b w:val="0"/>
                <w:bCs w:val="0"/>
                <w:sz w:val="18"/>
                <w:szCs w:val="18"/>
              </w:rPr>
              <w:t>Australian Credit Approval</w:t>
            </w:r>
          </w:p>
        </w:tc>
        <w:tc>
          <w:tcPr>
            <w:tcW w:w="520" w:type="pct"/>
          </w:tcPr>
          <w:p w14:paraId="04177E39" w14:textId="6B735BA9" w:rsidR="00D51054" w:rsidRPr="005D7A60" w:rsidRDefault="00D51054" w:rsidP="00D51054">
            <w:pPr>
              <w:rPr>
                <w:rFonts w:ascii="Times New Roman" w:hAnsi="Times New Roman"/>
                <w:sz w:val="18"/>
                <w:szCs w:val="18"/>
              </w:rPr>
            </w:pPr>
            <w:r w:rsidRPr="005D7A60">
              <w:rPr>
                <w:rFonts w:ascii="Times New Roman" w:hAnsi="Times New Roman"/>
                <w:sz w:val="18"/>
                <w:szCs w:val="18"/>
              </w:rPr>
              <w:t>Australia</w:t>
            </w:r>
          </w:p>
        </w:tc>
        <w:tc>
          <w:tcPr>
            <w:tcW w:w="2587" w:type="pct"/>
          </w:tcPr>
          <w:p w14:paraId="145205E9" w14:textId="43904992" w:rsidR="00D51054" w:rsidRPr="005D7A60" w:rsidRDefault="00D51054" w:rsidP="00D51054">
            <w:pPr>
              <w:rPr>
                <w:rFonts w:ascii="Times New Roman" w:hAnsi="Times New Roman"/>
                <w:sz w:val="18"/>
                <w:szCs w:val="18"/>
              </w:rPr>
            </w:pPr>
            <w:r w:rsidRPr="005D7A60">
              <w:rPr>
                <w:rFonts w:ascii="Times New Roman" w:hAnsi="Times New Roman"/>
                <w:sz w:val="18"/>
                <w:szCs w:val="18"/>
              </w:rPr>
              <w:t xml:space="preserve">14 anonymised attributes (A1–A14); a mix of categorical and numeric variables. Exact feature semantics were withheld in the </w:t>
            </w:r>
            <w:proofErr w:type="spellStart"/>
            <w:r w:rsidRPr="005D7A60">
              <w:rPr>
                <w:rFonts w:ascii="Times New Roman" w:hAnsi="Times New Roman"/>
                <w:sz w:val="18"/>
                <w:szCs w:val="18"/>
              </w:rPr>
              <w:t>Statlog</w:t>
            </w:r>
            <w:proofErr w:type="spellEnd"/>
            <w:r w:rsidRPr="005D7A60">
              <w:rPr>
                <w:rFonts w:ascii="Times New Roman" w:hAnsi="Times New Roman"/>
                <w:sz w:val="18"/>
                <w:szCs w:val="18"/>
              </w:rPr>
              <w:t xml:space="preserve"> release.</w:t>
            </w:r>
          </w:p>
        </w:tc>
        <w:tc>
          <w:tcPr>
            <w:tcW w:w="1170" w:type="pct"/>
          </w:tcPr>
          <w:p w14:paraId="29B96DC6" w14:textId="11634487" w:rsidR="00D51054" w:rsidRPr="005D7A60" w:rsidRDefault="00D51054" w:rsidP="00D51054">
            <w:pPr>
              <w:rPr>
                <w:rFonts w:ascii="Times New Roman" w:hAnsi="Times New Roman"/>
                <w:sz w:val="18"/>
                <w:szCs w:val="18"/>
              </w:rPr>
            </w:pPr>
            <w:r w:rsidRPr="005D7A60">
              <w:rPr>
                <w:rFonts w:ascii="Times New Roman" w:hAnsi="Times New Roman"/>
                <w:sz w:val="18"/>
                <w:szCs w:val="18"/>
              </w:rPr>
              <w:t>Credit approval decision (approved / rejected)</w:t>
            </w:r>
          </w:p>
        </w:tc>
      </w:tr>
      <w:tr w:rsidR="00D51054" w:rsidRPr="005D7A60" w14:paraId="634459A4" w14:textId="77777777" w:rsidTr="00DC65CC">
        <w:trPr>
          <w:trHeight w:val="470"/>
        </w:trPr>
        <w:tc>
          <w:tcPr>
            <w:tcW w:w="723" w:type="pct"/>
          </w:tcPr>
          <w:p w14:paraId="30DD8F7E" w14:textId="026A0D53" w:rsidR="00D51054" w:rsidRPr="005D7A60" w:rsidRDefault="00D51054" w:rsidP="00D51054">
            <w:pPr>
              <w:rPr>
                <w:rStyle w:val="Strong"/>
                <w:rFonts w:ascii="Times New Roman" w:hAnsi="Times New Roman"/>
                <w:b w:val="0"/>
                <w:bCs w:val="0"/>
                <w:sz w:val="18"/>
                <w:szCs w:val="18"/>
              </w:rPr>
            </w:pPr>
            <w:r w:rsidRPr="005D7A60">
              <w:rPr>
                <w:rStyle w:val="Strong"/>
                <w:rFonts w:ascii="Times New Roman" w:hAnsi="Times New Roman"/>
                <w:b w:val="0"/>
                <w:bCs w:val="0"/>
                <w:sz w:val="18"/>
                <w:szCs w:val="18"/>
              </w:rPr>
              <w:t xml:space="preserve">AMEX Default Prediction </w:t>
            </w:r>
          </w:p>
        </w:tc>
        <w:tc>
          <w:tcPr>
            <w:tcW w:w="520" w:type="pct"/>
          </w:tcPr>
          <w:p w14:paraId="3ED6B369" w14:textId="05D776C2" w:rsidR="00D51054" w:rsidRPr="005D7A60" w:rsidRDefault="00D51054" w:rsidP="00D51054">
            <w:pPr>
              <w:rPr>
                <w:rFonts w:ascii="Times New Roman" w:hAnsi="Times New Roman"/>
                <w:sz w:val="18"/>
                <w:szCs w:val="18"/>
              </w:rPr>
            </w:pPr>
            <w:r w:rsidRPr="005D7A60">
              <w:rPr>
                <w:rFonts w:ascii="Times New Roman" w:hAnsi="Times New Roman"/>
                <w:sz w:val="18"/>
                <w:szCs w:val="18"/>
              </w:rPr>
              <w:t>USA</w:t>
            </w:r>
          </w:p>
        </w:tc>
        <w:tc>
          <w:tcPr>
            <w:tcW w:w="2587" w:type="pct"/>
          </w:tcPr>
          <w:p w14:paraId="4DAD866E" w14:textId="35F3AF91" w:rsidR="00D51054" w:rsidRPr="005D7A60" w:rsidRDefault="00D51054" w:rsidP="00D51054">
            <w:pPr>
              <w:rPr>
                <w:rFonts w:ascii="Times New Roman" w:hAnsi="Times New Roman"/>
                <w:sz w:val="18"/>
                <w:szCs w:val="18"/>
              </w:rPr>
            </w:pPr>
            <w:r w:rsidRPr="005D7A60">
              <w:rPr>
                <w:rFonts w:ascii="Times New Roman" w:hAnsi="Times New Roman"/>
                <w:sz w:val="18"/>
                <w:szCs w:val="18"/>
              </w:rPr>
              <w:t>~190 anonymised features grouped into categories: D_* (delinquency), S_* (spend), P_* (payment), B_* (balance), R_* (risk). Features are temporal (monthly profiles), many continuous with missing values.</w:t>
            </w:r>
          </w:p>
        </w:tc>
        <w:tc>
          <w:tcPr>
            <w:tcW w:w="1170" w:type="pct"/>
          </w:tcPr>
          <w:p w14:paraId="150B0826" w14:textId="60A32544" w:rsidR="00D51054" w:rsidRPr="005D7A60" w:rsidRDefault="00D51054" w:rsidP="00D51054">
            <w:pPr>
              <w:rPr>
                <w:rFonts w:ascii="Times New Roman" w:hAnsi="Times New Roman"/>
                <w:sz w:val="18"/>
                <w:szCs w:val="18"/>
              </w:rPr>
            </w:pPr>
            <w:r w:rsidRPr="005D7A60">
              <w:rPr>
                <w:rFonts w:ascii="Times New Roman" w:hAnsi="Times New Roman"/>
                <w:sz w:val="18"/>
                <w:szCs w:val="18"/>
              </w:rPr>
              <w:t>Binary default indicator (1 = default, 0 = non-default)</w:t>
            </w:r>
          </w:p>
        </w:tc>
      </w:tr>
      <w:tr w:rsidR="00D51054" w:rsidRPr="005D7A60" w14:paraId="2469EB7B" w14:textId="77777777" w:rsidTr="00DC65CC">
        <w:trPr>
          <w:trHeight w:val="470"/>
        </w:trPr>
        <w:tc>
          <w:tcPr>
            <w:tcW w:w="723" w:type="pct"/>
          </w:tcPr>
          <w:p w14:paraId="65318039" w14:textId="3EB0353D" w:rsidR="00D51054" w:rsidRPr="005D7A60" w:rsidRDefault="00D51054" w:rsidP="00D51054">
            <w:pPr>
              <w:rPr>
                <w:rStyle w:val="Strong"/>
                <w:rFonts w:ascii="Times New Roman" w:hAnsi="Times New Roman"/>
                <w:b w:val="0"/>
                <w:bCs w:val="0"/>
                <w:sz w:val="18"/>
                <w:szCs w:val="18"/>
              </w:rPr>
            </w:pPr>
            <w:r w:rsidRPr="005D7A60">
              <w:rPr>
                <w:rStyle w:val="Strong"/>
                <w:rFonts w:ascii="Times New Roman" w:hAnsi="Times New Roman"/>
                <w:b w:val="0"/>
                <w:bCs w:val="0"/>
                <w:sz w:val="18"/>
                <w:szCs w:val="18"/>
              </w:rPr>
              <w:t xml:space="preserve">Default of Credit Card Clients </w:t>
            </w:r>
          </w:p>
        </w:tc>
        <w:tc>
          <w:tcPr>
            <w:tcW w:w="520" w:type="pct"/>
          </w:tcPr>
          <w:p w14:paraId="3710EDD7" w14:textId="4D569ECB" w:rsidR="00D51054" w:rsidRPr="005D7A60" w:rsidRDefault="00D51054" w:rsidP="00D51054">
            <w:pPr>
              <w:rPr>
                <w:rFonts w:ascii="Times New Roman" w:hAnsi="Times New Roman"/>
                <w:sz w:val="18"/>
                <w:szCs w:val="18"/>
              </w:rPr>
            </w:pPr>
            <w:r w:rsidRPr="005D7A60">
              <w:rPr>
                <w:rFonts w:ascii="Times New Roman" w:hAnsi="Times New Roman"/>
                <w:sz w:val="18"/>
                <w:szCs w:val="18"/>
              </w:rPr>
              <w:t>Taiwan</w:t>
            </w:r>
          </w:p>
        </w:tc>
        <w:tc>
          <w:tcPr>
            <w:tcW w:w="2587" w:type="pct"/>
          </w:tcPr>
          <w:p w14:paraId="1F81107F" w14:textId="0F16BB2C" w:rsidR="00D51054" w:rsidRPr="005D7A60" w:rsidRDefault="00D51054" w:rsidP="00D51054">
            <w:pPr>
              <w:rPr>
                <w:rFonts w:ascii="Times New Roman" w:hAnsi="Times New Roman"/>
                <w:sz w:val="18"/>
                <w:szCs w:val="18"/>
              </w:rPr>
            </w:pPr>
            <w:r w:rsidRPr="005D7A60">
              <w:rPr>
                <w:rFonts w:ascii="Times New Roman" w:hAnsi="Times New Roman"/>
                <w:sz w:val="18"/>
                <w:szCs w:val="18"/>
              </w:rPr>
              <w:t xml:space="preserve">23 inputs: LIMIT_BAL, SEX, EDUCATION, MARRIAGE, AGE, PAY_0–PAY_6 (repayment status for past 6 months), BILL_AMT1–BILL_AMT6 (bill amounts), PAY_AMT1–PAY_AMT6 (payment amounts). </w:t>
            </w:r>
            <w:proofErr w:type="gramStart"/>
            <w:r w:rsidRPr="005D7A60">
              <w:rPr>
                <w:rFonts w:ascii="Times New Roman" w:hAnsi="Times New Roman"/>
                <w:sz w:val="18"/>
                <w:szCs w:val="18"/>
              </w:rPr>
              <w:t>Plus</w:t>
            </w:r>
            <w:proofErr w:type="gramEnd"/>
            <w:r w:rsidRPr="005D7A60">
              <w:rPr>
                <w:rFonts w:ascii="Times New Roman" w:hAnsi="Times New Roman"/>
                <w:sz w:val="18"/>
                <w:szCs w:val="18"/>
              </w:rPr>
              <w:t xml:space="preserve"> an ID column.</w:t>
            </w:r>
          </w:p>
        </w:tc>
        <w:tc>
          <w:tcPr>
            <w:tcW w:w="1170" w:type="pct"/>
          </w:tcPr>
          <w:p w14:paraId="3562A53D" w14:textId="76175043" w:rsidR="00D51054" w:rsidRPr="005D7A60" w:rsidRDefault="00D51054" w:rsidP="00D51054">
            <w:pPr>
              <w:rPr>
                <w:rFonts w:ascii="Times New Roman" w:hAnsi="Times New Roman"/>
                <w:sz w:val="18"/>
                <w:szCs w:val="18"/>
              </w:rPr>
            </w:pPr>
            <w:proofErr w:type="spellStart"/>
            <w:proofErr w:type="gramStart"/>
            <w:r w:rsidRPr="005D7A60">
              <w:rPr>
                <w:rStyle w:val="HTMLCode"/>
                <w:rFonts w:ascii="Times New Roman" w:hAnsi="Times New Roman" w:cs="Times New Roman"/>
                <w:sz w:val="18"/>
                <w:szCs w:val="18"/>
              </w:rPr>
              <w:t>default.payment</w:t>
            </w:r>
            <w:proofErr w:type="gramEnd"/>
            <w:r w:rsidRPr="005D7A60">
              <w:rPr>
                <w:rStyle w:val="HTMLCode"/>
                <w:rFonts w:ascii="Times New Roman" w:hAnsi="Times New Roman" w:cs="Times New Roman"/>
                <w:sz w:val="18"/>
                <w:szCs w:val="18"/>
              </w:rPr>
              <w:t>.</w:t>
            </w:r>
            <w:proofErr w:type="gramStart"/>
            <w:r w:rsidRPr="005D7A60">
              <w:rPr>
                <w:rStyle w:val="HTMLCode"/>
                <w:rFonts w:ascii="Times New Roman" w:hAnsi="Times New Roman" w:cs="Times New Roman"/>
                <w:sz w:val="18"/>
                <w:szCs w:val="18"/>
              </w:rPr>
              <w:t>next.month</w:t>
            </w:r>
            <w:proofErr w:type="spellEnd"/>
            <w:proofErr w:type="gramEnd"/>
            <w:r w:rsidRPr="005D7A60">
              <w:rPr>
                <w:rFonts w:ascii="Times New Roman" w:hAnsi="Times New Roman"/>
                <w:sz w:val="18"/>
                <w:szCs w:val="18"/>
              </w:rPr>
              <w:t xml:space="preserve"> (1 = default, 0 = no default)</w:t>
            </w:r>
          </w:p>
        </w:tc>
      </w:tr>
      <w:tr w:rsidR="00D51054" w:rsidRPr="005D7A60" w14:paraId="4B657D55" w14:textId="77777777" w:rsidTr="00DC65CC">
        <w:trPr>
          <w:trHeight w:val="470"/>
        </w:trPr>
        <w:tc>
          <w:tcPr>
            <w:tcW w:w="723" w:type="pct"/>
          </w:tcPr>
          <w:p w14:paraId="062BEF68" w14:textId="3D03D648" w:rsidR="00D51054" w:rsidRPr="005D7A60" w:rsidRDefault="0084611C" w:rsidP="00D51054">
            <w:pPr>
              <w:rPr>
                <w:rStyle w:val="Strong"/>
                <w:rFonts w:ascii="Times New Roman" w:hAnsi="Times New Roman"/>
                <w:b w:val="0"/>
                <w:bCs w:val="0"/>
                <w:sz w:val="18"/>
                <w:szCs w:val="18"/>
              </w:rPr>
            </w:pPr>
            <w:r w:rsidRPr="005D7A60">
              <w:rPr>
                <w:rStyle w:val="Strong"/>
                <w:rFonts w:ascii="Times New Roman" w:hAnsi="Times New Roman"/>
                <w:b w:val="0"/>
                <w:bCs w:val="0"/>
                <w:sz w:val="18"/>
                <w:szCs w:val="18"/>
                <w:lang w:val="en-IN"/>
              </w:rPr>
              <w:t>Credit borrowers’ data</w:t>
            </w:r>
          </w:p>
        </w:tc>
        <w:tc>
          <w:tcPr>
            <w:tcW w:w="520" w:type="pct"/>
          </w:tcPr>
          <w:p w14:paraId="5E8C17FC" w14:textId="7A4EEFC7" w:rsidR="00D51054" w:rsidRPr="005D7A60" w:rsidRDefault="00D51054" w:rsidP="00D51054">
            <w:pPr>
              <w:rPr>
                <w:rFonts w:ascii="Times New Roman" w:hAnsi="Times New Roman"/>
                <w:sz w:val="18"/>
                <w:szCs w:val="18"/>
              </w:rPr>
            </w:pPr>
            <w:r w:rsidRPr="005D7A60">
              <w:rPr>
                <w:rFonts w:ascii="Times New Roman" w:hAnsi="Times New Roman"/>
                <w:sz w:val="18"/>
                <w:szCs w:val="18"/>
              </w:rPr>
              <w:t>USA</w:t>
            </w:r>
          </w:p>
        </w:tc>
        <w:tc>
          <w:tcPr>
            <w:tcW w:w="2587" w:type="pct"/>
          </w:tcPr>
          <w:p w14:paraId="3F810905" w14:textId="41519ADB" w:rsidR="00D51054" w:rsidRPr="005D7A60" w:rsidRDefault="00D51054" w:rsidP="00D51054">
            <w:pPr>
              <w:rPr>
                <w:rFonts w:ascii="Times New Roman" w:hAnsi="Times New Roman"/>
                <w:sz w:val="18"/>
                <w:szCs w:val="18"/>
              </w:rPr>
            </w:pPr>
            <w:r w:rsidRPr="005D7A60">
              <w:rPr>
                <w:rFonts w:ascii="Times New Roman" w:hAnsi="Times New Roman"/>
                <w:sz w:val="18"/>
                <w:szCs w:val="18"/>
              </w:rPr>
              <w:t xml:space="preserve">10 inputs: </w:t>
            </w:r>
            <w:proofErr w:type="spellStart"/>
            <w:r w:rsidRPr="005D7A60">
              <w:rPr>
                <w:rFonts w:ascii="Times New Roman" w:hAnsi="Times New Roman"/>
                <w:sz w:val="18"/>
                <w:szCs w:val="18"/>
              </w:rPr>
              <w:t>RevolvingUtilizationOfUnsecuredLines</w:t>
            </w:r>
            <w:proofErr w:type="spellEnd"/>
            <w:r w:rsidRPr="005D7A60">
              <w:rPr>
                <w:rFonts w:ascii="Times New Roman" w:hAnsi="Times New Roman"/>
                <w:sz w:val="18"/>
                <w:szCs w:val="18"/>
              </w:rPr>
              <w:t xml:space="preserve">, age, NumberOfTime30-59DaysPastDueNotWorse, </w:t>
            </w:r>
            <w:proofErr w:type="spellStart"/>
            <w:r w:rsidRPr="005D7A60">
              <w:rPr>
                <w:rFonts w:ascii="Times New Roman" w:hAnsi="Times New Roman"/>
                <w:sz w:val="18"/>
                <w:szCs w:val="18"/>
              </w:rPr>
              <w:t>DebtRatio</w:t>
            </w:r>
            <w:proofErr w:type="spellEnd"/>
            <w:r w:rsidRPr="005D7A60">
              <w:rPr>
                <w:rFonts w:ascii="Times New Roman" w:hAnsi="Times New Roman"/>
                <w:sz w:val="18"/>
                <w:szCs w:val="18"/>
              </w:rPr>
              <w:t xml:space="preserve">, </w:t>
            </w:r>
            <w:proofErr w:type="spellStart"/>
            <w:r w:rsidRPr="005D7A60">
              <w:rPr>
                <w:rFonts w:ascii="Times New Roman" w:hAnsi="Times New Roman"/>
                <w:sz w:val="18"/>
                <w:szCs w:val="18"/>
              </w:rPr>
              <w:t>MonthlyIncome</w:t>
            </w:r>
            <w:proofErr w:type="spellEnd"/>
            <w:r w:rsidRPr="005D7A60">
              <w:rPr>
                <w:rFonts w:ascii="Times New Roman" w:hAnsi="Times New Roman"/>
                <w:sz w:val="18"/>
                <w:szCs w:val="18"/>
              </w:rPr>
              <w:t xml:space="preserve">, </w:t>
            </w:r>
            <w:proofErr w:type="spellStart"/>
            <w:r w:rsidRPr="005D7A60">
              <w:rPr>
                <w:rFonts w:ascii="Times New Roman" w:hAnsi="Times New Roman"/>
                <w:sz w:val="18"/>
                <w:szCs w:val="18"/>
              </w:rPr>
              <w:t>NumberOfOpenCreditLinesAndLoans</w:t>
            </w:r>
            <w:proofErr w:type="spellEnd"/>
            <w:r w:rsidRPr="005D7A60">
              <w:rPr>
                <w:rFonts w:ascii="Times New Roman" w:hAnsi="Times New Roman"/>
                <w:sz w:val="18"/>
                <w:szCs w:val="18"/>
              </w:rPr>
              <w:t xml:space="preserve">, NumberOfTimes90DaysLate, </w:t>
            </w:r>
            <w:proofErr w:type="spellStart"/>
            <w:r w:rsidRPr="005D7A60">
              <w:rPr>
                <w:rFonts w:ascii="Times New Roman" w:hAnsi="Times New Roman"/>
                <w:sz w:val="18"/>
                <w:szCs w:val="18"/>
              </w:rPr>
              <w:t>NumberRealEstateLoansOrLines</w:t>
            </w:r>
            <w:proofErr w:type="spellEnd"/>
            <w:r w:rsidRPr="005D7A60">
              <w:rPr>
                <w:rFonts w:ascii="Times New Roman" w:hAnsi="Times New Roman"/>
                <w:sz w:val="18"/>
                <w:szCs w:val="18"/>
              </w:rPr>
              <w:t xml:space="preserve">, NumberOfTime60-89DaysPastDueNotWorse, </w:t>
            </w:r>
            <w:proofErr w:type="spellStart"/>
            <w:r w:rsidRPr="005D7A60">
              <w:rPr>
                <w:rFonts w:ascii="Times New Roman" w:hAnsi="Times New Roman"/>
                <w:sz w:val="18"/>
                <w:szCs w:val="18"/>
              </w:rPr>
              <w:t>NumberOfDependents</w:t>
            </w:r>
            <w:proofErr w:type="spellEnd"/>
          </w:p>
        </w:tc>
        <w:tc>
          <w:tcPr>
            <w:tcW w:w="1170" w:type="pct"/>
          </w:tcPr>
          <w:p w14:paraId="5443E2ED" w14:textId="72AE9D3F" w:rsidR="00D51054" w:rsidRPr="005D7A60" w:rsidRDefault="00D51054" w:rsidP="00D51054">
            <w:pPr>
              <w:rPr>
                <w:rFonts w:ascii="Times New Roman" w:hAnsi="Times New Roman"/>
                <w:sz w:val="18"/>
                <w:szCs w:val="18"/>
              </w:rPr>
            </w:pPr>
            <w:r w:rsidRPr="005D7A60">
              <w:rPr>
                <w:rFonts w:ascii="Times New Roman" w:hAnsi="Times New Roman"/>
                <w:sz w:val="18"/>
                <w:szCs w:val="18"/>
              </w:rPr>
              <w:t>Serious delinquency within 2 years (</w:t>
            </w:r>
            <w:r w:rsidRPr="005D7A60">
              <w:rPr>
                <w:rStyle w:val="HTMLCode"/>
                <w:rFonts w:ascii="Times New Roman" w:hAnsi="Times New Roman" w:cs="Times New Roman"/>
                <w:sz w:val="18"/>
                <w:szCs w:val="18"/>
              </w:rPr>
              <w:t>SeriousDlqin2yrs</w:t>
            </w:r>
            <w:r w:rsidRPr="005D7A60">
              <w:rPr>
                <w:rFonts w:ascii="Times New Roman" w:hAnsi="Times New Roman"/>
                <w:sz w:val="18"/>
                <w:szCs w:val="18"/>
              </w:rPr>
              <w:t>)</w:t>
            </w:r>
          </w:p>
        </w:tc>
      </w:tr>
      <w:tr w:rsidR="00D51054" w:rsidRPr="005D7A60" w14:paraId="6129CE43" w14:textId="77777777" w:rsidTr="00DC65CC">
        <w:trPr>
          <w:trHeight w:val="470"/>
        </w:trPr>
        <w:tc>
          <w:tcPr>
            <w:tcW w:w="723" w:type="pct"/>
          </w:tcPr>
          <w:p w14:paraId="00430F76" w14:textId="553AEA37" w:rsidR="00D51054" w:rsidRPr="005D7A60" w:rsidRDefault="00D51054" w:rsidP="00D51054">
            <w:pPr>
              <w:rPr>
                <w:rStyle w:val="Strong"/>
                <w:rFonts w:ascii="Times New Roman" w:hAnsi="Times New Roman"/>
                <w:b w:val="0"/>
                <w:bCs w:val="0"/>
                <w:sz w:val="18"/>
                <w:szCs w:val="18"/>
              </w:rPr>
            </w:pPr>
            <w:r w:rsidRPr="005D7A60">
              <w:rPr>
                <w:rStyle w:val="Strong"/>
                <w:rFonts w:ascii="Times New Roman" w:hAnsi="Times New Roman"/>
                <w:b w:val="0"/>
                <w:bCs w:val="0"/>
                <w:sz w:val="18"/>
                <w:szCs w:val="18"/>
              </w:rPr>
              <w:t xml:space="preserve">Home Credit Default Risk </w:t>
            </w:r>
          </w:p>
        </w:tc>
        <w:tc>
          <w:tcPr>
            <w:tcW w:w="520" w:type="pct"/>
          </w:tcPr>
          <w:p w14:paraId="27B4C9CE" w14:textId="5EF0C055" w:rsidR="00D51054" w:rsidRPr="005D7A60" w:rsidRDefault="00C942B9" w:rsidP="00D51054">
            <w:pPr>
              <w:rPr>
                <w:rFonts w:ascii="Times New Roman" w:hAnsi="Times New Roman"/>
                <w:sz w:val="18"/>
                <w:szCs w:val="18"/>
              </w:rPr>
            </w:pPr>
            <w:r w:rsidRPr="005D7A60">
              <w:rPr>
                <w:rFonts w:ascii="Times New Roman" w:hAnsi="Times New Roman"/>
                <w:sz w:val="18"/>
                <w:szCs w:val="18"/>
              </w:rPr>
              <w:t>Europe</w:t>
            </w:r>
          </w:p>
        </w:tc>
        <w:tc>
          <w:tcPr>
            <w:tcW w:w="2587" w:type="pct"/>
          </w:tcPr>
          <w:p w14:paraId="5DAEB68F" w14:textId="7B075E2F" w:rsidR="00D51054" w:rsidRPr="005D7A60" w:rsidRDefault="00D51054" w:rsidP="00D51054">
            <w:pPr>
              <w:rPr>
                <w:rFonts w:ascii="Times New Roman" w:hAnsi="Times New Roman"/>
                <w:sz w:val="18"/>
                <w:szCs w:val="18"/>
              </w:rPr>
            </w:pPr>
            <w:r w:rsidRPr="005D7A60">
              <w:rPr>
                <w:rFonts w:ascii="Times New Roman" w:hAnsi="Times New Roman"/>
                <w:sz w:val="18"/>
                <w:szCs w:val="18"/>
              </w:rPr>
              <w:t>~122 static application features (e.g., demographics, income, loan terms, credit history, external risk scores) plus derived features from related tables (bureau history, previous applications, balances, etc.)</w:t>
            </w:r>
          </w:p>
        </w:tc>
        <w:tc>
          <w:tcPr>
            <w:tcW w:w="1170" w:type="pct"/>
          </w:tcPr>
          <w:p w14:paraId="129E6232" w14:textId="64B52A3B" w:rsidR="00D51054" w:rsidRPr="005D7A60" w:rsidRDefault="00D51054" w:rsidP="00D51054">
            <w:pPr>
              <w:rPr>
                <w:rFonts w:ascii="Times New Roman" w:hAnsi="Times New Roman"/>
                <w:sz w:val="18"/>
                <w:szCs w:val="18"/>
              </w:rPr>
            </w:pPr>
            <w:r w:rsidRPr="005D7A60">
              <w:rPr>
                <w:rStyle w:val="HTMLCode"/>
                <w:rFonts w:ascii="Times New Roman" w:hAnsi="Times New Roman" w:cs="Times New Roman"/>
                <w:sz w:val="18"/>
                <w:szCs w:val="18"/>
              </w:rPr>
              <w:t>TARGET</w:t>
            </w:r>
            <w:r w:rsidRPr="005D7A60">
              <w:rPr>
                <w:rFonts w:ascii="Times New Roman" w:hAnsi="Times New Roman"/>
                <w:sz w:val="18"/>
                <w:szCs w:val="18"/>
              </w:rPr>
              <w:t xml:space="preserve"> — whether applicant will default or not (binary)</w:t>
            </w:r>
          </w:p>
        </w:tc>
      </w:tr>
      <w:tr w:rsidR="00A25DCC" w:rsidRPr="005D7A60" w14:paraId="57955FFA" w14:textId="77777777" w:rsidTr="00DC65CC">
        <w:trPr>
          <w:trHeight w:val="470"/>
        </w:trPr>
        <w:tc>
          <w:tcPr>
            <w:tcW w:w="723" w:type="pct"/>
          </w:tcPr>
          <w:p w14:paraId="67D5994D" w14:textId="489DA577" w:rsidR="00A25DCC" w:rsidRPr="005D7A60" w:rsidRDefault="00A25DCC" w:rsidP="00A25DCC">
            <w:pPr>
              <w:rPr>
                <w:rStyle w:val="Strong"/>
                <w:rFonts w:ascii="Times New Roman" w:hAnsi="Times New Roman"/>
                <w:b w:val="0"/>
                <w:bCs w:val="0"/>
                <w:sz w:val="18"/>
                <w:szCs w:val="18"/>
              </w:rPr>
            </w:pPr>
            <w:r w:rsidRPr="005D7A60">
              <w:rPr>
                <w:rStyle w:val="Strong"/>
                <w:rFonts w:ascii="Times New Roman" w:hAnsi="Times New Roman"/>
                <w:b w:val="0"/>
                <w:bCs w:val="0"/>
                <w:sz w:val="18"/>
                <w:szCs w:val="18"/>
              </w:rPr>
              <w:t xml:space="preserve">Default of Credit Card Clients </w:t>
            </w:r>
          </w:p>
        </w:tc>
        <w:tc>
          <w:tcPr>
            <w:tcW w:w="520" w:type="pct"/>
          </w:tcPr>
          <w:p w14:paraId="08670D92" w14:textId="2E5D0445" w:rsidR="00A25DCC" w:rsidRPr="005D7A60" w:rsidRDefault="00A25DCC" w:rsidP="00A25DCC">
            <w:pPr>
              <w:rPr>
                <w:rStyle w:val="Strong"/>
                <w:rFonts w:ascii="Times New Roman" w:hAnsi="Times New Roman"/>
                <w:b w:val="0"/>
                <w:bCs w:val="0"/>
              </w:rPr>
            </w:pPr>
            <w:r w:rsidRPr="005D7A60">
              <w:rPr>
                <w:rStyle w:val="Strong"/>
                <w:rFonts w:ascii="Times New Roman" w:hAnsi="Times New Roman"/>
                <w:b w:val="0"/>
                <w:bCs w:val="0"/>
                <w:sz w:val="18"/>
                <w:szCs w:val="18"/>
              </w:rPr>
              <w:t>Taiwan</w:t>
            </w:r>
          </w:p>
        </w:tc>
        <w:tc>
          <w:tcPr>
            <w:tcW w:w="2587" w:type="pct"/>
          </w:tcPr>
          <w:p w14:paraId="74805168" w14:textId="216D225A" w:rsidR="00A25DCC" w:rsidRPr="005D7A60" w:rsidRDefault="00A25DCC" w:rsidP="00A25DCC">
            <w:pPr>
              <w:rPr>
                <w:rStyle w:val="Strong"/>
                <w:rFonts w:ascii="Times New Roman" w:hAnsi="Times New Roman"/>
                <w:b w:val="0"/>
                <w:bCs w:val="0"/>
              </w:rPr>
            </w:pPr>
            <w:r w:rsidRPr="005D7A60">
              <w:rPr>
                <w:rStyle w:val="Strong"/>
                <w:rFonts w:ascii="Times New Roman" w:hAnsi="Times New Roman"/>
                <w:b w:val="0"/>
                <w:bCs w:val="0"/>
                <w:sz w:val="18"/>
                <w:szCs w:val="18"/>
              </w:rPr>
              <w:t>23 inputs: LIMIT_BAL; SEX; EDUCATION; MARRIAGE; AGE; PAY_0-PAY_6 (repayment status for past six months); BILL_AMT1-BILL_AMT6 (bill statement amounts); PAY_AMT1-PAY_AMT6 (</w:t>
            </w:r>
            <w:proofErr w:type="spellStart"/>
            <w:r w:rsidRPr="005D7A60">
              <w:rPr>
                <w:rStyle w:val="Strong"/>
                <w:rFonts w:ascii="Times New Roman" w:hAnsi="Times New Roman"/>
                <w:b w:val="0"/>
                <w:bCs w:val="0"/>
                <w:sz w:val="18"/>
                <w:szCs w:val="18"/>
              </w:rPr>
              <w:t>pre</w:t>
            </w:r>
            <w:r w:rsidR="00E7418B" w:rsidRPr="005D7A60">
              <w:rPr>
                <w:rStyle w:val="Strong"/>
                <w:rFonts w:ascii="Times New Roman" w:hAnsi="Times New Roman"/>
                <w:b w:val="0"/>
                <w:bCs w:val="0"/>
                <w:sz w:val="18"/>
                <w:szCs w:val="18"/>
              </w:rPr>
              <w:t>v</w:t>
            </w:r>
            <w:proofErr w:type="spellEnd"/>
            <w:r w:rsidRPr="005D7A60">
              <w:rPr>
                <w:rStyle w:val="Strong"/>
                <w:rFonts w:ascii="Times New Roman" w:hAnsi="Times New Roman"/>
                <w:b w:val="0"/>
                <w:bCs w:val="0"/>
                <w:sz w:val="18"/>
                <w:szCs w:val="18"/>
              </w:rPr>
              <w:t xml:space="preserve"> payment amounts); ID column.</w:t>
            </w:r>
          </w:p>
        </w:tc>
        <w:tc>
          <w:tcPr>
            <w:tcW w:w="1170" w:type="pct"/>
          </w:tcPr>
          <w:p w14:paraId="79C00BE6" w14:textId="71005DBD" w:rsidR="00A25DCC" w:rsidRPr="005D7A60" w:rsidRDefault="00A25DCC" w:rsidP="00A25DCC">
            <w:pPr>
              <w:rPr>
                <w:rStyle w:val="Strong"/>
                <w:rFonts w:ascii="Times New Roman" w:hAnsi="Times New Roman"/>
                <w:b w:val="0"/>
                <w:bCs w:val="0"/>
              </w:rPr>
            </w:pPr>
            <w:proofErr w:type="spellStart"/>
            <w:proofErr w:type="gramStart"/>
            <w:r w:rsidRPr="005D7A60">
              <w:rPr>
                <w:rStyle w:val="Strong"/>
                <w:rFonts w:ascii="Times New Roman" w:hAnsi="Times New Roman"/>
                <w:b w:val="0"/>
                <w:bCs w:val="0"/>
                <w:sz w:val="18"/>
                <w:szCs w:val="18"/>
              </w:rPr>
              <w:t>default.payment</w:t>
            </w:r>
            <w:proofErr w:type="gramEnd"/>
            <w:r w:rsidRPr="005D7A60">
              <w:rPr>
                <w:rStyle w:val="Strong"/>
                <w:rFonts w:ascii="Times New Roman" w:hAnsi="Times New Roman"/>
                <w:b w:val="0"/>
                <w:bCs w:val="0"/>
                <w:sz w:val="18"/>
                <w:szCs w:val="18"/>
              </w:rPr>
              <w:t>.</w:t>
            </w:r>
            <w:proofErr w:type="gramStart"/>
            <w:r w:rsidRPr="005D7A60">
              <w:rPr>
                <w:rStyle w:val="Strong"/>
                <w:rFonts w:ascii="Times New Roman" w:hAnsi="Times New Roman"/>
                <w:b w:val="0"/>
                <w:bCs w:val="0"/>
                <w:sz w:val="18"/>
                <w:szCs w:val="18"/>
              </w:rPr>
              <w:t>next.month</w:t>
            </w:r>
            <w:proofErr w:type="spellEnd"/>
            <w:proofErr w:type="gramEnd"/>
            <w:r w:rsidRPr="005D7A60">
              <w:rPr>
                <w:rStyle w:val="Strong"/>
                <w:rFonts w:ascii="Times New Roman" w:hAnsi="Times New Roman"/>
                <w:b w:val="0"/>
                <w:bCs w:val="0"/>
                <w:sz w:val="18"/>
                <w:szCs w:val="18"/>
              </w:rPr>
              <w:t xml:space="preserve"> — binary (1 = will default, 0 = will not default)</w:t>
            </w:r>
          </w:p>
        </w:tc>
      </w:tr>
      <w:tr w:rsidR="00D51054" w:rsidRPr="005D7A60" w14:paraId="568BF843" w14:textId="77777777" w:rsidTr="00DC65CC">
        <w:trPr>
          <w:trHeight w:val="470"/>
        </w:trPr>
        <w:tc>
          <w:tcPr>
            <w:tcW w:w="723" w:type="pct"/>
          </w:tcPr>
          <w:p w14:paraId="760D118E" w14:textId="5A32BFE5" w:rsidR="00D51054" w:rsidRPr="005D7A60" w:rsidRDefault="00D51054" w:rsidP="00D51054">
            <w:pPr>
              <w:rPr>
                <w:rStyle w:val="Strong"/>
                <w:rFonts w:ascii="Times New Roman" w:hAnsi="Times New Roman"/>
                <w:b w:val="0"/>
                <w:bCs w:val="0"/>
                <w:sz w:val="18"/>
                <w:szCs w:val="18"/>
              </w:rPr>
            </w:pPr>
            <w:r w:rsidRPr="005D7A60">
              <w:rPr>
                <w:rStyle w:val="Strong"/>
                <w:rFonts w:ascii="Times New Roman" w:hAnsi="Times New Roman"/>
                <w:b w:val="0"/>
                <w:bCs w:val="0"/>
                <w:sz w:val="18"/>
                <w:szCs w:val="18"/>
              </w:rPr>
              <w:t xml:space="preserve">India </w:t>
            </w:r>
            <w:proofErr w:type="spellStart"/>
            <w:r w:rsidRPr="005D7A60">
              <w:rPr>
                <w:rStyle w:val="Strong"/>
                <w:rFonts w:ascii="Times New Roman" w:hAnsi="Times New Roman"/>
                <w:b w:val="0"/>
                <w:bCs w:val="0"/>
                <w:sz w:val="18"/>
                <w:szCs w:val="18"/>
              </w:rPr>
              <w:t>Wilful</w:t>
            </w:r>
            <w:proofErr w:type="spellEnd"/>
            <w:r w:rsidRPr="005D7A60">
              <w:rPr>
                <w:rStyle w:val="Strong"/>
                <w:rFonts w:ascii="Times New Roman" w:hAnsi="Times New Roman"/>
                <w:b w:val="0"/>
                <w:bCs w:val="0"/>
                <w:sz w:val="18"/>
                <w:szCs w:val="18"/>
              </w:rPr>
              <w:t xml:space="preserve"> Loan Defaulters</w:t>
            </w:r>
          </w:p>
        </w:tc>
        <w:tc>
          <w:tcPr>
            <w:tcW w:w="520" w:type="pct"/>
          </w:tcPr>
          <w:p w14:paraId="6E6770AA" w14:textId="569AA6C4" w:rsidR="00D51054" w:rsidRPr="005D7A60" w:rsidRDefault="00D51054" w:rsidP="00D51054">
            <w:pPr>
              <w:rPr>
                <w:rFonts w:ascii="Times New Roman" w:hAnsi="Times New Roman"/>
                <w:sz w:val="18"/>
                <w:szCs w:val="18"/>
              </w:rPr>
            </w:pPr>
            <w:r w:rsidRPr="005D7A60">
              <w:rPr>
                <w:rFonts w:ascii="Times New Roman" w:hAnsi="Times New Roman"/>
                <w:sz w:val="18"/>
                <w:szCs w:val="18"/>
              </w:rPr>
              <w:t>India</w:t>
            </w:r>
          </w:p>
        </w:tc>
        <w:tc>
          <w:tcPr>
            <w:tcW w:w="2587" w:type="pct"/>
          </w:tcPr>
          <w:p w14:paraId="115A222C" w14:textId="05FCA0D2" w:rsidR="00D51054" w:rsidRPr="005D7A60" w:rsidRDefault="00D51054" w:rsidP="00D51054">
            <w:pPr>
              <w:rPr>
                <w:rFonts w:ascii="Times New Roman" w:hAnsi="Times New Roman"/>
                <w:sz w:val="18"/>
                <w:szCs w:val="18"/>
              </w:rPr>
            </w:pPr>
            <w:r w:rsidRPr="005D7A60">
              <w:rPr>
                <w:rFonts w:ascii="Times New Roman" w:hAnsi="Times New Roman"/>
                <w:sz w:val="18"/>
                <w:szCs w:val="18"/>
              </w:rPr>
              <w:t>Basic exposure info: Defaulter name, Bank name, Amount owed</w:t>
            </w:r>
          </w:p>
        </w:tc>
        <w:tc>
          <w:tcPr>
            <w:tcW w:w="1170" w:type="pct"/>
          </w:tcPr>
          <w:p w14:paraId="49DDA190" w14:textId="47B2562E" w:rsidR="00D51054" w:rsidRPr="005D7A60" w:rsidRDefault="00D51054" w:rsidP="00D51054">
            <w:pPr>
              <w:rPr>
                <w:rFonts w:ascii="Times New Roman" w:hAnsi="Times New Roman"/>
                <w:sz w:val="18"/>
                <w:szCs w:val="18"/>
              </w:rPr>
            </w:pPr>
            <w:proofErr w:type="spellStart"/>
            <w:r w:rsidRPr="005D7A60">
              <w:rPr>
                <w:rFonts w:ascii="Times New Roman" w:hAnsi="Times New Roman"/>
                <w:sz w:val="18"/>
                <w:szCs w:val="18"/>
              </w:rPr>
              <w:t>Wilful</w:t>
            </w:r>
            <w:proofErr w:type="spellEnd"/>
            <w:r w:rsidRPr="005D7A60">
              <w:rPr>
                <w:rFonts w:ascii="Times New Roman" w:hAnsi="Times New Roman"/>
                <w:sz w:val="18"/>
                <w:szCs w:val="18"/>
              </w:rPr>
              <w:t xml:space="preserve"> default status (all records are defaults)</w:t>
            </w:r>
          </w:p>
        </w:tc>
      </w:tr>
    </w:tbl>
    <w:p w14:paraId="65FABC2E" w14:textId="77777777" w:rsidR="002565EE" w:rsidRPr="005D7A60" w:rsidRDefault="002565EE" w:rsidP="006E001C">
      <w:pPr>
        <w:spacing w:line="480" w:lineRule="auto"/>
        <w:jc w:val="both"/>
        <w:rPr>
          <w:rFonts w:ascii="Times New Roman" w:hAnsi="Times New Roman"/>
          <w:b/>
          <w:bCs/>
        </w:rPr>
        <w:sectPr w:rsidR="002565EE" w:rsidRPr="005D7A60" w:rsidSect="0049420D">
          <w:endnotePr>
            <w:numFmt w:val="decimal"/>
          </w:endnotePr>
          <w:pgSz w:w="12240" w:h="15840" w:code="1"/>
          <w:pgMar w:top="1440" w:right="1440" w:bottom="1440" w:left="1440" w:header="709" w:footer="709" w:gutter="0"/>
          <w:cols w:space="708"/>
          <w:docGrid w:linePitch="326"/>
        </w:sectPr>
      </w:pPr>
    </w:p>
    <w:p w14:paraId="1CAE810E" w14:textId="28D8F6BE" w:rsidR="008723BE" w:rsidRPr="005D7A60" w:rsidRDefault="008723BE" w:rsidP="009715D7">
      <w:pPr>
        <w:pStyle w:val="Heading1"/>
      </w:pPr>
      <w:r w:rsidRPr="005D7A60">
        <w:lastRenderedPageBreak/>
        <w:t>Expected Outcomes</w:t>
      </w:r>
      <w:bookmarkEnd w:id="11"/>
    </w:p>
    <w:p w14:paraId="4C26D4DD" w14:textId="77777777" w:rsidR="00807721" w:rsidRPr="005D7A60" w:rsidRDefault="00807721" w:rsidP="00807721">
      <w:pPr>
        <w:spacing w:line="480" w:lineRule="auto"/>
        <w:ind w:firstLine="720"/>
        <w:jc w:val="both"/>
        <w:rPr>
          <w:rFonts w:ascii="Times New Roman" w:hAnsi="Times New Roman"/>
          <w:lang w:val="en-IN"/>
        </w:rPr>
      </w:pPr>
      <w:r w:rsidRPr="005D7A60">
        <w:rPr>
          <w:rFonts w:ascii="Times New Roman" w:hAnsi="Times New Roman"/>
          <w:lang w:val="en-IN"/>
        </w:rPr>
        <w:t>This research is expected to deliver an empirically validated framework that demonstrates how integrating predictive modelling outputs with Basel 3.1–compliant RWA computations can improve the timeliness and regulatory alignment of credit decision-making. By evaluating this integration in a simulated, reproducible environment, the study will provide evidence on its feasibility, benefits, and limitations in enhancing capital adequacy assessments at the point of credit origination.</w:t>
      </w:r>
    </w:p>
    <w:p w14:paraId="27A51CF0" w14:textId="77777777" w:rsidR="00767CF4" w:rsidRPr="005D7A60" w:rsidRDefault="00767CF4" w:rsidP="00807721">
      <w:pPr>
        <w:spacing w:line="480" w:lineRule="auto"/>
        <w:ind w:firstLine="720"/>
        <w:jc w:val="both"/>
        <w:rPr>
          <w:rFonts w:ascii="Times New Roman" w:hAnsi="Times New Roman"/>
        </w:rPr>
      </w:pPr>
      <w:r w:rsidRPr="005D7A60">
        <w:rPr>
          <w:rFonts w:ascii="Times New Roman" w:hAnsi="Times New Roman"/>
        </w:rPr>
        <w:t>In parallel, the study will design and empirically assess an explainability framework for AI-based credit risk models. Feature attribution, fairness checks, and counterfactual reasoning will be applied not as ancillary tools but as components to be evaluated directly against regulatory requirements for transparency and auditability, with the aim of determining whether these methods can support supervisory review in a reliable way.</w:t>
      </w:r>
    </w:p>
    <w:p w14:paraId="7194A6C4" w14:textId="6259BC99" w:rsidR="00807721" w:rsidRPr="005D7A60" w:rsidRDefault="00807721" w:rsidP="00807721">
      <w:pPr>
        <w:spacing w:line="480" w:lineRule="auto"/>
        <w:ind w:firstLine="720"/>
        <w:jc w:val="both"/>
        <w:rPr>
          <w:rFonts w:ascii="Times New Roman" w:hAnsi="Times New Roman"/>
          <w:lang w:val="en-IN"/>
        </w:rPr>
      </w:pPr>
      <w:r w:rsidRPr="005D7A60">
        <w:rPr>
          <w:rFonts w:ascii="Times New Roman" w:hAnsi="Times New Roman"/>
          <w:lang w:val="en-IN"/>
        </w:rPr>
        <w:t xml:space="preserve">The research will also assess the feasibility of applying </w:t>
      </w:r>
      <w:r w:rsidR="008A1D43" w:rsidRPr="005D7A60">
        <w:rPr>
          <w:rFonts w:ascii="Times New Roman" w:hAnsi="Times New Roman"/>
          <w:lang w:val="en-IN"/>
        </w:rPr>
        <w:t>G</w:t>
      </w:r>
      <w:r w:rsidRPr="005D7A60">
        <w:rPr>
          <w:rFonts w:ascii="Times New Roman" w:hAnsi="Times New Roman"/>
          <w:lang w:val="en-IN"/>
        </w:rPr>
        <w:t xml:space="preserve">enerative AI techniques—specifically Retrieval-Augmented Generation and prompt engineering—to translate selected Basel 3.1 clauses into machine-readable compliance logic for RWA computation. This will contribute to the literature on regulatory </w:t>
      </w:r>
      <w:r w:rsidR="006913AF" w:rsidRPr="005D7A60">
        <w:rPr>
          <w:rFonts w:ascii="Times New Roman" w:hAnsi="Times New Roman"/>
          <w:lang w:val="en-IN"/>
        </w:rPr>
        <w:t>alignment</w:t>
      </w:r>
      <w:r w:rsidRPr="005D7A60">
        <w:rPr>
          <w:rFonts w:ascii="Times New Roman" w:hAnsi="Times New Roman"/>
          <w:lang w:val="en-IN"/>
        </w:rPr>
        <w:t xml:space="preserve"> by quantifying accuracy, interpretability, and computational efficiency across modelling approaches.</w:t>
      </w:r>
    </w:p>
    <w:p w14:paraId="012C3E8B" w14:textId="418BD5CB" w:rsidR="00F243C4" w:rsidRPr="005D7A60" w:rsidRDefault="00F243C4" w:rsidP="000F3B59">
      <w:pPr>
        <w:spacing w:line="480" w:lineRule="auto"/>
        <w:ind w:firstLine="720"/>
        <w:jc w:val="both"/>
        <w:rPr>
          <w:rFonts w:ascii="Times New Roman" w:hAnsi="Times New Roman"/>
        </w:rPr>
      </w:pPr>
      <w:r w:rsidRPr="005D7A60">
        <w:rPr>
          <w:rFonts w:ascii="Times New Roman" w:hAnsi="Times New Roman"/>
        </w:rPr>
        <w:t xml:space="preserve">Irrespective of the credit risk approach adopted, the framework developed in this study has the potential to offer useful insights for banks. For institutions applying the Standardised Approach, the use of Basel-aligned variables derived from CRE provisions allows for a structured evaluation of whether regulatory classifications can enhance predictive models built on public data. For banks using IRB approaches, the same framework provides a way to test how predictive modelling of PD, LGD, and EAD might be better aligned with supervisory </w:t>
      </w:r>
      <w:r w:rsidRPr="005D7A60">
        <w:rPr>
          <w:rFonts w:ascii="Times New Roman" w:hAnsi="Times New Roman"/>
        </w:rPr>
        <w:lastRenderedPageBreak/>
        <w:t>expectations when Basel rules are explicitly embedded. While the scope of this research is methodological rather than system-deployment, the findings can indicate how different categories of banks may benefit from combining predictive AI with regulatory rule translation in principle.</w:t>
      </w:r>
    </w:p>
    <w:p w14:paraId="27578202" w14:textId="5325D3C3" w:rsidR="008D36F2" w:rsidRPr="005D7A60" w:rsidRDefault="00E8233B" w:rsidP="00E8233B">
      <w:pPr>
        <w:pStyle w:val="Heading1"/>
      </w:pPr>
      <w:bookmarkStart w:id="12" w:name="_Toc208463197"/>
      <w:r w:rsidRPr="005D7A60">
        <w:br w:type="page"/>
      </w:r>
      <w:r w:rsidR="008D36F2" w:rsidRPr="005D7A60">
        <w:lastRenderedPageBreak/>
        <w:t>Appendix</w:t>
      </w:r>
    </w:p>
    <w:p w14:paraId="63235793" w14:textId="13A25C31" w:rsidR="008D36F2" w:rsidRPr="005D7A60" w:rsidRDefault="00E16347" w:rsidP="008D36F2">
      <w:pPr>
        <w:rPr>
          <w:rFonts w:ascii="Times New Roman" w:hAnsi="Times New Roman"/>
          <w:b/>
          <w:bCs/>
        </w:rPr>
      </w:pPr>
      <w:r>
        <w:rPr>
          <w:rFonts w:ascii="Times New Roman" w:hAnsi="Times New Roman"/>
          <w:b/>
          <w:noProof/>
        </w:rPr>
        <w:pict w14:anchorId="1975B60B">
          <v:shape id="_x0000_i1027" type="#_x0000_t75" style="width:6in;height:242.65pt;visibility:visible;mso-wrap-style:square">
            <v:imagedata r:id="rId20" o:title=""/>
          </v:shape>
        </w:pict>
      </w:r>
    </w:p>
    <w:p w14:paraId="34C142DA" w14:textId="56B4B1BC" w:rsidR="00D21680" w:rsidRPr="005D7A60" w:rsidRDefault="00E8233B" w:rsidP="00D21680">
      <w:pPr>
        <w:pStyle w:val="Heading1"/>
      </w:pPr>
      <w:r w:rsidRPr="005D7A60">
        <w:br w:type="page"/>
      </w:r>
      <w:r w:rsidR="00D21680" w:rsidRPr="005D7A60">
        <w:lastRenderedPageBreak/>
        <w:t>References</w:t>
      </w:r>
      <w:bookmarkEnd w:id="12"/>
    </w:p>
    <w:p w14:paraId="7A14C8EE" w14:textId="77777777" w:rsidR="00C16401" w:rsidRPr="005D7A60" w:rsidRDefault="00C16401" w:rsidP="00C16401">
      <w:pPr>
        <w:pStyle w:val="Bibliography"/>
        <w:rPr>
          <w:rFonts w:ascii="Times New Roman" w:hAnsi="Times New Roman"/>
          <w:lang w:val="en-IN"/>
        </w:rPr>
      </w:pPr>
      <w:r w:rsidRPr="005D7A60">
        <w:rPr>
          <w:rFonts w:ascii="Times New Roman" w:hAnsi="Times New Roman"/>
          <w:lang w:val="en-IN"/>
        </w:rPr>
        <w:t xml:space="preserve">Ahmed, A., Mehdi, M., &amp; Mohamed, E. (2023). </w:t>
      </w:r>
      <w:r w:rsidRPr="005D7A60">
        <w:rPr>
          <w:rFonts w:ascii="Times New Roman" w:hAnsi="Times New Roman"/>
          <w:i/>
          <w:iCs/>
          <w:lang w:val="en-IN"/>
        </w:rPr>
        <w:t>Machine learning and macroeconomic integration for credit risk prediction in emerging markets</w:t>
      </w:r>
      <w:r w:rsidRPr="005D7A60">
        <w:rPr>
          <w:rFonts w:ascii="Times New Roman" w:hAnsi="Times New Roman"/>
          <w:lang w:val="en-IN"/>
        </w:rPr>
        <w:t>. Journal of Risk and Financial Management, 16(5), 255. https://doi.org/10.3390/jrfm16050255</w:t>
      </w:r>
    </w:p>
    <w:p w14:paraId="0A6D42C8" w14:textId="77777777" w:rsidR="00C16401" w:rsidRPr="005D7A60" w:rsidRDefault="00C16401" w:rsidP="00C16401">
      <w:pPr>
        <w:pStyle w:val="Bibliography"/>
        <w:rPr>
          <w:rFonts w:ascii="Times New Roman" w:hAnsi="Times New Roman"/>
          <w:lang w:val="en-IN"/>
        </w:rPr>
      </w:pPr>
      <w:r w:rsidRPr="005D7A60">
        <w:rPr>
          <w:rFonts w:ascii="Times New Roman" w:hAnsi="Times New Roman"/>
          <w:lang w:val="en-IN"/>
        </w:rPr>
        <w:t xml:space="preserve">Altman, E. I. (1968). </w:t>
      </w:r>
      <w:r w:rsidRPr="005D7A60">
        <w:rPr>
          <w:rFonts w:ascii="Times New Roman" w:hAnsi="Times New Roman"/>
          <w:i/>
          <w:iCs/>
          <w:lang w:val="en-IN"/>
        </w:rPr>
        <w:t>Financial ratios, discriminant analysis and the prediction of corporate bankruptcy</w:t>
      </w:r>
      <w:r w:rsidRPr="005D7A60">
        <w:rPr>
          <w:rFonts w:ascii="Times New Roman" w:hAnsi="Times New Roman"/>
          <w:lang w:val="en-IN"/>
        </w:rPr>
        <w:t xml:space="preserve">. Journal of Finance, 23(4), 589–609. </w:t>
      </w:r>
      <w:hyperlink r:id="rId21" w:tgtFrame="_new" w:history="1">
        <w:r w:rsidRPr="005D7A60">
          <w:rPr>
            <w:rStyle w:val="Hyperlink"/>
            <w:rFonts w:ascii="Times New Roman" w:hAnsi="Times New Roman"/>
            <w:lang w:val="en-IN"/>
          </w:rPr>
          <w:t>https://doi.org/10.1111/j.1540-6261.1968.tb00843.x</w:t>
        </w:r>
      </w:hyperlink>
    </w:p>
    <w:p w14:paraId="1CA7B0ED" w14:textId="77777777" w:rsidR="00C16401" w:rsidRPr="005D7A60" w:rsidRDefault="00C16401" w:rsidP="00C16401">
      <w:pPr>
        <w:pStyle w:val="Bibliography"/>
        <w:rPr>
          <w:rFonts w:ascii="Times New Roman" w:hAnsi="Times New Roman"/>
          <w:lang w:val="en-IN"/>
        </w:rPr>
      </w:pPr>
      <w:r w:rsidRPr="005D7A60">
        <w:rPr>
          <w:rFonts w:ascii="Times New Roman" w:hAnsi="Times New Roman"/>
          <w:lang w:val="en-IN"/>
        </w:rPr>
        <w:t xml:space="preserve">Altman, E. I., Marco, G., &amp; </w:t>
      </w:r>
      <w:proofErr w:type="spellStart"/>
      <w:r w:rsidRPr="005D7A60">
        <w:rPr>
          <w:rFonts w:ascii="Times New Roman" w:hAnsi="Times New Roman"/>
          <w:lang w:val="en-IN"/>
        </w:rPr>
        <w:t>Varetto</w:t>
      </w:r>
      <w:proofErr w:type="spellEnd"/>
      <w:r w:rsidRPr="005D7A60">
        <w:rPr>
          <w:rFonts w:ascii="Times New Roman" w:hAnsi="Times New Roman"/>
          <w:lang w:val="en-IN"/>
        </w:rPr>
        <w:t xml:space="preserve">, F. (1994). </w:t>
      </w:r>
      <w:r w:rsidRPr="005D7A60">
        <w:rPr>
          <w:rFonts w:ascii="Times New Roman" w:hAnsi="Times New Roman"/>
          <w:i/>
          <w:iCs/>
          <w:lang w:val="en-IN"/>
        </w:rPr>
        <w:t>Corporate distress diagnosis: Comparisons using linear discriminant analysis and neural networks (the Italian experience)</w:t>
      </w:r>
      <w:r w:rsidRPr="005D7A60">
        <w:rPr>
          <w:rFonts w:ascii="Times New Roman" w:hAnsi="Times New Roman"/>
          <w:lang w:val="en-IN"/>
        </w:rPr>
        <w:t>. Journal of Banking and Finance, 18(3), 505–529. https://doi.org/10.1016/0378-4266(94)90007-8</w:t>
      </w:r>
    </w:p>
    <w:p w14:paraId="683B2566" w14:textId="77777777" w:rsidR="00C16401" w:rsidRPr="005D7A60" w:rsidRDefault="00C16401" w:rsidP="00C16401">
      <w:pPr>
        <w:pStyle w:val="Bibliography"/>
        <w:rPr>
          <w:rFonts w:ascii="Times New Roman" w:hAnsi="Times New Roman"/>
          <w:lang w:val="en-IN"/>
        </w:rPr>
      </w:pPr>
      <w:proofErr w:type="spellStart"/>
      <w:r w:rsidRPr="005D7A60">
        <w:rPr>
          <w:rFonts w:ascii="Times New Roman" w:hAnsi="Times New Roman"/>
          <w:lang w:val="en-IN"/>
        </w:rPr>
        <w:t>Anguren</w:t>
      </w:r>
      <w:proofErr w:type="spellEnd"/>
      <w:r w:rsidRPr="005D7A60">
        <w:rPr>
          <w:rFonts w:ascii="Times New Roman" w:hAnsi="Times New Roman"/>
          <w:lang w:val="en-IN"/>
        </w:rPr>
        <w:t xml:space="preserve">, R., Jiménez, G., &amp; </w:t>
      </w:r>
      <w:proofErr w:type="spellStart"/>
      <w:r w:rsidRPr="005D7A60">
        <w:rPr>
          <w:rFonts w:ascii="Times New Roman" w:hAnsi="Times New Roman"/>
          <w:lang w:val="en-IN"/>
        </w:rPr>
        <w:t>Peydró</w:t>
      </w:r>
      <w:proofErr w:type="spellEnd"/>
      <w:r w:rsidRPr="005D7A60">
        <w:rPr>
          <w:rFonts w:ascii="Times New Roman" w:hAnsi="Times New Roman"/>
          <w:lang w:val="en-IN"/>
        </w:rPr>
        <w:t xml:space="preserve">, J.-L. (2024). </w:t>
      </w:r>
      <w:r w:rsidRPr="005D7A60">
        <w:rPr>
          <w:rFonts w:ascii="Times New Roman" w:hAnsi="Times New Roman"/>
          <w:i/>
          <w:iCs/>
          <w:lang w:val="en-IN"/>
        </w:rPr>
        <w:t>Bank capital requirements and risk-taking: Evidence from Basel III</w:t>
      </w:r>
      <w:r w:rsidRPr="005D7A60">
        <w:rPr>
          <w:rFonts w:ascii="Times New Roman" w:hAnsi="Times New Roman"/>
          <w:lang w:val="en-IN"/>
        </w:rPr>
        <w:t xml:space="preserve">. Journal of Financial Stability, 74, 101292. </w:t>
      </w:r>
      <w:hyperlink r:id="rId22" w:tgtFrame="_new" w:history="1">
        <w:r w:rsidRPr="005D7A60">
          <w:rPr>
            <w:rStyle w:val="Hyperlink"/>
            <w:rFonts w:ascii="Times New Roman" w:hAnsi="Times New Roman"/>
            <w:lang w:val="en-IN"/>
          </w:rPr>
          <w:t>https://doi.org/10.1016/j.jfs.2024.101292</w:t>
        </w:r>
      </w:hyperlink>
    </w:p>
    <w:p w14:paraId="4016A7D3" w14:textId="77777777" w:rsidR="00C16401" w:rsidRPr="005D7A60" w:rsidRDefault="00C16401" w:rsidP="00C16401">
      <w:pPr>
        <w:pStyle w:val="Bibliography"/>
        <w:rPr>
          <w:rFonts w:ascii="Times New Roman" w:hAnsi="Times New Roman"/>
          <w:lang w:val="en-IN"/>
        </w:rPr>
      </w:pPr>
      <w:proofErr w:type="spellStart"/>
      <w:r w:rsidRPr="005D7A60">
        <w:rPr>
          <w:rFonts w:ascii="Times New Roman" w:hAnsi="Times New Roman"/>
          <w:lang w:val="en-IN"/>
        </w:rPr>
        <w:t>Aracil</w:t>
      </w:r>
      <w:proofErr w:type="spellEnd"/>
      <w:r w:rsidRPr="005D7A60">
        <w:rPr>
          <w:rFonts w:ascii="Times New Roman" w:hAnsi="Times New Roman"/>
          <w:lang w:val="en-IN"/>
        </w:rPr>
        <w:t xml:space="preserve">, E., Nájera-Sánchez, J.-J., &amp; </w:t>
      </w:r>
      <w:proofErr w:type="spellStart"/>
      <w:r w:rsidRPr="005D7A60">
        <w:rPr>
          <w:rFonts w:ascii="Times New Roman" w:hAnsi="Times New Roman"/>
          <w:lang w:val="en-IN"/>
        </w:rPr>
        <w:t>Forcadell</w:t>
      </w:r>
      <w:proofErr w:type="spellEnd"/>
      <w:r w:rsidRPr="005D7A60">
        <w:rPr>
          <w:rFonts w:ascii="Times New Roman" w:hAnsi="Times New Roman"/>
          <w:lang w:val="en-IN"/>
        </w:rPr>
        <w:t xml:space="preserve">, F. J. (2021). </w:t>
      </w:r>
      <w:r w:rsidRPr="005D7A60">
        <w:rPr>
          <w:rFonts w:ascii="Times New Roman" w:hAnsi="Times New Roman"/>
          <w:i/>
          <w:iCs/>
          <w:lang w:val="en-IN"/>
        </w:rPr>
        <w:t>Sustainable banking: A literature review and integrative framework</w:t>
      </w:r>
      <w:r w:rsidRPr="005D7A60">
        <w:rPr>
          <w:rFonts w:ascii="Times New Roman" w:hAnsi="Times New Roman"/>
          <w:lang w:val="en-IN"/>
        </w:rPr>
        <w:t xml:space="preserve">. Finance Research Letters, 42, 101932. </w:t>
      </w:r>
      <w:hyperlink r:id="rId23" w:tgtFrame="_new" w:history="1">
        <w:r w:rsidRPr="005D7A60">
          <w:rPr>
            <w:rStyle w:val="Hyperlink"/>
            <w:rFonts w:ascii="Times New Roman" w:hAnsi="Times New Roman"/>
            <w:lang w:val="en-IN"/>
          </w:rPr>
          <w:t>https://doi.org/10.1016/j.frl.2021.101932</w:t>
        </w:r>
      </w:hyperlink>
    </w:p>
    <w:p w14:paraId="40312776" w14:textId="77777777" w:rsidR="00C16401" w:rsidRPr="005D7A60" w:rsidRDefault="00C16401" w:rsidP="00C16401">
      <w:pPr>
        <w:pStyle w:val="Bibliography"/>
        <w:rPr>
          <w:rFonts w:ascii="Times New Roman" w:hAnsi="Times New Roman"/>
          <w:lang w:val="en-IN"/>
        </w:rPr>
      </w:pPr>
      <w:proofErr w:type="spellStart"/>
      <w:r w:rsidRPr="005D7A60">
        <w:rPr>
          <w:rFonts w:ascii="Times New Roman" w:hAnsi="Times New Roman"/>
          <w:lang w:val="en-IN"/>
        </w:rPr>
        <w:t>Baesens</w:t>
      </w:r>
      <w:proofErr w:type="spellEnd"/>
      <w:r w:rsidRPr="005D7A60">
        <w:rPr>
          <w:rFonts w:ascii="Times New Roman" w:hAnsi="Times New Roman"/>
          <w:lang w:val="en-IN"/>
        </w:rPr>
        <w:t xml:space="preserve">, B., Van Gestel, T., Viaene, S., Stepanova, M., Suykens, J., &amp; </w:t>
      </w:r>
      <w:proofErr w:type="spellStart"/>
      <w:r w:rsidRPr="005D7A60">
        <w:rPr>
          <w:rFonts w:ascii="Times New Roman" w:hAnsi="Times New Roman"/>
          <w:lang w:val="en-IN"/>
        </w:rPr>
        <w:t>Vanthienen</w:t>
      </w:r>
      <w:proofErr w:type="spellEnd"/>
      <w:r w:rsidRPr="005D7A60">
        <w:rPr>
          <w:rFonts w:ascii="Times New Roman" w:hAnsi="Times New Roman"/>
          <w:lang w:val="en-IN"/>
        </w:rPr>
        <w:t xml:space="preserve">, J. (2003). </w:t>
      </w:r>
      <w:r w:rsidRPr="005D7A60">
        <w:rPr>
          <w:rFonts w:ascii="Times New Roman" w:hAnsi="Times New Roman"/>
          <w:i/>
          <w:iCs/>
          <w:lang w:val="en-IN"/>
        </w:rPr>
        <w:t>Benchmarking state-of-the-art classification algorithms for credit scoring</w:t>
      </w:r>
      <w:r w:rsidRPr="005D7A60">
        <w:rPr>
          <w:rFonts w:ascii="Times New Roman" w:hAnsi="Times New Roman"/>
          <w:lang w:val="en-IN"/>
        </w:rPr>
        <w:t>. Journal of the Operational Research Society, 54(6), 627–635. https://doi.org/10.1057/palgrave.jors.2601545</w:t>
      </w:r>
    </w:p>
    <w:p w14:paraId="38C3C397" w14:textId="77777777" w:rsidR="00C16401" w:rsidRPr="005D7A60" w:rsidRDefault="00C16401" w:rsidP="00C16401">
      <w:pPr>
        <w:pStyle w:val="Bibliography"/>
        <w:rPr>
          <w:rFonts w:ascii="Times New Roman" w:hAnsi="Times New Roman"/>
          <w:lang w:val="en-IN"/>
        </w:rPr>
      </w:pPr>
      <w:r w:rsidRPr="005D7A60">
        <w:rPr>
          <w:rFonts w:ascii="Times New Roman" w:hAnsi="Times New Roman"/>
          <w:lang w:val="en-IN"/>
        </w:rPr>
        <w:t xml:space="preserve">Bashir, A., Salman, A., Itani, R., &amp; </w:t>
      </w:r>
      <w:proofErr w:type="spellStart"/>
      <w:r w:rsidRPr="005D7A60">
        <w:rPr>
          <w:rFonts w:ascii="Times New Roman" w:hAnsi="Times New Roman"/>
          <w:lang w:val="en-IN"/>
        </w:rPr>
        <w:t>Faccia</w:t>
      </w:r>
      <w:proofErr w:type="spellEnd"/>
      <w:r w:rsidRPr="005D7A60">
        <w:rPr>
          <w:rFonts w:ascii="Times New Roman" w:hAnsi="Times New Roman"/>
          <w:lang w:val="en-IN"/>
        </w:rPr>
        <w:t xml:space="preserve">, A. (2025). </w:t>
      </w:r>
      <w:r w:rsidRPr="005D7A60">
        <w:rPr>
          <w:rFonts w:ascii="Times New Roman" w:hAnsi="Times New Roman"/>
          <w:i/>
          <w:iCs/>
          <w:lang w:val="en-IN"/>
        </w:rPr>
        <w:t>Assessing Basel capital regulations: Exploring the risk and efficiency relationship in emerging economies</w:t>
      </w:r>
      <w:r w:rsidRPr="005D7A60">
        <w:rPr>
          <w:rFonts w:ascii="Times New Roman" w:hAnsi="Times New Roman"/>
          <w:lang w:val="en-IN"/>
        </w:rPr>
        <w:t xml:space="preserve">. Journal of Risk and Financial Management, 18(1), 1. </w:t>
      </w:r>
      <w:hyperlink r:id="rId24" w:tgtFrame="_new" w:history="1">
        <w:r w:rsidRPr="005D7A60">
          <w:rPr>
            <w:rStyle w:val="Hyperlink"/>
            <w:rFonts w:ascii="Times New Roman" w:hAnsi="Times New Roman"/>
            <w:lang w:val="en-IN"/>
          </w:rPr>
          <w:t>https://doi.org/10.3390/jrfm18010036</w:t>
        </w:r>
      </w:hyperlink>
    </w:p>
    <w:p w14:paraId="49335D02" w14:textId="77777777" w:rsidR="00C16401" w:rsidRPr="005D7A60" w:rsidRDefault="00C16401" w:rsidP="00C16401">
      <w:pPr>
        <w:pStyle w:val="Bibliography"/>
        <w:rPr>
          <w:rFonts w:ascii="Times New Roman" w:hAnsi="Times New Roman"/>
          <w:lang w:val="en-IN"/>
        </w:rPr>
      </w:pPr>
      <w:r w:rsidRPr="005D7A60">
        <w:rPr>
          <w:rFonts w:ascii="Times New Roman" w:hAnsi="Times New Roman"/>
          <w:lang w:val="en-IN"/>
        </w:rPr>
        <w:t xml:space="preserve">Behn, M., Haselmann, R., &amp; Wachtel, P. (2019). </w:t>
      </w:r>
      <w:r w:rsidRPr="005D7A60">
        <w:rPr>
          <w:rFonts w:ascii="Times New Roman" w:hAnsi="Times New Roman"/>
          <w:i/>
          <w:iCs/>
          <w:lang w:val="en-IN"/>
        </w:rPr>
        <w:t>The limits of model-based regulation</w:t>
      </w:r>
      <w:r w:rsidRPr="005D7A60">
        <w:rPr>
          <w:rFonts w:ascii="Times New Roman" w:hAnsi="Times New Roman"/>
          <w:lang w:val="en-IN"/>
        </w:rPr>
        <w:t>. BIS Working Paper No. 799. https://www.bis.org/publ/work799.htm</w:t>
      </w:r>
    </w:p>
    <w:p w14:paraId="5283F7CF" w14:textId="77777777" w:rsidR="00C16401" w:rsidRPr="005D7A60" w:rsidRDefault="00C16401" w:rsidP="00C16401">
      <w:pPr>
        <w:pStyle w:val="Bibliography"/>
        <w:rPr>
          <w:rFonts w:ascii="Times New Roman" w:hAnsi="Times New Roman"/>
          <w:lang w:val="en-IN"/>
        </w:rPr>
      </w:pPr>
      <w:r w:rsidRPr="005D7A60">
        <w:rPr>
          <w:rFonts w:ascii="Times New Roman" w:hAnsi="Times New Roman"/>
          <w:lang w:val="de-DE"/>
        </w:rPr>
        <w:t xml:space="preserve">Beutel, J., List, S., &amp; von Westernhagen, N. (2019). </w:t>
      </w:r>
      <w:r w:rsidRPr="005D7A60">
        <w:rPr>
          <w:rFonts w:ascii="Times New Roman" w:hAnsi="Times New Roman"/>
          <w:i/>
          <w:iCs/>
          <w:lang w:val="en-IN"/>
        </w:rPr>
        <w:t>Measuring systemic risk contributions in the financial sector</w:t>
      </w:r>
      <w:r w:rsidRPr="005D7A60">
        <w:rPr>
          <w:rFonts w:ascii="Times New Roman" w:hAnsi="Times New Roman"/>
          <w:lang w:val="en-IN"/>
        </w:rPr>
        <w:t>. Journal of Banking Regulation, 20(2), 167–181. https://doi.org/10.1057/s41261-018-0077-3</w:t>
      </w:r>
    </w:p>
    <w:p w14:paraId="2BC69120" w14:textId="77777777" w:rsidR="00C16401" w:rsidRPr="005D7A60" w:rsidRDefault="00C16401" w:rsidP="00C16401">
      <w:pPr>
        <w:pStyle w:val="Bibliography"/>
        <w:rPr>
          <w:rFonts w:ascii="Times New Roman" w:hAnsi="Times New Roman"/>
          <w:lang w:val="en-IN"/>
        </w:rPr>
      </w:pPr>
      <w:r w:rsidRPr="005D7A60">
        <w:rPr>
          <w:rFonts w:ascii="Times New Roman" w:hAnsi="Times New Roman"/>
          <w:lang w:val="en-IN"/>
        </w:rPr>
        <w:t xml:space="preserve">Brown, T., Mann, B., Ryder, N., Subbiah, M., Kaplan, J., Dhariwal, P., … Amodei, D. (2020). </w:t>
      </w:r>
      <w:r w:rsidRPr="005D7A60">
        <w:rPr>
          <w:rFonts w:ascii="Times New Roman" w:hAnsi="Times New Roman"/>
          <w:i/>
          <w:iCs/>
          <w:lang w:val="en-IN"/>
        </w:rPr>
        <w:t>Language models are few-shot learners</w:t>
      </w:r>
      <w:r w:rsidRPr="005D7A60">
        <w:rPr>
          <w:rFonts w:ascii="Times New Roman" w:hAnsi="Times New Roman"/>
          <w:lang w:val="en-IN"/>
        </w:rPr>
        <w:t>. Advances in Neural Information Processing Systems, 33, 1877–1901. https://arxiv.org/abs/2005.14165</w:t>
      </w:r>
    </w:p>
    <w:p w14:paraId="7BBA32B1" w14:textId="77777777" w:rsidR="00C16401" w:rsidRPr="005D7A60" w:rsidRDefault="00C16401" w:rsidP="00C16401">
      <w:pPr>
        <w:pStyle w:val="Bibliography"/>
        <w:rPr>
          <w:rFonts w:ascii="Times New Roman" w:hAnsi="Times New Roman"/>
          <w:lang w:val="en-IN"/>
        </w:rPr>
      </w:pPr>
      <w:proofErr w:type="spellStart"/>
      <w:r w:rsidRPr="005D7A60">
        <w:rPr>
          <w:rFonts w:ascii="Times New Roman" w:hAnsi="Times New Roman"/>
          <w:lang w:val="en-IN"/>
        </w:rPr>
        <w:t>Butaru</w:t>
      </w:r>
      <w:proofErr w:type="spellEnd"/>
      <w:r w:rsidRPr="005D7A60">
        <w:rPr>
          <w:rFonts w:ascii="Times New Roman" w:hAnsi="Times New Roman"/>
          <w:lang w:val="en-IN"/>
        </w:rPr>
        <w:t xml:space="preserve">, F., Chen, Q., Clark, B., Das, S. R., Lo, A. W., &amp; Siddique, A. (2016). </w:t>
      </w:r>
      <w:r w:rsidRPr="005D7A60">
        <w:rPr>
          <w:rFonts w:ascii="Times New Roman" w:hAnsi="Times New Roman"/>
          <w:i/>
          <w:iCs/>
          <w:lang w:val="en-IN"/>
        </w:rPr>
        <w:t>Risk and return in the cross-section of consumer credit: New insights from credit card data</w:t>
      </w:r>
      <w:r w:rsidRPr="005D7A60">
        <w:rPr>
          <w:rFonts w:ascii="Times New Roman" w:hAnsi="Times New Roman"/>
          <w:lang w:val="en-IN"/>
        </w:rPr>
        <w:t>. Journal of Financial Economics, 121(3), 682–699. https://doi.org/10.1016/j.jfineco.2016.05.006</w:t>
      </w:r>
    </w:p>
    <w:p w14:paraId="3137A7BD" w14:textId="77777777" w:rsidR="00C16401" w:rsidRPr="005D7A60" w:rsidRDefault="00C16401" w:rsidP="00C16401">
      <w:pPr>
        <w:pStyle w:val="Bibliography"/>
        <w:rPr>
          <w:rFonts w:ascii="Times New Roman" w:hAnsi="Times New Roman"/>
          <w:lang w:val="en-IN"/>
        </w:rPr>
      </w:pPr>
      <w:r w:rsidRPr="005D7A60">
        <w:rPr>
          <w:rFonts w:ascii="Times New Roman" w:hAnsi="Times New Roman"/>
          <w:lang w:val="en-IN"/>
        </w:rPr>
        <w:lastRenderedPageBreak/>
        <w:t xml:space="preserve">Cao, Z., &amp; Feinstein, Z. (2024). </w:t>
      </w:r>
      <w:r w:rsidRPr="005D7A60">
        <w:rPr>
          <w:rFonts w:ascii="Times New Roman" w:hAnsi="Times New Roman"/>
          <w:i/>
          <w:iCs/>
          <w:lang w:val="en-IN"/>
        </w:rPr>
        <w:t>Large language model in financial regulatory interpretation</w:t>
      </w:r>
      <w:r w:rsidRPr="005D7A60">
        <w:rPr>
          <w:rFonts w:ascii="Times New Roman" w:hAnsi="Times New Roman"/>
          <w:lang w:val="en-IN"/>
        </w:rPr>
        <w:t xml:space="preserve">. </w:t>
      </w:r>
      <w:proofErr w:type="spellStart"/>
      <w:r w:rsidRPr="005D7A60">
        <w:rPr>
          <w:rFonts w:ascii="Times New Roman" w:hAnsi="Times New Roman"/>
          <w:lang w:val="en-IN"/>
        </w:rPr>
        <w:t>arXiv</w:t>
      </w:r>
      <w:proofErr w:type="spellEnd"/>
      <w:r w:rsidRPr="005D7A60">
        <w:rPr>
          <w:rFonts w:ascii="Times New Roman" w:hAnsi="Times New Roman"/>
          <w:lang w:val="en-IN"/>
        </w:rPr>
        <w:t xml:space="preserve"> preprint arXiv:2405.06808. </w:t>
      </w:r>
      <w:hyperlink r:id="rId25" w:tgtFrame="_new" w:history="1">
        <w:r w:rsidRPr="005D7A60">
          <w:rPr>
            <w:rStyle w:val="Hyperlink"/>
            <w:rFonts w:ascii="Times New Roman" w:hAnsi="Times New Roman"/>
            <w:lang w:val="en-IN"/>
          </w:rPr>
          <w:t>https://doi.org/10.48550/arXiv.2405.06808</w:t>
        </w:r>
      </w:hyperlink>
    </w:p>
    <w:p w14:paraId="3F2AC5D1" w14:textId="77777777" w:rsidR="00C16401" w:rsidRPr="005D7A60" w:rsidRDefault="00C16401" w:rsidP="00C16401">
      <w:pPr>
        <w:pStyle w:val="Bibliography"/>
        <w:rPr>
          <w:rFonts w:ascii="Times New Roman" w:hAnsi="Times New Roman"/>
          <w:lang w:val="en-IN"/>
        </w:rPr>
      </w:pPr>
      <w:proofErr w:type="spellStart"/>
      <w:r w:rsidRPr="005D7A60">
        <w:rPr>
          <w:rFonts w:ascii="Times New Roman" w:hAnsi="Times New Roman"/>
          <w:lang w:val="en-IN"/>
        </w:rPr>
        <w:t>Coffinet</w:t>
      </w:r>
      <w:proofErr w:type="spellEnd"/>
      <w:r w:rsidRPr="005D7A60">
        <w:rPr>
          <w:rFonts w:ascii="Times New Roman" w:hAnsi="Times New Roman"/>
          <w:lang w:val="en-IN"/>
        </w:rPr>
        <w:t xml:space="preserve">, J., &amp; Kien, T. V. (2019). </w:t>
      </w:r>
      <w:r w:rsidRPr="005D7A60">
        <w:rPr>
          <w:rFonts w:ascii="Times New Roman" w:hAnsi="Times New Roman"/>
          <w:i/>
          <w:iCs/>
          <w:lang w:val="en-IN"/>
        </w:rPr>
        <w:t>The macroeconomic effects of financial stress: An empirical analysis</w:t>
      </w:r>
      <w:r w:rsidRPr="005D7A60">
        <w:rPr>
          <w:rFonts w:ascii="Times New Roman" w:hAnsi="Times New Roman"/>
          <w:lang w:val="en-IN"/>
        </w:rPr>
        <w:t>. Economic Modelling, 81, 236–252. https://doi.org/10.1016/j.econmod.2018.12.017</w:t>
      </w:r>
    </w:p>
    <w:p w14:paraId="66F3B9B1" w14:textId="77777777" w:rsidR="00C16401" w:rsidRPr="005D7A60" w:rsidRDefault="00C16401" w:rsidP="00C16401">
      <w:pPr>
        <w:pStyle w:val="Bibliography"/>
        <w:rPr>
          <w:rFonts w:ascii="Times New Roman" w:hAnsi="Times New Roman"/>
          <w:lang w:val="en-IN"/>
        </w:rPr>
      </w:pPr>
      <w:r w:rsidRPr="005D7A60">
        <w:rPr>
          <w:rFonts w:ascii="Times New Roman" w:hAnsi="Times New Roman"/>
          <w:lang w:val="en-IN"/>
        </w:rPr>
        <w:t xml:space="preserve">Dawood, Q., Ahmed, A., &amp; Waheed, A. (2019). </w:t>
      </w:r>
      <w:r w:rsidRPr="005D7A60">
        <w:rPr>
          <w:rFonts w:ascii="Times New Roman" w:hAnsi="Times New Roman"/>
          <w:i/>
          <w:iCs/>
          <w:lang w:val="en-IN"/>
        </w:rPr>
        <w:t>Hybrid machine learning models for credit risk assessment</w:t>
      </w:r>
      <w:r w:rsidRPr="005D7A60">
        <w:rPr>
          <w:rFonts w:ascii="Times New Roman" w:hAnsi="Times New Roman"/>
          <w:lang w:val="en-IN"/>
        </w:rPr>
        <w:t>. Expert Systems with Applications, 127, 273–285. https://doi.org/10.1016/j.eswa.2019.03.042</w:t>
      </w:r>
    </w:p>
    <w:p w14:paraId="2F27A22E" w14:textId="77777777" w:rsidR="00C16401" w:rsidRPr="005D7A60" w:rsidRDefault="00C16401" w:rsidP="00C16401">
      <w:pPr>
        <w:pStyle w:val="Bibliography"/>
        <w:rPr>
          <w:rFonts w:ascii="Times New Roman" w:hAnsi="Times New Roman"/>
          <w:lang w:val="en-IN"/>
        </w:rPr>
      </w:pPr>
      <w:r w:rsidRPr="005D7A60">
        <w:rPr>
          <w:rFonts w:ascii="Times New Roman" w:hAnsi="Times New Roman"/>
          <w:lang w:val="en-IN"/>
        </w:rPr>
        <w:t xml:space="preserve">De Lange, P. E., Melsom, B., </w:t>
      </w:r>
      <w:proofErr w:type="spellStart"/>
      <w:r w:rsidRPr="005D7A60">
        <w:rPr>
          <w:rFonts w:ascii="Times New Roman" w:hAnsi="Times New Roman"/>
          <w:lang w:val="en-IN"/>
        </w:rPr>
        <w:t>Vennerød</w:t>
      </w:r>
      <w:proofErr w:type="spellEnd"/>
      <w:r w:rsidRPr="005D7A60">
        <w:rPr>
          <w:rFonts w:ascii="Times New Roman" w:hAnsi="Times New Roman"/>
          <w:lang w:val="en-IN"/>
        </w:rPr>
        <w:t xml:space="preserve">, C. B., &amp; Westgaard, S. (2022). </w:t>
      </w:r>
      <w:r w:rsidRPr="005D7A60">
        <w:rPr>
          <w:rFonts w:ascii="Times New Roman" w:hAnsi="Times New Roman"/>
          <w:i/>
          <w:iCs/>
          <w:lang w:val="en-IN"/>
        </w:rPr>
        <w:t>Explainable AI for credit assessment in banks</w:t>
      </w:r>
      <w:r w:rsidRPr="005D7A60">
        <w:rPr>
          <w:rFonts w:ascii="Times New Roman" w:hAnsi="Times New Roman"/>
          <w:lang w:val="en-IN"/>
        </w:rPr>
        <w:t xml:space="preserve">. Journal of Risk and Financial Management, 15(12), 591. </w:t>
      </w:r>
      <w:hyperlink r:id="rId26" w:tgtFrame="_new" w:history="1">
        <w:r w:rsidRPr="005D7A60">
          <w:rPr>
            <w:rStyle w:val="Hyperlink"/>
            <w:rFonts w:ascii="Times New Roman" w:hAnsi="Times New Roman"/>
            <w:lang w:val="en-IN"/>
          </w:rPr>
          <w:t>https://doi.org/10.3390/jrfm15120556</w:t>
        </w:r>
      </w:hyperlink>
    </w:p>
    <w:p w14:paraId="1E858140" w14:textId="77777777" w:rsidR="00C16401" w:rsidRPr="005D7A60" w:rsidRDefault="00C16401" w:rsidP="00C16401">
      <w:pPr>
        <w:pStyle w:val="Bibliography"/>
        <w:rPr>
          <w:rFonts w:ascii="Times New Roman" w:hAnsi="Times New Roman"/>
          <w:lang w:val="en-IN"/>
        </w:rPr>
      </w:pPr>
      <w:r w:rsidRPr="005D7A60">
        <w:rPr>
          <w:rFonts w:ascii="Times New Roman" w:hAnsi="Times New Roman"/>
          <w:lang w:val="en-IN"/>
        </w:rPr>
        <w:t xml:space="preserve">Devlin, J., Chang, M.-W., Lee, K., &amp; Toutanova, K. (2018). </w:t>
      </w:r>
      <w:r w:rsidRPr="005D7A60">
        <w:rPr>
          <w:rFonts w:ascii="Times New Roman" w:hAnsi="Times New Roman"/>
          <w:i/>
          <w:iCs/>
          <w:lang w:val="en-IN"/>
        </w:rPr>
        <w:t>BERT: Pre-training of deep bidirectional transformers for language understanding</w:t>
      </w:r>
      <w:r w:rsidRPr="005D7A60">
        <w:rPr>
          <w:rFonts w:ascii="Times New Roman" w:hAnsi="Times New Roman"/>
          <w:lang w:val="en-IN"/>
        </w:rPr>
        <w:t xml:space="preserve">. </w:t>
      </w:r>
      <w:proofErr w:type="spellStart"/>
      <w:r w:rsidRPr="005D7A60">
        <w:rPr>
          <w:rFonts w:ascii="Times New Roman" w:hAnsi="Times New Roman"/>
          <w:lang w:val="en-IN"/>
        </w:rPr>
        <w:t>arXiv</w:t>
      </w:r>
      <w:proofErr w:type="spellEnd"/>
      <w:r w:rsidRPr="005D7A60">
        <w:rPr>
          <w:rFonts w:ascii="Times New Roman" w:hAnsi="Times New Roman"/>
          <w:lang w:val="en-IN"/>
        </w:rPr>
        <w:t xml:space="preserve"> preprint arXiv:1810.04805. https://arxiv.org/abs/1810.04805</w:t>
      </w:r>
    </w:p>
    <w:p w14:paraId="02BC331E" w14:textId="77777777" w:rsidR="00C16401" w:rsidRPr="005D7A60" w:rsidRDefault="00C16401" w:rsidP="00C16401">
      <w:pPr>
        <w:pStyle w:val="Bibliography"/>
        <w:rPr>
          <w:rFonts w:ascii="Times New Roman" w:hAnsi="Times New Roman"/>
          <w:lang w:val="en-IN"/>
        </w:rPr>
      </w:pPr>
      <w:r w:rsidRPr="005D7A60">
        <w:rPr>
          <w:rFonts w:ascii="Times New Roman" w:hAnsi="Times New Roman"/>
          <w:lang w:val="en-IN"/>
        </w:rPr>
        <w:t xml:space="preserve">Fazlija, B., Ibraimi, M., Forouzandeh, A., &amp; Fazlija, A. (2025). </w:t>
      </w:r>
      <w:r w:rsidRPr="005D7A60">
        <w:rPr>
          <w:rFonts w:ascii="Times New Roman" w:hAnsi="Times New Roman"/>
          <w:i/>
          <w:iCs/>
          <w:lang w:val="en-IN"/>
        </w:rPr>
        <w:t>Reasoning with financial regulatory texts via large language models</w:t>
      </w:r>
      <w:r w:rsidRPr="005D7A60">
        <w:rPr>
          <w:rFonts w:ascii="Times New Roman" w:hAnsi="Times New Roman"/>
          <w:lang w:val="en-IN"/>
        </w:rPr>
        <w:t xml:space="preserve">. Journal of </w:t>
      </w:r>
      <w:proofErr w:type="spellStart"/>
      <w:r w:rsidRPr="005D7A60">
        <w:rPr>
          <w:rFonts w:ascii="Times New Roman" w:hAnsi="Times New Roman"/>
          <w:lang w:val="en-IN"/>
        </w:rPr>
        <w:t>Behavioral</w:t>
      </w:r>
      <w:proofErr w:type="spellEnd"/>
      <w:r w:rsidRPr="005D7A60">
        <w:rPr>
          <w:rFonts w:ascii="Times New Roman" w:hAnsi="Times New Roman"/>
          <w:lang w:val="en-IN"/>
        </w:rPr>
        <w:t xml:space="preserve"> and Experimental Finance, 47, 101067. </w:t>
      </w:r>
      <w:hyperlink r:id="rId27" w:tgtFrame="_new" w:history="1">
        <w:r w:rsidRPr="005D7A60">
          <w:rPr>
            <w:rStyle w:val="Hyperlink"/>
            <w:rFonts w:ascii="Times New Roman" w:hAnsi="Times New Roman"/>
            <w:lang w:val="en-IN"/>
          </w:rPr>
          <w:t>https://doi.org/10.1016/j.jbef.2025.101067</w:t>
        </w:r>
      </w:hyperlink>
    </w:p>
    <w:p w14:paraId="0901C897" w14:textId="77777777" w:rsidR="00C16401" w:rsidRPr="005D7A60" w:rsidRDefault="00C16401" w:rsidP="00C16401">
      <w:pPr>
        <w:pStyle w:val="Bibliography"/>
        <w:rPr>
          <w:rFonts w:ascii="Times New Roman" w:hAnsi="Times New Roman"/>
          <w:lang w:val="en-IN"/>
        </w:rPr>
      </w:pPr>
      <w:r w:rsidRPr="005D7A60">
        <w:rPr>
          <w:rFonts w:ascii="Times New Roman" w:hAnsi="Times New Roman"/>
          <w:lang w:val="en-IN"/>
        </w:rPr>
        <w:t xml:space="preserve">Goswami, A. (2022). </w:t>
      </w:r>
      <w:r w:rsidRPr="005D7A60">
        <w:rPr>
          <w:rFonts w:ascii="Times New Roman" w:hAnsi="Times New Roman"/>
          <w:i/>
          <w:iCs/>
          <w:lang w:val="en-IN"/>
        </w:rPr>
        <w:t>Non-performing assets and efficiency of intermediation in Indian banks</w:t>
      </w:r>
      <w:r w:rsidRPr="005D7A60">
        <w:rPr>
          <w:rFonts w:ascii="Times New Roman" w:hAnsi="Times New Roman"/>
          <w:lang w:val="en-IN"/>
        </w:rPr>
        <w:t>. IIFT Working Paper.</w:t>
      </w:r>
    </w:p>
    <w:p w14:paraId="2478EF4C" w14:textId="77777777" w:rsidR="00C16401" w:rsidRPr="005D7A60" w:rsidRDefault="00C16401" w:rsidP="00C16401">
      <w:pPr>
        <w:pStyle w:val="Bibliography"/>
        <w:rPr>
          <w:rFonts w:ascii="Times New Roman" w:hAnsi="Times New Roman"/>
          <w:lang w:val="en-IN"/>
        </w:rPr>
      </w:pPr>
      <w:r w:rsidRPr="005D7A60">
        <w:rPr>
          <w:rFonts w:ascii="Times New Roman" w:hAnsi="Times New Roman"/>
          <w:lang w:val="en-IN"/>
        </w:rPr>
        <w:t xml:space="preserve">Haeri, A., Vitrano, J., &amp; </w:t>
      </w:r>
      <w:proofErr w:type="spellStart"/>
      <w:r w:rsidRPr="005D7A60">
        <w:rPr>
          <w:rFonts w:ascii="Times New Roman" w:hAnsi="Times New Roman"/>
          <w:lang w:val="en-IN"/>
        </w:rPr>
        <w:t>Ghelichi</w:t>
      </w:r>
      <w:proofErr w:type="spellEnd"/>
      <w:r w:rsidRPr="005D7A60">
        <w:rPr>
          <w:rFonts w:ascii="Times New Roman" w:hAnsi="Times New Roman"/>
          <w:lang w:val="en-IN"/>
        </w:rPr>
        <w:t xml:space="preserve">, M. (2025). </w:t>
      </w:r>
      <w:r w:rsidRPr="005D7A60">
        <w:rPr>
          <w:rFonts w:ascii="Times New Roman" w:hAnsi="Times New Roman"/>
          <w:i/>
          <w:iCs/>
          <w:lang w:val="en-IN"/>
        </w:rPr>
        <w:t>Generative AI enhanced financial risk management information retrieval</w:t>
      </w:r>
      <w:r w:rsidRPr="005D7A60">
        <w:rPr>
          <w:rFonts w:ascii="Times New Roman" w:hAnsi="Times New Roman"/>
          <w:lang w:val="en-IN"/>
        </w:rPr>
        <w:t xml:space="preserve">. </w:t>
      </w:r>
      <w:proofErr w:type="spellStart"/>
      <w:r w:rsidRPr="005D7A60">
        <w:rPr>
          <w:rFonts w:ascii="Times New Roman" w:hAnsi="Times New Roman"/>
          <w:lang w:val="en-IN"/>
        </w:rPr>
        <w:t>arXiv</w:t>
      </w:r>
      <w:proofErr w:type="spellEnd"/>
      <w:r w:rsidRPr="005D7A60">
        <w:rPr>
          <w:rFonts w:ascii="Times New Roman" w:hAnsi="Times New Roman"/>
          <w:lang w:val="en-IN"/>
        </w:rPr>
        <w:t xml:space="preserve"> preprint arXiv:2504.06293. </w:t>
      </w:r>
      <w:hyperlink r:id="rId28" w:tgtFrame="_new" w:history="1">
        <w:r w:rsidRPr="005D7A60">
          <w:rPr>
            <w:rStyle w:val="Hyperlink"/>
            <w:rFonts w:ascii="Times New Roman" w:hAnsi="Times New Roman"/>
            <w:lang w:val="en-IN"/>
          </w:rPr>
          <w:t>https://doi.org/10.48550/arXiv.2504.06293</w:t>
        </w:r>
      </w:hyperlink>
    </w:p>
    <w:p w14:paraId="4E81080C" w14:textId="77777777" w:rsidR="00C16401" w:rsidRPr="005D7A60" w:rsidRDefault="00C16401" w:rsidP="00C16401">
      <w:pPr>
        <w:pStyle w:val="Bibliography"/>
        <w:rPr>
          <w:rFonts w:ascii="Times New Roman" w:hAnsi="Times New Roman"/>
          <w:lang w:val="en-IN"/>
        </w:rPr>
      </w:pPr>
      <w:r w:rsidRPr="005D7A60">
        <w:rPr>
          <w:rFonts w:ascii="Times New Roman" w:hAnsi="Times New Roman"/>
          <w:lang w:val="en-IN"/>
        </w:rPr>
        <w:t xml:space="preserve">Hu, S., &amp; Yeo, J. (2025). </w:t>
      </w:r>
      <w:r w:rsidRPr="005D7A60">
        <w:rPr>
          <w:rFonts w:ascii="Times New Roman" w:hAnsi="Times New Roman"/>
          <w:i/>
          <w:iCs/>
          <w:lang w:val="en-IN"/>
        </w:rPr>
        <w:t>AMEX default prediction: A Kaggle competition overview</w:t>
      </w:r>
      <w:r w:rsidRPr="005D7A60">
        <w:rPr>
          <w:rFonts w:ascii="Times New Roman" w:hAnsi="Times New Roman"/>
          <w:lang w:val="en-IN"/>
        </w:rPr>
        <w:t xml:space="preserve">. Proceedings of Data Challenge Workshops. </w:t>
      </w:r>
      <w:hyperlink r:id="rId29" w:tgtFrame="_new" w:history="1">
        <w:r w:rsidRPr="005D7A60">
          <w:rPr>
            <w:rStyle w:val="Hyperlink"/>
            <w:rFonts w:ascii="Times New Roman" w:hAnsi="Times New Roman"/>
            <w:lang w:val="en-IN"/>
          </w:rPr>
          <w:t>https://www.kaggle.com/competitions/amex-default-prediction</w:t>
        </w:r>
      </w:hyperlink>
    </w:p>
    <w:p w14:paraId="471E8FF6" w14:textId="77777777" w:rsidR="00C16401" w:rsidRPr="005D7A60" w:rsidRDefault="00C16401" w:rsidP="00C16401">
      <w:pPr>
        <w:pStyle w:val="Bibliography"/>
        <w:rPr>
          <w:rFonts w:ascii="Times New Roman" w:hAnsi="Times New Roman"/>
          <w:lang w:val="en-IN"/>
        </w:rPr>
      </w:pPr>
      <w:r w:rsidRPr="005D7A60">
        <w:rPr>
          <w:rFonts w:ascii="Times New Roman" w:hAnsi="Times New Roman"/>
          <w:lang w:val="de-DE"/>
        </w:rPr>
        <w:t xml:space="preserve">Jones, E., &amp; Zeitz, A. O. (2017). </w:t>
      </w:r>
      <w:r w:rsidRPr="005D7A60">
        <w:rPr>
          <w:rFonts w:ascii="Times New Roman" w:hAnsi="Times New Roman"/>
          <w:i/>
          <w:iCs/>
          <w:lang w:val="en-IN"/>
        </w:rPr>
        <w:t>The limits of globalizing Basel banking standards</w:t>
      </w:r>
      <w:r w:rsidRPr="005D7A60">
        <w:rPr>
          <w:rFonts w:ascii="Times New Roman" w:hAnsi="Times New Roman"/>
          <w:lang w:val="en-IN"/>
        </w:rPr>
        <w:t xml:space="preserve">. Journal of Financial Regulation, 3(1), 89–124. </w:t>
      </w:r>
      <w:hyperlink r:id="rId30" w:tgtFrame="_new" w:history="1">
        <w:r w:rsidRPr="005D7A60">
          <w:rPr>
            <w:rStyle w:val="Hyperlink"/>
            <w:rFonts w:ascii="Times New Roman" w:hAnsi="Times New Roman"/>
            <w:lang w:val="en-IN"/>
          </w:rPr>
          <w:t>https://doi.org/10.1093/jfr/fjx001</w:t>
        </w:r>
      </w:hyperlink>
    </w:p>
    <w:p w14:paraId="7A859932" w14:textId="77777777" w:rsidR="00C16401" w:rsidRPr="005D7A60" w:rsidRDefault="00C16401" w:rsidP="00C16401">
      <w:pPr>
        <w:pStyle w:val="Bibliography"/>
        <w:rPr>
          <w:rFonts w:ascii="Times New Roman" w:hAnsi="Times New Roman"/>
          <w:lang w:val="en-IN"/>
        </w:rPr>
      </w:pPr>
      <w:r w:rsidRPr="005D7A60">
        <w:rPr>
          <w:rFonts w:ascii="Times New Roman" w:hAnsi="Times New Roman"/>
          <w:lang w:val="en-IN"/>
        </w:rPr>
        <w:t xml:space="preserve">Joshi, S. (2025). </w:t>
      </w:r>
      <w:r w:rsidRPr="005D7A60">
        <w:rPr>
          <w:rFonts w:ascii="Times New Roman" w:hAnsi="Times New Roman"/>
          <w:i/>
          <w:iCs/>
          <w:lang w:val="en-IN"/>
        </w:rPr>
        <w:t>End-to-end generative AI regulatory architecture: A conceptual review</w:t>
      </w:r>
      <w:r w:rsidRPr="005D7A60">
        <w:rPr>
          <w:rFonts w:ascii="Times New Roman" w:hAnsi="Times New Roman"/>
          <w:lang w:val="en-IN"/>
        </w:rPr>
        <w:t>. Preprint.</w:t>
      </w:r>
    </w:p>
    <w:p w14:paraId="72530248" w14:textId="77777777" w:rsidR="00C16401" w:rsidRPr="005D7A60" w:rsidRDefault="00C16401" w:rsidP="00C16401">
      <w:pPr>
        <w:pStyle w:val="Bibliography"/>
        <w:rPr>
          <w:rFonts w:ascii="Times New Roman" w:hAnsi="Times New Roman"/>
          <w:lang w:val="en-IN"/>
        </w:rPr>
      </w:pPr>
      <w:r w:rsidRPr="005D7A60">
        <w:rPr>
          <w:rFonts w:ascii="Times New Roman" w:hAnsi="Times New Roman"/>
          <w:lang w:val="en-IN"/>
        </w:rPr>
        <w:t xml:space="preserve">Junge, G., &amp; Kugler, P. (2018). </w:t>
      </w:r>
      <w:r w:rsidRPr="005D7A60">
        <w:rPr>
          <w:rFonts w:ascii="Times New Roman" w:hAnsi="Times New Roman"/>
          <w:i/>
          <w:iCs/>
          <w:lang w:val="en-IN"/>
        </w:rPr>
        <w:t>Optimal equity capital requirements for large Swiss banks</w:t>
      </w:r>
      <w:r w:rsidRPr="005D7A60">
        <w:rPr>
          <w:rFonts w:ascii="Times New Roman" w:hAnsi="Times New Roman"/>
          <w:lang w:val="en-IN"/>
        </w:rPr>
        <w:t xml:space="preserve">. Swiss Journal of Economics and Statistics, 154(1), 22. </w:t>
      </w:r>
      <w:hyperlink r:id="rId31" w:tgtFrame="_new" w:history="1">
        <w:r w:rsidRPr="005D7A60">
          <w:rPr>
            <w:rStyle w:val="Hyperlink"/>
            <w:rFonts w:ascii="Times New Roman" w:hAnsi="Times New Roman"/>
            <w:lang w:val="en-IN"/>
          </w:rPr>
          <w:t>https://doi.org/10.1186/s41937-018-0025-z</w:t>
        </w:r>
      </w:hyperlink>
    </w:p>
    <w:p w14:paraId="758B6C61" w14:textId="77777777" w:rsidR="00C16401" w:rsidRPr="005D7A60" w:rsidRDefault="00C16401" w:rsidP="00C16401">
      <w:pPr>
        <w:pStyle w:val="Bibliography"/>
        <w:rPr>
          <w:rFonts w:ascii="Times New Roman" w:hAnsi="Times New Roman"/>
          <w:lang w:val="en-IN"/>
        </w:rPr>
      </w:pPr>
      <w:r w:rsidRPr="005D7A60">
        <w:rPr>
          <w:rFonts w:ascii="Times New Roman" w:hAnsi="Times New Roman"/>
          <w:lang w:val="de-DE"/>
        </w:rPr>
        <w:t xml:space="preserve">Kellner, R., Nagl, W., &amp; Rösch, D. (2022). </w:t>
      </w:r>
      <w:r w:rsidRPr="005D7A60">
        <w:rPr>
          <w:rFonts w:ascii="Times New Roman" w:hAnsi="Times New Roman"/>
          <w:i/>
          <w:iCs/>
          <w:lang w:val="en-IN"/>
        </w:rPr>
        <w:t>Deep learning in credit risk: Evidence from mortgage portfolios</w:t>
      </w:r>
      <w:r w:rsidRPr="005D7A60">
        <w:rPr>
          <w:rFonts w:ascii="Times New Roman" w:hAnsi="Times New Roman"/>
          <w:lang w:val="en-IN"/>
        </w:rPr>
        <w:t>. Journal of Credit Risk, 18(1), 1–27. https://doi.org/10.21314/JCR.2022.328</w:t>
      </w:r>
    </w:p>
    <w:p w14:paraId="00C9B88F" w14:textId="77777777" w:rsidR="00C16401" w:rsidRPr="005D7A60" w:rsidRDefault="00C16401" w:rsidP="00C16401">
      <w:pPr>
        <w:pStyle w:val="Bibliography"/>
        <w:rPr>
          <w:rFonts w:ascii="Times New Roman" w:hAnsi="Times New Roman"/>
          <w:lang w:val="en-IN"/>
        </w:rPr>
      </w:pPr>
      <w:proofErr w:type="spellStart"/>
      <w:r w:rsidRPr="005D7A60">
        <w:rPr>
          <w:rFonts w:ascii="Times New Roman" w:hAnsi="Times New Roman"/>
          <w:lang w:val="en-IN"/>
        </w:rPr>
        <w:lastRenderedPageBreak/>
        <w:t>Khandani</w:t>
      </w:r>
      <w:proofErr w:type="spellEnd"/>
      <w:r w:rsidRPr="005D7A60">
        <w:rPr>
          <w:rFonts w:ascii="Times New Roman" w:hAnsi="Times New Roman"/>
          <w:lang w:val="en-IN"/>
        </w:rPr>
        <w:t xml:space="preserve">, A. E., Kim, A. J., &amp; Lo, A. W. (2010). </w:t>
      </w:r>
      <w:r w:rsidRPr="005D7A60">
        <w:rPr>
          <w:rFonts w:ascii="Times New Roman" w:hAnsi="Times New Roman"/>
          <w:i/>
          <w:iCs/>
          <w:lang w:val="en-IN"/>
        </w:rPr>
        <w:t>Consumer credit-risk models via machine-learning algorithms</w:t>
      </w:r>
      <w:r w:rsidRPr="005D7A60">
        <w:rPr>
          <w:rFonts w:ascii="Times New Roman" w:hAnsi="Times New Roman"/>
          <w:lang w:val="en-IN"/>
        </w:rPr>
        <w:t xml:space="preserve">. Journal of Banking and Finance, 34(11), 2767–2787. </w:t>
      </w:r>
      <w:hyperlink r:id="rId32" w:tgtFrame="_new" w:history="1">
        <w:r w:rsidRPr="005D7A60">
          <w:rPr>
            <w:rStyle w:val="Hyperlink"/>
            <w:rFonts w:ascii="Times New Roman" w:hAnsi="Times New Roman"/>
            <w:lang w:val="en-IN"/>
          </w:rPr>
          <w:t>https://doi.org/10.1016/j.jbankfin.2010.06.001</w:t>
        </w:r>
      </w:hyperlink>
    </w:p>
    <w:p w14:paraId="55B9E80A" w14:textId="77777777" w:rsidR="00C16401" w:rsidRPr="005D7A60" w:rsidRDefault="00C16401" w:rsidP="00C16401">
      <w:pPr>
        <w:pStyle w:val="Bibliography"/>
        <w:rPr>
          <w:rFonts w:ascii="Times New Roman" w:hAnsi="Times New Roman"/>
          <w:lang w:val="en-IN"/>
        </w:rPr>
      </w:pPr>
      <w:r w:rsidRPr="005D7A60">
        <w:rPr>
          <w:rFonts w:ascii="Times New Roman" w:hAnsi="Times New Roman"/>
          <w:lang w:val="de-DE"/>
        </w:rPr>
        <w:t xml:space="preserve">Kozodoi, N., Lessmann, S., &amp; Schmidt, W. (2022). </w:t>
      </w:r>
      <w:r w:rsidRPr="005D7A60">
        <w:rPr>
          <w:rFonts w:ascii="Times New Roman" w:hAnsi="Times New Roman"/>
          <w:i/>
          <w:iCs/>
          <w:lang w:val="en-IN"/>
        </w:rPr>
        <w:t>Fairness in credit scoring: Assessment and mitigation</w:t>
      </w:r>
      <w:r w:rsidRPr="005D7A60">
        <w:rPr>
          <w:rFonts w:ascii="Times New Roman" w:hAnsi="Times New Roman"/>
          <w:lang w:val="en-IN"/>
        </w:rPr>
        <w:t>. Omega, 110, 102615. https://doi.org/10.1016/j.omega.2022.102615</w:t>
      </w:r>
    </w:p>
    <w:p w14:paraId="5807BA46" w14:textId="77777777" w:rsidR="00C16401" w:rsidRPr="005D7A60" w:rsidRDefault="00C16401" w:rsidP="00C16401">
      <w:pPr>
        <w:pStyle w:val="Bibliography"/>
        <w:rPr>
          <w:rFonts w:ascii="Times New Roman" w:hAnsi="Times New Roman"/>
          <w:lang w:val="en-IN"/>
        </w:rPr>
      </w:pPr>
      <w:r w:rsidRPr="005D7A60">
        <w:rPr>
          <w:rFonts w:ascii="Times New Roman" w:hAnsi="Times New Roman"/>
          <w:lang w:val="en-IN"/>
        </w:rPr>
        <w:t xml:space="preserve">Lessmann, S., </w:t>
      </w:r>
      <w:proofErr w:type="spellStart"/>
      <w:r w:rsidRPr="005D7A60">
        <w:rPr>
          <w:rFonts w:ascii="Times New Roman" w:hAnsi="Times New Roman"/>
          <w:lang w:val="en-IN"/>
        </w:rPr>
        <w:t>Baesens</w:t>
      </w:r>
      <w:proofErr w:type="spellEnd"/>
      <w:r w:rsidRPr="005D7A60">
        <w:rPr>
          <w:rFonts w:ascii="Times New Roman" w:hAnsi="Times New Roman"/>
          <w:lang w:val="en-IN"/>
        </w:rPr>
        <w:t xml:space="preserve">, B., Seow, H.-V., &amp; Thomas, L. C. (2015). </w:t>
      </w:r>
      <w:r w:rsidRPr="005D7A60">
        <w:rPr>
          <w:rFonts w:ascii="Times New Roman" w:hAnsi="Times New Roman"/>
          <w:i/>
          <w:iCs/>
          <w:lang w:val="en-IN"/>
        </w:rPr>
        <w:t>Benchmarking state-of-the-art classification algorithms for credit scoring: An update of research</w:t>
      </w:r>
      <w:r w:rsidRPr="005D7A60">
        <w:rPr>
          <w:rFonts w:ascii="Times New Roman" w:hAnsi="Times New Roman"/>
          <w:lang w:val="en-IN"/>
        </w:rPr>
        <w:t xml:space="preserve">. European Journal of Operational Research, 247(1), 124–136. </w:t>
      </w:r>
      <w:hyperlink r:id="rId33" w:tgtFrame="_new" w:history="1">
        <w:r w:rsidRPr="005D7A60">
          <w:rPr>
            <w:rStyle w:val="Hyperlink"/>
            <w:rFonts w:ascii="Times New Roman" w:hAnsi="Times New Roman"/>
            <w:lang w:val="en-IN"/>
          </w:rPr>
          <w:t>https://doi.org/10.1016/j.ejor.2015.05.030</w:t>
        </w:r>
      </w:hyperlink>
    </w:p>
    <w:p w14:paraId="3B81F149" w14:textId="77777777" w:rsidR="00C16401" w:rsidRPr="005D7A60" w:rsidRDefault="00C16401" w:rsidP="00C16401">
      <w:pPr>
        <w:pStyle w:val="Bibliography"/>
        <w:rPr>
          <w:rFonts w:ascii="Times New Roman" w:hAnsi="Times New Roman"/>
          <w:lang w:val="en-IN"/>
        </w:rPr>
      </w:pPr>
      <w:r w:rsidRPr="005D7A60">
        <w:rPr>
          <w:rFonts w:ascii="Times New Roman" w:hAnsi="Times New Roman"/>
          <w:lang w:val="de-DE"/>
        </w:rPr>
        <w:t xml:space="preserve">Louzada, F., Ara, A., &amp; Fernandes, G. B. (2016). </w:t>
      </w:r>
      <w:r w:rsidRPr="005D7A60">
        <w:rPr>
          <w:rFonts w:ascii="Times New Roman" w:hAnsi="Times New Roman"/>
          <w:i/>
          <w:iCs/>
          <w:lang w:val="en-IN"/>
        </w:rPr>
        <w:t>Credit risk analysis using machine learning classifiers: A survey and new perspectives</w:t>
      </w:r>
      <w:r w:rsidRPr="005D7A60">
        <w:rPr>
          <w:rFonts w:ascii="Times New Roman" w:hAnsi="Times New Roman"/>
          <w:lang w:val="en-IN"/>
        </w:rPr>
        <w:t>. Computers &amp; Operations Research, 74, 1–13. https://doi.org/10.1016/j.cor.2016.04.013</w:t>
      </w:r>
    </w:p>
    <w:p w14:paraId="03125FE8" w14:textId="77777777" w:rsidR="00C16401" w:rsidRPr="005D7A60" w:rsidRDefault="00C16401" w:rsidP="00C16401">
      <w:pPr>
        <w:pStyle w:val="Bibliography"/>
        <w:rPr>
          <w:rFonts w:ascii="Times New Roman" w:hAnsi="Times New Roman"/>
          <w:lang w:val="en-IN"/>
        </w:rPr>
      </w:pPr>
      <w:r w:rsidRPr="005D7A60">
        <w:rPr>
          <w:rFonts w:ascii="Times New Roman" w:hAnsi="Times New Roman"/>
          <w:lang w:val="en-IN"/>
        </w:rPr>
        <w:t xml:space="preserve">Nazemi, A., &amp; Fabozzi, F. (2024). </w:t>
      </w:r>
      <w:r w:rsidRPr="005D7A60">
        <w:rPr>
          <w:rFonts w:ascii="Times New Roman" w:hAnsi="Times New Roman"/>
          <w:i/>
          <w:iCs/>
          <w:lang w:val="en-IN"/>
        </w:rPr>
        <w:t>Supervisory explainability with generative AI: Applications for finance</w:t>
      </w:r>
      <w:r w:rsidRPr="005D7A60">
        <w:rPr>
          <w:rFonts w:ascii="Times New Roman" w:hAnsi="Times New Roman"/>
          <w:lang w:val="en-IN"/>
        </w:rPr>
        <w:t>. Journal of Financial Data Science, 6(2), 55–72. https://doi.org/10.3905/jfds.2024.6.2.055</w:t>
      </w:r>
    </w:p>
    <w:p w14:paraId="72F5E759" w14:textId="77777777" w:rsidR="00C16401" w:rsidRPr="005D7A60" w:rsidRDefault="00C16401" w:rsidP="00C16401">
      <w:pPr>
        <w:pStyle w:val="Bibliography"/>
        <w:rPr>
          <w:rFonts w:ascii="Times New Roman" w:hAnsi="Times New Roman"/>
          <w:lang w:val="en-IN"/>
        </w:rPr>
      </w:pPr>
      <w:r w:rsidRPr="005D7A60">
        <w:rPr>
          <w:rFonts w:ascii="Times New Roman" w:hAnsi="Times New Roman"/>
          <w:lang w:val="en-IN"/>
        </w:rPr>
        <w:t xml:space="preserve">Park, S., Choi, J., &amp; Kim, S. (2021). </w:t>
      </w:r>
      <w:r w:rsidRPr="005D7A60">
        <w:rPr>
          <w:rFonts w:ascii="Times New Roman" w:hAnsi="Times New Roman"/>
          <w:i/>
          <w:iCs/>
          <w:lang w:val="en-IN"/>
        </w:rPr>
        <w:t>The consequences of non-compliance in banking regulation: Evidence from international banks</w:t>
      </w:r>
      <w:r w:rsidRPr="005D7A60">
        <w:rPr>
          <w:rFonts w:ascii="Times New Roman" w:hAnsi="Times New Roman"/>
          <w:lang w:val="en-IN"/>
        </w:rPr>
        <w:t>. Journal of Banking Regulation, 22(4), 310–328. https://doi.org/10.1057/s41261-020-00154-1</w:t>
      </w:r>
    </w:p>
    <w:p w14:paraId="5EB937A5" w14:textId="77777777" w:rsidR="00C16401" w:rsidRPr="005D7A60" w:rsidRDefault="00C16401" w:rsidP="00C16401">
      <w:pPr>
        <w:pStyle w:val="Bibliography"/>
        <w:rPr>
          <w:rFonts w:ascii="Times New Roman" w:hAnsi="Times New Roman"/>
          <w:lang w:val="en-IN"/>
        </w:rPr>
      </w:pPr>
      <w:r w:rsidRPr="005D7A60">
        <w:rPr>
          <w:rFonts w:ascii="Times New Roman" w:hAnsi="Times New Roman"/>
          <w:lang w:val="en-IN"/>
        </w:rPr>
        <w:t xml:space="preserve">Raffel, C., </w:t>
      </w:r>
      <w:proofErr w:type="spellStart"/>
      <w:r w:rsidRPr="005D7A60">
        <w:rPr>
          <w:rFonts w:ascii="Times New Roman" w:hAnsi="Times New Roman"/>
          <w:lang w:val="en-IN"/>
        </w:rPr>
        <w:t>Shazeer</w:t>
      </w:r>
      <w:proofErr w:type="spellEnd"/>
      <w:r w:rsidRPr="005D7A60">
        <w:rPr>
          <w:rFonts w:ascii="Times New Roman" w:hAnsi="Times New Roman"/>
          <w:lang w:val="en-IN"/>
        </w:rPr>
        <w:t xml:space="preserve">, N., Roberts, A., Lee, K., Narang, S., </w:t>
      </w:r>
      <w:proofErr w:type="spellStart"/>
      <w:r w:rsidRPr="005D7A60">
        <w:rPr>
          <w:rFonts w:ascii="Times New Roman" w:hAnsi="Times New Roman"/>
          <w:lang w:val="en-IN"/>
        </w:rPr>
        <w:t>Matena</w:t>
      </w:r>
      <w:proofErr w:type="spellEnd"/>
      <w:r w:rsidRPr="005D7A60">
        <w:rPr>
          <w:rFonts w:ascii="Times New Roman" w:hAnsi="Times New Roman"/>
          <w:lang w:val="en-IN"/>
        </w:rPr>
        <w:t xml:space="preserve">, M., … Liu, P. J. (2020). </w:t>
      </w:r>
      <w:r w:rsidRPr="005D7A60">
        <w:rPr>
          <w:rFonts w:ascii="Times New Roman" w:hAnsi="Times New Roman"/>
          <w:i/>
          <w:iCs/>
          <w:lang w:val="en-IN"/>
        </w:rPr>
        <w:t>Exploring the limits of transfer learning with a unified text-to-text transformer</w:t>
      </w:r>
      <w:r w:rsidRPr="005D7A60">
        <w:rPr>
          <w:rFonts w:ascii="Times New Roman" w:hAnsi="Times New Roman"/>
          <w:lang w:val="en-IN"/>
        </w:rPr>
        <w:t>. Journal of Machine Learning Research, 21, 5485–5551. https://arxiv.org/abs/1910.10683</w:t>
      </w:r>
    </w:p>
    <w:p w14:paraId="02989E85" w14:textId="77777777" w:rsidR="00C16401" w:rsidRPr="005D7A60" w:rsidRDefault="00C16401" w:rsidP="00C16401">
      <w:pPr>
        <w:pStyle w:val="Bibliography"/>
        <w:rPr>
          <w:rFonts w:ascii="Times New Roman" w:hAnsi="Times New Roman"/>
          <w:lang w:val="en-IN"/>
        </w:rPr>
      </w:pPr>
      <w:r w:rsidRPr="005D7A60">
        <w:rPr>
          <w:rFonts w:ascii="Times New Roman" w:hAnsi="Times New Roman"/>
          <w:lang w:val="en-IN"/>
        </w:rPr>
        <w:t xml:space="preserve">Shrivastav, S. (2019). </w:t>
      </w:r>
      <w:r w:rsidRPr="005D7A60">
        <w:rPr>
          <w:rFonts w:ascii="Times New Roman" w:hAnsi="Times New Roman"/>
          <w:i/>
          <w:iCs/>
          <w:lang w:val="en-IN"/>
        </w:rPr>
        <w:t>The global financial crisis and banking sector vulnerability</w:t>
      </w:r>
      <w:r w:rsidRPr="005D7A60">
        <w:rPr>
          <w:rFonts w:ascii="Times New Roman" w:hAnsi="Times New Roman"/>
          <w:lang w:val="en-IN"/>
        </w:rPr>
        <w:t>. International Journal of Finance &amp; Economics, 24(1), 87–103. https://doi.org/10.1002/ijfe.1650</w:t>
      </w:r>
    </w:p>
    <w:p w14:paraId="3406052C" w14:textId="77777777" w:rsidR="00C16401" w:rsidRPr="005D7A60" w:rsidRDefault="00C16401" w:rsidP="00C16401">
      <w:pPr>
        <w:pStyle w:val="Bibliography"/>
        <w:rPr>
          <w:rFonts w:ascii="Times New Roman" w:hAnsi="Times New Roman"/>
          <w:lang w:val="en-IN"/>
        </w:rPr>
      </w:pPr>
      <w:r w:rsidRPr="005D7A60">
        <w:rPr>
          <w:rFonts w:ascii="Times New Roman" w:hAnsi="Times New Roman"/>
          <w:lang w:val="en-IN"/>
        </w:rPr>
        <w:t xml:space="preserve">Sigrist, F., &amp; Leuenberger, N. (2023). </w:t>
      </w:r>
      <w:r w:rsidRPr="005D7A60">
        <w:rPr>
          <w:rFonts w:ascii="Times New Roman" w:hAnsi="Times New Roman"/>
          <w:i/>
          <w:iCs/>
          <w:lang w:val="en-IN"/>
        </w:rPr>
        <w:t xml:space="preserve">Machine learning for corporate default risk: </w:t>
      </w:r>
      <w:proofErr w:type="gramStart"/>
      <w:r w:rsidRPr="005D7A60">
        <w:rPr>
          <w:rFonts w:ascii="Times New Roman" w:hAnsi="Times New Roman"/>
          <w:i/>
          <w:iCs/>
          <w:lang w:val="en-IN"/>
        </w:rPr>
        <w:t>Multi-period</w:t>
      </w:r>
      <w:proofErr w:type="gramEnd"/>
      <w:r w:rsidRPr="005D7A60">
        <w:rPr>
          <w:rFonts w:ascii="Times New Roman" w:hAnsi="Times New Roman"/>
          <w:i/>
          <w:iCs/>
          <w:lang w:val="en-IN"/>
        </w:rPr>
        <w:t xml:space="preserve"> prediction, frailty correlation, loan portfolios, and tail probabilities</w:t>
      </w:r>
      <w:r w:rsidRPr="005D7A60">
        <w:rPr>
          <w:rFonts w:ascii="Times New Roman" w:hAnsi="Times New Roman"/>
          <w:lang w:val="en-IN"/>
        </w:rPr>
        <w:t xml:space="preserve">. European Journal of Operational Research, 305(3), 1390–1406. </w:t>
      </w:r>
      <w:hyperlink r:id="rId34" w:tgtFrame="_new" w:history="1">
        <w:r w:rsidRPr="005D7A60">
          <w:rPr>
            <w:rStyle w:val="Hyperlink"/>
            <w:rFonts w:ascii="Times New Roman" w:hAnsi="Times New Roman"/>
            <w:lang w:val="en-IN"/>
          </w:rPr>
          <w:t>https://doi.org/10.1016/j.ejor.2022.06.035</w:t>
        </w:r>
      </w:hyperlink>
    </w:p>
    <w:p w14:paraId="66012CF2" w14:textId="77777777" w:rsidR="00C16401" w:rsidRPr="005D7A60" w:rsidRDefault="00C16401" w:rsidP="00C16401">
      <w:pPr>
        <w:pStyle w:val="Bibliography"/>
        <w:rPr>
          <w:rFonts w:ascii="Times New Roman" w:hAnsi="Times New Roman"/>
          <w:lang w:val="en-IN"/>
        </w:rPr>
      </w:pPr>
      <w:r w:rsidRPr="005D7A60">
        <w:rPr>
          <w:rFonts w:ascii="Times New Roman" w:hAnsi="Times New Roman"/>
          <w:lang w:val="en-IN"/>
        </w:rPr>
        <w:t xml:space="preserve">Singh, R., Mehra, P., &amp; Sharma, A. (2024). </w:t>
      </w:r>
      <w:r w:rsidRPr="005D7A60">
        <w:rPr>
          <w:rFonts w:ascii="Times New Roman" w:hAnsi="Times New Roman"/>
          <w:i/>
          <w:iCs/>
          <w:lang w:val="en-IN"/>
        </w:rPr>
        <w:t>AI in credit risk modelling: A survey of methods and applications</w:t>
      </w:r>
      <w:r w:rsidRPr="005D7A60">
        <w:rPr>
          <w:rFonts w:ascii="Times New Roman" w:hAnsi="Times New Roman"/>
          <w:lang w:val="en-IN"/>
        </w:rPr>
        <w:t>. Journal of Risk Finance, 25(2), 145–162.</w:t>
      </w:r>
    </w:p>
    <w:p w14:paraId="56262717" w14:textId="77777777" w:rsidR="00C16401" w:rsidRPr="005D7A60" w:rsidRDefault="00C16401" w:rsidP="00C16401">
      <w:pPr>
        <w:pStyle w:val="Bibliography"/>
        <w:rPr>
          <w:rFonts w:ascii="Times New Roman" w:hAnsi="Times New Roman"/>
          <w:lang w:val="en-IN"/>
        </w:rPr>
      </w:pPr>
      <w:r w:rsidRPr="005D7A60">
        <w:rPr>
          <w:rFonts w:ascii="Times New Roman" w:hAnsi="Times New Roman"/>
          <w:lang w:val="en-IN"/>
        </w:rPr>
        <w:t xml:space="preserve">Tavana, M., Abtahi, A.-R., Khalili-Damghani, K., &amp; Santos-Arteaga, F. J. (2018). </w:t>
      </w:r>
      <w:r w:rsidRPr="005D7A60">
        <w:rPr>
          <w:rFonts w:ascii="Times New Roman" w:hAnsi="Times New Roman"/>
          <w:i/>
          <w:iCs/>
          <w:lang w:val="en-IN"/>
        </w:rPr>
        <w:t>A review of predictive analytics in banking: Applications and methodologies</w:t>
      </w:r>
      <w:r w:rsidRPr="005D7A60">
        <w:rPr>
          <w:rFonts w:ascii="Times New Roman" w:hAnsi="Times New Roman"/>
          <w:lang w:val="en-IN"/>
        </w:rPr>
        <w:t>. Annals of Operations Research, 270, 311–339. https://doi.org/10.1007/s10479-017-2493-6</w:t>
      </w:r>
    </w:p>
    <w:p w14:paraId="10B67BC5" w14:textId="77777777" w:rsidR="00C16401" w:rsidRPr="005D7A60" w:rsidRDefault="00C16401" w:rsidP="00C16401">
      <w:pPr>
        <w:pStyle w:val="Bibliography"/>
        <w:rPr>
          <w:rFonts w:ascii="Times New Roman" w:hAnsi="Times New Roman"/>
          <w:lang w:val="en-IN"/>
        </w:rPr>
      </w:pPr>
      <w:r w:rsidRPr="005D7A60">
        <w:rPr>
          <w:rFonts w:ascii="Times New Roman" w:hAnsi="Times New Roman"/>
          <w:lang w:val="en-IN"/>
        </w:rPr>
        <w:t xml:space="preserve">The Basel Committee on Banking Supervision. (1988). </w:t>
      </w:r>
      <w:r w:rsidRPr="005D7A60">
        <w:rPr>
          <w:rFonts w:ascii="Times New Roman" w:hAnsi="Times New Roman"/>
          <w:i/>
          <w:iCs/>
          <w:lang w:val="en-IN"/>
        </w:rPr>
        <w:t>International convergence of capital measurement and capital standards</w:t>
      </w:r>
      <w:r w:rsidRPr="005D7A60">
        <w:rPr>
          <w:rFonts w:ascii="Times New Roman" w:hAnsi="Times New Roman"/>
          <w:lang w:val="en-IN"/>
        </w:rPr>
        <w:t xml:space="preserve"> (Basel I). https://www.bis.org/publ/bcbs04a.htm</w:t>
      </w:r>
    </w:p>
    <w:p w14:paraId="43B6E2F2" w14:textId="77777777" w:rsidR="00C16401" w:rsidRPr="005D7A60" w:rsidRDefault="00C16401" w:rsidP="00C16401">
      <w:pPr>
        <w:pStyle w:val="Bibliography"/>
        <w:rPr>
          <w:rFonts w:ascii="Times New Roman" w:hAnsi="Times New Roman"/>
          <w:lang w:val="en-IN"/>
        </w:rPr>
      </w:pPr>
      <w:r w:rsidRPr="005D7A60">
        <w:rPr>
          <w:rFonts w:ascii="Times New Roman" w:hAnsi="Times New Roman"/>
          <w:lang w:val="en-IN"/>
        </w:rPr>
        <w:t xml:space="preserve">The Basel Committee on Banking Supervision. (2004). </w:t>
      </w:r>
      <w:r w:rsidRPr="005D7A60">
        <w:rPr>
          <w:rFonts w:ascii="Times New Roman" w:hAnsi="Times New Roman"/>
          <w:i/>
          <w:iCs/>
          <w:lang w:val="en-IN"/>
        </w:rPr>
        <w:t>International convergence of capital measurement and capital standards: A revised framework</w:t>
      </w:r>
      <w:r w:rsidRPr="005D7A60">
        <w:rPr>
          <w:rFonts w:ascii="Times New Roman" w:hAnsi="Times New Roman"/>
          <w:lang w:val="en-IN"/>
        </w:rPr>
        <w:t xml:space="preserve"> (Basel II). https://www.bis.org/publ/bcbs107.htm</w:t>
      </w:r>
    </w:p>
    <w:p w14:paraId="5A2D4876" w14:textId="77777777" w:rsidR="00C16401" w:rsidRPr="005D7A60" w:rsidRDefault="00C16401" w:rsidP="00C16401">
      <w:pPr>
        <w:pStyle w:val="Bibliography"/>
        <w:rPr>
          <w:rFonts w:ascii="Times New Roman" w:hAnsi="Times New Roman"/>
          <w:lang w:val="en-IN"/>
        </w:rPr>
      </w:pPr>
      <w:r w:rsidRPr="005D7A60">
        <w:rPr>
          <w:rFonts w:ascii="Times New Roman" w:hAnsi="Times New Roman"/>
          <w:lang w:val="en-IN"/>
        </w:rPr>
        <w:lastRenderedPageBreak/>
        <w:t xml:space="preserve">The Basel Committee on Banking Supervision. (2010, rev. 2011). </w:t>
      </w:r>
      <w:r w:rsidRPr="005D7A60">
        <w:rPr>
          <w:rFonts w:ascii="Times New Roman" w:hAnsi="Times New Roman"/>
          <w:i/>
          <w:iCs/>
          <w:lang w:val="en-IN"/>
        </w:rPr>
        <w:t>Basel III: A global regulatory framework for more resilient banks and banking systems</w:t>
      </w:r>
      <w:r w:rsidRPr="005D7A60">
        <w:rPr>
          <w:rFonts w:ascii="Times New Roman" w:hAnsi="Times New Roman"/>
          <w:lang w:val="en-IN"/>
        </w:rPr>
        <w:t>. https://www.bis.org/publ/bcbs189.htm</w:t>
      </w:r>
    </w:p>
    <w:p w14:paraId="1641BBF3" w14:textId="77777777" w:rsidR="00C16401" w:rsidRPr="005D7A60" w:rsidRDefault="00C16401" w:rsidP="00C16401">
      <w:pPr>
        <w:pStyle w:val="Bibliography"/>
        <w:rPr>
          <w:rFonts w:ascii="Times New Roman" w:hAnsi="Times New Roman"/>
          <w:lang w:val="en-IN"/>
        </w:rPr>
      </w:pPr>
      <w:r w:rsidRPr="005D7A60">
        <w:rPr>
          <w:rFonts w:ascii="Times New Roman" w:hAnsi="Times New Roman"/>
          <w:lang w:val="en-IN"/>
        </w:rPr>
        <w:t xml:space="preserve">The Basel Committee on Banking Supervision. (2017). </w:t>
      </w:r>
      <w:r w:rsidRPr="005D7A60">
        <w:rPr>
          <w:rFonts w:ascii="Times New Roman" w:hAnsi="Times New Roman"/>
          <w:i/>
          <w:iCs/>
          <w:lang w:val="en-IN"/>
        </w:rPr>
        <w:t>Basel III: Finalising post-crisis reforms</w:t>
      </w:r>
      <w:r w:rsidRPr="005D7A60">
        <w:rPr>
          <w:rFonts w:ascii="Times New Roman" w:hAnsi="Times New Roman"/>
          <w:lang w:val="en-IN"/>
        </w:rPr>
        <w:t xml:space="preserve"> (Basel 3.1). https://www.bis.org/bcbs/publ/d424.htm</w:t>
      </w:r>
    </w:p>
    <w:p w14:paraId="72D40E06" w14:textId="77777777" w:rsidR="00C16401" w:rsidRPr="005D7A60" w:rsidRDefault="00C16401" w:rsidP="00C16401">
      <w:pPr>
        <w:pStyle w:val="Bibliography"/>
        <w:rPr>
          <w:rFonts w:ascii="Times New Roman" w:hAnsi="Times New Roman"/>
          <w:lang w:val="en-IN"/>
        </w:rPr>
      </w:pPr>
      <w:r w:rsidRPr="005D7A60">
        <w:rPr>
          <w:rFonts w:ascii="Times New Roman" w:hAnsi="Times New Roman"/>
          <w:lang w:val="en-IN"/>
        </w:rPr>
        <w:t>The Basel Framework. (n.d.). Bank for International Settlements. https://www.bis.org/basel_framework/</w:t>
      </w:r>
    </w:p>
    <w:p w14:paraId="4C2AF796" w14:textId="77777777" w:rsidR="00C16401" w:rsidRPr="005D7A60" w:rsidRDefault="00C16401" w:rsidP="00C16401">
      <w:pPr>
        <w:pStyle w:val="Bibliography"/>
        <w:rPr>
          <w:rFonts w:ascii="Times New Roman" w:hAnsi="Times New Roman"/>
          <w:lang w:val="en-IN"/>
        </w:rPr>
      </w:pPr>
      <w:proofErr w:type="spellStart"/>
      <w:r w:rsidRPr="005D7A60">
        <w:rPr>
          <w:rFonts w:ascii="Times New Roman" w:hAnsi="Times New Roman"/>
          <w:lang w:val="en-IN"/>
        </w:rPr>
        <w:t>Touvron</w:t>
      </w:r>
      <w:proofErr w:type="spellEnd"/>
      <w:r w:rsidRPr="005D7A60">
        <w:rPr>
          <w:rFonts w:ascii="Times New Roman" w:hAnsi="Times New Roman"/>
          <w:lang w:val="en-IN"/>
        </w:rPr>
        <w:t xml:space="preserve">, H., et al. (2023). </w:t>
      </w:r>
      <w:proofErr w:type="spellStart"/>
      <w:r w:rsidRPr="005D7A60">
        <w:rPr>
          <w:rFonts w:ascii="Times New Roman" w:hAnsi="Times New Roman"/>
          <w:i/>
          <w:iCs/>
          <w:lang w:val="en-IN"/>
        </w:rPr>
        <w:t>LLaMA</w:t>
      </w:r>
      <w:proofErr w:type="spellEnd"/>
      <w:r w:rsidRPr="005D7A60">
        <w:rPr>
          <w:rFonts w:ascii="Times New Roman" w:hAnsi="Times New Roman"/>
          <w:i/>
          <w:iCs/>
          <w:lang w:val="en-IN"/>
        </w:rPr>
        <w:t>: Open and efficient foundation language models</w:t>
      </w:r>
      <w:r w:rsidRPr="005D7A60">
        <w:rPr>
          <w:rFonts w:ascii="Times New Roman" w:hAnsi="Times New Roman"/>
          <w:lang w:val="en-IN"/>
        </w:rPr>
        <w:t xml:space="preserve">. </w:t>
      </w:r>
      <w:proofErr w:type="spellStart"/>
      <w:r w:rsidRPr="005D7A60">
        <w:rPr>
          <w:rFonts w:ascii="Times New Roman" w:hAnsi="Times New Roman"/>
          <w:lang w:val="en-IN"/>
        </w:rPr>
        <w:t>arXiv</w:t>
      </w:r>
      <w:proofErr w:type="spellEnd"/>
      <w:r w:rsidRPr="005D7A60">
        <w:rPr>
          <w:rFonts w:ascii="Times New Roman" w:hAnsi="Times New Roman"/>
          <w:lang w:val="en-IN"/>
        </w:rPr>
        <w:t xml:space="preserve"> preprint arXiv:2302.13971. https://arxiv.org/abs/2302.13971</w:t>
      </w:r>
    </w:p>
    <w:p w14:paraId="276915A1" w14:textId="77777777" w:rsidR="00C16401" w:rsidRPr="005D7A60" w:rsidRDefault="00C16401" w:rsidP="00C16401">
      <w:pPr>
        <w:pStyle w:val="Bibliography"/>
        <w:rPr>
          <w:rFonts w:ascii="Times New Roman" w:hAnsi="Times New Roman"/>
          <w:lang w:val="en-IN"/>
        </w:rPr>
      </w:pPr>
      <w:r w:rsidRPr="005D7A60">
        <w:rPr>
          <w:rFonts w:ascii="Times New Roman" w:hAnsi="Times New Roman"/>
          <w:lang w:val="en-IN"/>
        </w:rPr>
        <w:t xml:space="preserve">Vaswani, A., </w:t>
      </w:r>
      <w:proofErr w:type="spellStart"/>
      <w:r w:rsidRPr="005D7A60">
        <w:rPr>
          <w:rFonts w:ascii="Times New Roman" w:hAnsi="Times New Roman"/>
          <w:lang w:val="en-IN"/>
        </w:rPr>
        <w:t>Shazeer</w:t>
      </w:r>
      <w:proofErr w:type="spellEnd"/>
      <w:r w:rsidRPr="005D7A60">
        <w:rPr>
          <w:rFonts w:ascii="Times New Roman" w:hAnsi="Times New Roman"/>
          <w:lang w:val="en-IN"/>
        </w:rPr>
        <w:t xml:space="preserve">, N., Parmar, N., </w:t>
      </w:r>
      <w:proofErr w:type="spellStart"/>
      <w:r w:rsidRPr="005D7A60">
        <w:rPr>
          <w:rFonts w:ascii="Times New Roman" w:hAnsi="Times New Roman"/>
          <w:lang w:val="en-IN"/>
        </w:rPr>
        <w:t>Uszkoreit</w:t>
      </w:r>
      <w:proofErr w:type="spellEnd"/>
      <w:r w:rsidRPr="005D7A60">
        <w:rPr>
          <w:rFonts w:ascii="Times New Roman" w:hAnsi="Times New Roman"/>
          <w:lang w:val="en-IN"/>
        </w:rPr>
        <w:t xml:space="preserve">, J., Jones, L., Gomez, A. N., … </w:t>
      </w:r>
      <w:proofErr w:type="spellStart"/>
      <w:r w:rsidRPr="005D7A60">
        <w:rPr>
          <w:rFonts w:ascii="Times New Roman" w:hAnsi="Times New Roman"/>
          <w:lang w:val="en-IN"/>
        </w:rPr>
        <w:t>Polosukhin</w:t>
      </w:r>
      <w:proofErr w:type="spellEnd"/>
      <w:r w:rsidRPr="005D7A60">
        <w:rPr>
          <w:rFonts w:ascii="Times New Roman" w:hAnsi="Times New Roman"/>
          <w:lang w:val="en-IN"/>
        </w:rPr>
        <w:t xml:space="preserve">, I. (2017). </w:t>
      </w:r>
      <w:r w:rsidRPr="005D7A60">
        <w:rPr>
          <w:rFonts w:ascii="Times New Roman" w:hAnsi="Times New Roman"/>
          <w:i/>
          <w:iCs/>
          <w:lang w:val="en-IN"/>
        </w:rPr>
        <w:t>Attention is all you need</w:t>
      </w:r>
      <w:r w:rsidRPr="005D7A60">
        <w:rPr>
          <w:rFonts w:ascii="Times New Roman" w:hAnsi="Times New Roman"/>
          <w:lang w:val="en-IN"/>
        </w:rPr>
        <w:t>. Advances in Neural Information Processing Systems, 30. https://arxiv.org/abs/1706.03762</w:t>
      </w:r>
    </w:p>
    <w:p w14:paraId="056F76B1" w14:textId="77777777" w:rsidR="00C16401" w:rsidRPr="005D7A60" w:rsidRDefault="00C16401" w:rsidP="00C16401">
      <w:pPr>
        <w:pStyle w:val="Bibliography"/>
        <w:rPr>
          <w:rFonts w:ascii="Times New Roman" w:hAnsi="Times New Roman"/>
          <w:lang w:val="en-IN"/>
        </w:rPr>
      </w:pPr>
      <w:r w:rsidRPr="005D7A60">
        <w:rPr>
          <w:rFonts w:ascii="Times New Roman" w:hAnsi="Times New Roman"/>
          <w:lang w:val="en-IN"/>
        </w:rPr>
        <w:t xml:space="preserve">Wong, K., &amp; Wong, J. (2021). </w:t>
      </w:r>
      <w:r w:rsidRPr="005D7A60">
        <w:rPr>
          <w:rFonts w:ascii="Times New Roman" w:hAnsi="Times New Roman"/>
          <w:i/>
          <w:iCs/>
          <w:lang w:val="en-IN"/>
        </w:rPr>
        <w:t>Regulatory compliance and financial stability: Evidence from Asian banks</w:t>
      </w:r>
      <w:r w:rsidRPr="005D7A60">
        <w:rPr>
          <w:rFonts w:ascii="Times New Roman" w:hAnsi="Times New Roman"/>
          <w:lang w:val="en-IN"/>
        </w:rPr>
        <w:t>. Journal of Asian Economics, 74, 101319. https://doi.org/10.1016/j.asieco.2021.101319</w:t>
      </w:r>
    </w:p>
    <w:p w14:paraId="2029166E" w14:textId="77777777" w:rsidR="00C16401" w:rsidRPr="005D7A60" w:rsidRDefault="00C16401" w:rsidP="00C16401">
      <w:pPr>
        <w:pStyle w:val="Bibliography"/>
        <w:rPr>
          <w:rFonts w:ascii="Times New Roman" w:hAnsi="Times New Roman"/>
          <w:lang w:val="en-IN"/>
        </w:rPr>
      </w:pPr>
      <w:r w:rsidRPr="005D7A60">
        <w:rPr>
          <w:rFonts w:ascii="Times New Roman" w:hAnsi="Times New Roman"/>
          <w:lang w:val="en-IN"/>
        </w:rPr>
        <w:t xml:space="preserve">Yeh, I. C., &amp; Lien, C. H. (2009). </w:t>
      </w:r>
      <w:r w:rsidRPr="005D7A60">
        <w:rPr>
          <w:rFonts w:ascii="Times New Roman" w:hAnsi="Times New Roman"/>
          <w:i/>
          <w:iCs/>
          <w:lang w:val="en-IN"/>
        </w:rPr>
        <w:t>The comparisons of data mining techniques for the predictive accuracy of probability of default of credit card clients</w:t>
      </w:r>
      <w:r w:rsidRPr="005D7A60">
        <w:rPr>
          <w:rFonts w:ascii="Times New Roman" w:hAnsi="Times New Roman"/>
          <w:lang w:val="en-IN"/>
        </w:rPr>
        <w:t>. Expert Systems with Applications, 36(2), 2473–2480. https://doi.org/10.1016/j.eswa.2007.12.020</w:t>
      </w:r>
    </w:p>
    <w:sectPr w:rsidR="00C16401" w:rsidRPr="005D7A60" w:rsidSect="00D911B2">
      <w:endnotePr>
        <w:numFmt w:val="decimal"/>
      </w:endnotePr>
      <w:pgSz w:w="12240" w:h="15840" w:code="1"/>
      <w:pgMar w:top="1440" w:right="1440" w:bottom="1440" w:left="1440"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03ECB1" w14:textId="77777777" w:rsidR="00C80F0A" w:rsidRDefault="00C80F0A">
      <w:r>
        <w:separator/>
      </w:r>
    </w:p>
  </w:endnote>
  <w:endnote w:type="continuationSeparator" w:id="0">
    <w:p w14:paraId="53472166" w14:textId="77777777" w:rsidR="00C80F0A" w:rsidRDefault="00C80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43A17" w14:textId="77777777" w:rsidR="00700F0C" w:rsidRDefault="00052ECB">
    <w:pPr>
      <w:widowControl w:val="0"/>
      <w:autoSpaceDE w:val="0"/>
      <w:autoSpaceDN w:val="0"/>
      <w:adjustRightInd w:val="0"/>
      <w:jc w:val="center"/>
      <w:rPr>
        <w:rFonts w:ascii="Candara" w:hAnsi="Candara" w:cs="Candara"/>
      </w:rPr>
    </w:pPr>
    <w:r>
      <w:rPr>
        <w:rFonts w:ascii="Candara" w:hAnsi="Candara" w:cs="Candara"/>
      </w:rPr>
      <w:fldChar w:fldCharType="begin"/>
    </w:r>
    <w:r>
      <w:rPr>
        <w:rFonts w:ascii="Candara" w:hAnsi="Candara" w:cs="Candara"/>
      </w:rPr>
      <w:instrText>PAGE</w:instrText>
    </w:r>
    <w:r>
      <w:rPr>
        <w:rFonts w:ascii="Candara" w:hAnsi="Candara" w:cs="Candara"/>
      </w:rPr>
      <w:fldChar w:fldCharType="separate"/>
    </w:r>
    <w:r>
      <w:rPr>
        <w:rFonts w:ascii="Candara" w:hAnsi="Candara" w:cs="Candara"/>
      </w:rPr>
      <w:t>XXX</w:t>
    </w:r>
    <w:r>
      <w:rPr>
        <w:rFonts w:ascii="Candara" w:hAnsi="Candara" w:cs="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9E039B" w14:textId="77777777" w:rsidR="00C80F0A" w:rsidRDefault="00C80F0A">
      <w:r>
        <w:separator/>
      </w:r>
    </w:p>
  </w:footnote>
  <w:footnote w:type="continuationSeparator" w:id="0">
    <w:p w14:paraId="71BBC40B" w14:textId="77777777" w:rsidR="00C80F0A" w:rsidRDefault="00C80F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EB4FD" w14:textId="77777777" w:rsidR="009E2668" w:rsidRDefault="009E2668">
    <w:pPr>
      <w:pStyle w:val="Header"/>
      <w:jc w:val="right"/>
    </w:pPr>
    <w:r>
      <w:fldChar w:fldCharType="begin"/>
    </w:r>
    <w:r>
      <w:instrText xml:space="preserve"> PAGE   \* MERGEFORMAT </w:instrText>
    </w:r>
    <w:r>
      <w:fldChar w:fldCharType="separate"/>
    </w:r>
    <w:r>
      <w:rPr>
        <w:noProof/>
      </w:rPr>
      <w:t>2</w:t>
    </w:r>
    <w:r>
      <w:rPr>
        <w:noProof/>
      </w:rPr>
      <w:fldChar w:fldCharType="end"/>
    </w:r>
  </w:p>
  <w:p w14:paraId="53E43A16" w14:textId="77777777" w:rsidR="00700F0C" w:rsidRDefault="00700F0C">
    <w:pPr>
      <w:widowControl w:val="0"/>
      <w:autoSpaceDE w:val="0"/>
      <w:autoSpaceDN w:val="0"/>
      <w:adjustRightInd w:val="0"/>
      <w:rPr>
        <w:rFonts w:ascii="Courier New" w:hAnsi="Courier New" w:cs="Courier Ne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F58A5CA2">
      <w:start w:val="1"/>
      <w:numFmt w:val="decimal"/>
      <w:lvlText w:val="%1."/>
      <w:lvlJc w:val="left"/>
      <w:pPr>
        <w:ind w:left="720" w:hanging="500"/>
      </w:pPr>
      <w:rPr>
        <w:rFonts w:ascii="Times New Roman" w:hAnsi="Times New Roman"/>
        <w:b w:val="0"/>
        <w:i w:val="0"/>
        <w:sz w:val="22"/>
      </w:rPr>
    </w:lvl>
    <w:lvl w:ilvl="1" w:tplc="3B847FC8">
      <w:start w:val="1"/>
      <w:numFmt w:val="decimal"/>
      <w:lvlText w:val=""/>
      <w:lvlJc w:val="left"/>
    </w:lvl>
    <w:lvl w:ilvl="2" w:tplc="94BA4E52">
      <w:start w:val="1"/>
      <w:numFmt w:val="decimal"/>
      <w:lvlText w:val=""/>
      <w:lvlJc w:val="left"/>
    </w:lvl>
    <w:lvl w:ilvl="3" w:tplc="FCC6CFFE">
      <w:start w:val="1"/>
      <w:numFmt w:val="decimal"/>
      <w:lvlText w:val=""/>
      <w:lvlJc w:val="left"/>
    </w:lvl>
    <w:lvl w:ilvl="4" w:tplc="F672299A">
      <w:start w:val="1"/>
      <w:numFmt w:val="decimal"/>
      <w:lvlText w:val=""/>
      <w:lvlJc w:val="left"/>
    </w:lvl>
    <w:lvl w:ilvl="5" w:tplc="43F2237E">
      <w:start w:val="1"/>
      <w:numFmt w:val="decimal"/>
      <w:lvlText w:val=""/>
      <w:lvlJc w:val="left"/>
    </w:lvl>
    <w:lvl w:ilvl="6" w:tplc="DFC04D88">
      <w:start w:val="1"/>
      <w:numFmt w:val="decimal"/>
      <w:lvlText w:val=""/>
      <w:lvlJc w:val="left"/>
    </w:lvl>
    <w:lvl w:ilvl="7" w:tplc="D8D87508">
      <w:start w:val="1"/>
      <w:numFmt w:val="decimal"/>
      <w:lvlText w:val=""/>
      <w:lvlJc w:val="left"/>
    </w:lvl>
    <w:lvl w:ilvl="8" w:tplc="4B9C1008">
      <w:start w:val="1"/>
      <w:numFmt w:val="decimal"/>
      <w:lvlText w:val=""/>
      <w:lvlJc w:val="left"/>
    </w:lvl>
  </w:abstractNum>
  <w:abstractNum w:abstractNumId="1" w15:restartNumberingAfterBreak="0">
    <w:nsid w:val="02DC70DA"/>
    <w:multiLevelType w:val="hybridMultilevel"/>
    <w:tmpl w:val="7B7244BA"/>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9412FC6"/>
    <w:multiLevelType w:val="hybridMultilevel"/>
    <w:tmpl w:val="07209416"/>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0B351BB3"/>
    <w:multiLevelType w:val="multilevel"/>
    <w:tmpl w:val="BBF8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EF4429"/>
    <w:multiLevelType w:val="multilevel"/>
    <w:tmpl w:val="32BE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D03AF"/>
    <w:multiLevelType w:val="hybridMultilevel"/>
    <w:tmpl w:val="24F6631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0BB5B8D"/>
    <w:multiLevelType w:val="hybridMultilevel"/>
    <w:tmpl w:val="F2322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29465B"/>
    <w:multiLevelType w:val="multilevel"/>
    <w:tmpl w:val="94E0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762B9"/>
    <w:multiLevelType w:val="multilevel"/>
    <w:tmpl w:val="2856B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D81ACA"/>
    <w:multiLevelType w:val="hybridMultilevel"/>
    <w:tmpl w:val="C7440F0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69739F1"/>
    <w:multiLevelType w:val="multilevel"/>
    <w:tmpl w:val="0FD2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BB304E"/>
    <w:multiLevelType w:val="hybridMultilevel"/>
    <w:tmpl w:val="AE0A3F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424055F0"/>
    <w:multiLevelType w:val="multilevel"/>
    <w:tmpl w:val="4210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C74314"/>
    <w:multiLevelType w:val="hybridMultilevel"/>
    <w:tmpl w:val="1E306376"/>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48AA6995"/>
    <w:multiLevelType w:val="multilevel"/>
    <w:tmpl w:val="A670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D85F75"/>
    <w:multiLevelType w:val="multilevel"/>
    <w:tmpl w:val="AD7E6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624AA6"/>
    <w:multiLevelType w:val="multilevel"/>
    <w:tmpl w:val="1490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7F22A0"/>
    <w:multiLevelType w:val="multilevel"/>
    <w:tmpl w:val="FCC6D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524B45"/>
    <w:multiLevelType w:val="multilevel"/>
    <w:tmpl w:val="DA5C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4E2899"/>
    <w:multiLevelType w:val="multilevel"/>
    <w:tmpl w:val="3F26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7D19B1"/>
    <w:multiLevelType w:val="multilevel"/>
    <w:tmpl w:val="AAB8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585CCA"/>
    <w:multiLevelType w:val="multilevel"/>
    <w:tmpl w:val="F6DE5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C83830"/>
    <w:multiLevelType w:val="multilevel"/>
    <w:tmpl w:val="A4E6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0638ED"/>
    <w:multiLevelType w:val="multilevel"/>
    <w:tmpl w:val="1906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427E14"/>
    <w:multiLevelType w:val="hybridMultilevel"/>
    <w:tmpl w:val="9DDC84D2"/>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6B9A48EF"/>
    <w:multiLevelType w:val="hybridMultilevel"/>
    <w:tmpl w:val="8B7CBB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EAC11D5"/>
    <w:multiLevelType w:val="multilevel"/>
    <w:tmpl w:val="88B29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CE7AE2"/>
    <w:multiLevelType w:val="hybridMultilevel"/>
    <w:tmpl w:val="E53847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728C37DE"/>
    <w:multiLevelType w:val="hybridMultilevel"/>
    <w:tmpl w:val="ECA631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74BD3A08"/>
    <w:multiLevelType w:val="multilevel"/>
    <w:tmpl w:val="F1BC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BE52E5"/>
    <w:multiLevelType w:val="multilevel"/>
    <w:tmpl w:val="D91C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A37E5E"/>
    <w:multiLevelType w:val="multilevel"/>
    <w:tmpl w:val="672C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384F59"/>
    <w:multiLevelType w:val="multilevel"/>
    <w:tmpl w:val="88EA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3702508">
    <w:abstractNumId w:val="0"/>
  </w:num>
  <w:num w:numId="2" w16cid:durableId="467088919">
    <w:abstractNumId w:val="21"/>
  </w:num>
  <w:num w:numId="3" w16cid:durableId="99372885">
    <w:abstractNumId w:val="14"/>
  </w:num>
  <w:num w:numId="4" w16cid:durableId="1753316332">
    <w:abstractNumId w:val="12"/>
  </w:num>
  <w:num w:numId="5" w16cid:durableId="362248002">
    <w:abstractNumId w:val="15"/>
  </w:num>
  <w:num w:numId="6" w16cid:durableId="1494493164">
    <w:abstractNumId w:val="30"/>
  </w:num>
  <w:num w:numId="7" w16cid:durableId="1792741630">
    <w:abstractNumId w:val="20"/>
  </w:num>
  <w:num w:numId="8" w16cid:durableId="116799627">
    <w:abstractNumId w:val="4"/>
  </w:num>
  <w:num w:numId="9" w16cid:durableId="1374503939">
    <w:abstractNumId w:val="29"/>
  </w:num>
  <w:num w:numId="10" w16cid:durableId="1285846671">
    <w:abstractNumId w:val="32"/>
  </w:num>
  <w:num w:numId="11" w16cid:durableId="421728133">
    <w:abstractNumId w:val="7"/>
  </w:num>
  <w:num w:numId="12" w16cid:durableId="546844020">
    <w:abstractNumId w:val="28"/>
  </w:num>
  <w:num w:numId="13" w16cid:durableId="604382216">
    <w:abstractNumId w:val="13"/>
  </w:num>
  <w:num w:numId="14" w16cid:durableId="860245625">
    <w:abstractNumId w:val="1"/>
  </w:num>
  <w:num w:numId="15" w16cid:durableId="1106078461">
    <w:abstractNumId w:val="11"/>
  </w:num>
  <w:num w:numId="16" w16cid:durableId="1927809204">
    <w:abstractNumId w:val="2"/>
  </w:num>
  <w:num w:numId="17" w16cid:durableId="113669916">
    <w:abstractNumId w:val="24"/>
  </w:num>
  <w:num w:numId="18" w16cid:durableId="1313946118">
    <w:abstractNumId w:val="9"/>
  </w:num>
  <w:num w:numId="19" w16cid:durableId="1722630213">
    <w:abstractNumId w:val="22"/>
  </w:num>
  <w:num w:numId="20" w16cid:durableId="164637276">
    <w:abstractNumId w:val="16"/>
  </w:num>
  <w:num w:numId="21" w16cid:durableId="697780745">
    <w:abstractNumId w:val="18"/>
  </w:num>
  <w:num w:numId="22" w16cid:durableId="1876699501">
    <w:abstractNumId w:val="27"/>
  </w:num>
  <w:num w:numId="23" w16cid:durableId="810512545">
    <w:abstractNumId w:val="5"/>
  </w:num>
  <w:num w:numId="24" w16cid:durableId="2120417549">
    <w:abstractNumId w:val="25"/>
  </w:num>
  <w:num w:numId="25" w16cid:durableId="1318612889">
    <w:abstractNumId w:val="23"/>
  </w:num>
  <w:num w:numId="26" w16cid:durableId="1952203007">
    <w:abstractNumId w:val="19"/>
  </w:num>
  <w:num w:numId="27" w16cid:durableId="1690446340">
    <w:abstractNumId w:val="10"/>
  </w:num>
  <w:num w:numId="28" w16cid:durableId="1774402057">
    <w:abstractNumId w:val="8"/>
  </w:num>
  <w:num w:numId="29" w16cid:durableId="1020396037">
    <w:abstractNumId w:val="6"/>
  </w:num>
  <w:num w:numId="30" w16cid:durableId="1901479517">
    <w:abstractNumId w:val="31"/>
  </w:num>
  <w:num w:numId="31" w16cid:durableId="1402481601">
    <w:abstractNumId w:val="26"/>
  </w:num>
  <w:num w:numId="32" w16cid:durableId="1348798067">
    <w:abstractNumId w:val="17"/>
  </w:num>
  <w:num w:numId="33" w16cid:durableId="3674917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oNotTrackMoves/>
  <w:defaultTabStop w:val="1200"/>
  <w:doNotShadeFormData/>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00F0C"/>
    <w:rsid w:val="0000173F"/>
    <w:rsid w:val="0000478E"/>
    <w:rsid w:val="00004AAC"/>
    <w:rsid w:val="000102DA"/>
    <w:rsid w:val="000113F3"/>
    <w:rsid w:val="00021757"/>
    <w:rsid w:val="000372AD"/>
    <w:rsid w:val="000458DF"/>
    <w:rsid w:val="00046D12"/>
    <w:rsid w:val="00051162"/>
    <w:rsid w:val="00052ECB"/>
    <w:rsid w:val="00064526"/>
    <w:rsid w:val="0006756C"/>
    <w:rsid w:val="0008459D"/>
    <w:rsid w:val="00084A6D"/>
    <w:rsid w:val="00084D5C"/>
    <w:rsid w:val="00086676"/>
    <w:rsid w:val="0009217C"/>
    <w:rsid w:val="000926F1"/>
    <w:rsid w:val="000967E1"/>
    <w:rsid w:val="000974C0"/>
    <w:rsid w:val="000A1CEA"/>
    <w:rsid w:val="000A4B9A"/>
    <w:rsid w:val="000A67AC"/>
    <w:rsid w:val="000B20E9"/>
    <w:rsid w:val="000B58A5"/>
    <w:rsid w:val="000B5CCE"/>
    <w:rsid w:val="000C16B5"/>
    <w:rsid w:val="000C7119"/>
    <w:rsid w:val="000D1769"/>
    <w:rsid w:val="000E2787"/>
    <w:rsid w:val="000E3734"/>
    <w:rsid w:val="000F022D"/>
    <w:rsid w:val="000F1485"/>
    <w:rsid w:val="000F39E5"/>
    <w:rsid w:val="000F3B59"/>
    <w:rsid w:val="00102C31"/>
    <w:rsid w:val="001108EF"/>
    <w:rsid w:val="001112BE"/>
    <w:rsid w:val="00111434"/>
    <w:rsid w:val="0012664B"/>
    <w:rsid w:val="00131DAF"/>
    <w:rsid w:val="00132470"/>
    <w:rsid w:val="00141408"/>
    <w:rsid w:val="0014200D"/>
    <w:rsid w:val="00144AE0"/>
    <w:rsid w:val="00152753"/>
    <w:rsid w:val="001542C5"/>
    <w:rsid w:val="00163936"/>
    <w:rsid w:val="00170916"/>
    <w:rsid w:val="001724D4"/>
    <w:rsid w:val="00173853"/>
    <w:rsid w:val="0017754A"/>
    <w:rsid w:val="00182808"/>
    <w:rsid w:val="00183BDA"/>
    <w:rsid w:val="00187222"/>
    <w:rsid w:val="00193632"/>
    <w:rsid w:val="00194EB5"/>
    <w:rsid w:val="001A6DD1"/>
    <w:rsid w:val="001B1930"/>
    <w:rsid w:val="001B361B"/>
    <w:rsid w:val="001B4AAA"/>
    <w:rsid w:val="001B67A1"/>
    <w:rsid w:val="001C1ADA"/>
    <w:rsid w:val="001C6F1B"/>
    <w:rsid w:val="001C767B"/>
    <w:rsid w:val="001D58A0"/>
    <w:rsid w:val="001E04BC"/>
    <w:rsid w:val="001E4186"/>
    <w:rsid w:val="001F093B"/>
    <w:rsid w:val="00204B83"/>
    <w:rsid w:val="00206BF7"/>
    <w:rsid w:val="00207587"/>
    <w:rsid w:val="002110A3"/>
    <w:rsid w:val="002149A9"/>
    <w:rsid w:val="00233445"/>
    <w:rsid w:val="00233E28"/>
    <w:rsid w:val="00243500"/>
    <w:rsid w:val="00253687"/>
    <w:rsid w:val="00255DF2"/>
    <w:rsid w:val="002563E7"/>
    <w:rsid w:val="002565EE"/>
    <w:rsid w:val="00256E67"/>
    <w:rsid w:val="00260EE3"/>
    <w:rsid w:val="00285FE6"/>
    <w:rsid w:val="00290020"/>
    <w:rsid w:val="00292207"/>
    <w:rsid w:val="002B51B9"/>
    <w:rsid w:val="002B6572"/>
    <w:rsid w:val="002D7176"/>
    <w:rsid w:val="002E3C5D"/>
    <w:rsid w:val="002E58A3"/>
    <w:rsid w:val="00300F1E"/>
    <w:rsid w:val="00306F9D"/>
    <w:rsid w:val="00312730"/>
    <w:rsid w:val="00330FEF"/>
    <w:rsid w:val="003567CE"/>
    <w:rsid w:val="00360B82"/>
    <w:rsid w:val="003635B8"/>
    <w:rsid w:val="00365C80"/>
    <w:rsid w:val="00371164"/>
    <w:rsid w:val="003740A4"/>
    <w:rsid w:val="00376E92"/>
    <w:rsid w:val="003775F4"/>
    <w:rsid w:val="003A1E14"/>
    <w:rsid w:val="003A4831"/>
    <w:rsid w:val="003A5CD4"/>
    <w:rsid w:val="003B00F0"/>
    <w:rsid w:val="003B213E"/>
    <w:rsid w:val="003B70DB"/>
    <w:rsid w:val="003B7373"/>
    <w:rsid w:val="003B76A0"/>
    <w:rsid w:val="003C333F"/>
    <w:rsid w:val="003C371D"/>
    <w:rsid w:val="003C6135"/>
    <w:rsid w:val="003D65E3"/>
    <w:rsid w:val="003E01A2"/>
    <w:rsid w:val="003E0703"/>
    <w:rsid w:val="003E0E66"/>
    <w:rsid w:val="003F1842"/>
    <w:rsid w:val="003F4397"/>
    <w:rsid w:val="00411801"/>
    <w:rsid w:val="0041708D"/>
    <w:rsid w:val="00422D4D"/>
    <w:rsid w:val="00430071"/>
    <w:rsid w:val="00432DF5"/>
    <w:rsid w:val="004359EC"/>
    <w:rsid w:val="00461A5D"/>
    <w:rsid w:val="00462D92"/>
    <w:rsid w:val="0046587C"/>
    <w:rsid w:val="00470E90"/>
    <w:rsid w:val="00471A6A"/>
    <w:rsid w:val="00477AA9"/>
    <w:rsid w:val="00484D98"/>
    <w:rsid w:val="0049420D"/>
    <w:rsid w:val="00494833"/>
    <w:rsid w:val="004A2821"/>
    <w:rsid w:val="004A360C"/>
    <w:rsid w:val="004A51A1"/>
    <w:rsid w:val="004B43F8"/>
    <w:rsid w:val="004B6578"/>
    <w:rsid w:val="004C1AB2"/>
    <w:rsid w:val="004D06AC"/>
    <w:rsid w:val="004D59E0"/>
    <w:rsid w:val="004D6639"/>
    <w:rsid w:val="004E6422"/>
    <w:rsid w:val="004E645C"/>
    <w:rsid w:val="004F3232"/>
    <w:rsid w:val="004F4B0E"/>
    <w:rsid w:val="0050407C"/>
    <w:rsid w:val="00511196"/>
    <w:rsid w:val="0051203A"/>
    <w:rsid w:val="00512900"/>
    <w:rsid w:val="00513CCB"/>
    <w:rsid w:val="005159C3"/>
    <w:rsid w:val="00532AEB"/>
    <w:rsid w:val="00544872"/>
    <w:rsid w:val="00546548"/>
    <w:rsid w:val="00547F39"/>
    <w:rsid w:val="00550318"/>
    <w:rsid w:val="005524D0"/>
    <w:rsid w:val="005650A3"/>
    <w:rsid w:val="005663BF"/>
    <w:rsid w:val="0056763B"/>
    <w:rsid w:val="00572B41"/>
    <w:rsid w:val="0057403B"/>
    <w:rsid w:val="00577FF0"/>
    <w:rsid w:val="005810C5"/>
    <w:rsid w:val="00590EFA"/>
    <w:rsid w:val="00595B4F"/>
    <w:rsid w:val="00596346"/>
    <w:rsid w:val="005A2B23"/>
    <w:rsid w:val="005A6E84"/>
    <w:rsid w:val="005B0DA6"/>
    <w:rsid w:val="005D2595"/>
    <w:rsid w:val="005D6235"/>
    <w:rsid w:val="005D7A60"/>
    <w:rsid w:val="005D7AA0"/>
    <w:rsid w:val="005F576E"/>
    <w:rsid w:val="005F750C"/>
    <w:rsid w:val="005F7756"/>
    <w:rsid w:val="00603C38"/>
    <w:rsid w:val="00604F37"/>
    <w:rsid w:val="006108C8"/>
    <w:rsid w:val="00613ECA"/>
    <w:rsid w:val="006202AF"/>
    <w:rsid w:val="0062637A"/>
    <w:rsid w:val="0063722A"/>
    <w:rsid w:val="00642D03"/>
    <w:rsid w:val="00644348"/>
    <w:rsid w:val="006544C2"/>
    <w:rsid w:val="00661663"/>
    <w:rsid w:val="00662745"/>
    <w:rsid w:val="00666CCA"/>
    <w:rsid w:val="00670091"/>
    <w:rsid w:val="00671A1D"/>
    <w:rsid w:val="00677E40"/>
    <w:rsid w:val="00686826"/>
    <w:rsid w:val="006913AF"/>
    <w:rsid w:val="0069237F"/>
    <w:rsid w:val="0069416C"/>
    <w:rsid w:val="00695155"/>
    <w:rsid w:val="00696092"/>
    <w:rsid w:val="006A7D38"/>
    <w:rsid w:val="006B165B"/>
    <w:rsid w:val="006B41BB"/>
    <w:rsid w:val="006C08EB"/>
    <w:rsid w:val="006C1600"/>
    <w:rsid w:val="006C3C7E"/>
    <w:rsid w:val="006C73CF"/>
    <w:rsid w:val="006D1116"/>
    <w:rsid w:val="006D4E21"/>
    <w:rsid w:val="006D5790"/>
    <w:rsid w:val="006E001C"/>
    <w:rsid w:val="006E12E6"/>
    <w:rsid w:val="006E1FF1"/>
    <w:rsid w:val="006F6378"/>
    <w:rsid w:val="006F689E"/>
    <w:rsid w:val="00700F0C"/>
    <w:rsid w:val="00717C76"/>
    <w:rsid w:val="007260CA"/>
    <w:rsid w:val="0073324F"/>
    <w:rsid w:val="00735840"/>
    <w:rsid w:val="00744F72"/>
    <w:rsid w:val="00746C0A"/>
    <w:rsid w:val="00752BF7"/>
    <w:rsid w:val="007550FB"/>
    <w:rsid w:val="00760BD9"/>
    <w:rsid w:val="00767CF4"/>
    <w:rsid w:val="007754FA"/>
    <w:rsid w:val="00776E55"/>
    <w:rsid w:val="00782BD3"/>
    <w:rsid w:val="00792C82"/>
    <w:rsid w:val="007954C4"/>
    <w:rsid w:val="007A46DC"/>
    <w:rsid w:val="007A6279"/>
    <w:rsid w:val="007A6EC1"/>
    <w:rsid w:val="007A75AF"/>
    <w:rsid w:val="007B2B96"/>
    <w:rsid w:val="007B7C56"/>
    <w:rsid w:val="007C1F9E"/>
    <w:rsid w:val="007C4828"/>
    <w:rsid w:val="007C4BAB"/>
    <w:rsid w:val="007D7E1E"/>
    <w:rsid w:val="007E7BAF"/>
    <w:rsid w:val="007E7E9F"/>
    <w:rsid w:val="00800AAB"/>
    <w:rsid w:val="008020A7"/>
    <w:rsid w:val="00805DAF"/>
    <w:rsid w:val="00807721"/>
    <w:rsid w:val="00813E74"/>
    <w:rsid w:val="00814C84"/>
    <w:rsid w:val="0081679F"/>
    <w:rsid w:val="00825401"/>
    <w:rsid w:val="00825A9C"/>
    <w:rsid w:val="008300C0"/>
    <w:rsid w:val="00833CC2"/>
    <w:rsid w:val="008344E6"/>
    <w:rsid w:val="00840320"/>
    <w:rsid w:val="008416A5"/>
    <w:rsid w:val="008421C4"/>
    <w:rsid w:val="00843B8D"/>
    <w:rsid w:val="0084611C"/>
    <w:rsid w:val="00847F57"/>
    <w:rsid w:val="00852691"/>
    <w:rsid w:val="008630CE"/>
    <w:rsid w:val="008639F7"/>
    <w:rsid w:val="0086668C"/>
    <w:rsid w:val="008715E5"/>
    <w:rsid w:val="008723BE"/>
    <w:rsid w:val="008801CB"/>
    <w:rsid w:val="00880A6F"/>
    <w:rsid w:val="00884A8D"/>
    <w:rsid w:val="008853A1"/>
    <w:rsid w:val="008965EE"/>
    <w:rsid w:val="00897E4C"/>
    <w:rsid w:val="008A1940"/>
    <w:rsid w:val="008A1D43"/>
    <w:rsid w:val="008A2E8C"/>
    <w:rsid w:val="008A3B4A"/>
    <w:rsid w:val="008A78BB"/>
    <w:rsid w:val="008A7D9F"/>
    <w:rsid w:val="008B1A53"/>
    <w:rsid w:val="008B59DE"/>
    <w:rsid w:val="008B62A5"/>
    <w:rsid w:val="008C0E5D"/>
    <w:rsid w:val="008C159C"/>
    <w:rsid w:val="008C37B2"/>
    <w:rsid w:val="008C48E7"/>
    <w:rsid w:val="008C50C6"/>
    <w:rsid w:val="008C53B8"/>
    <w:rsid w:val="008C5524"/>
    <w:rsid w:val="008D36F2"/>
    <w:rsid w:val="008E1CD9"/>
    <w:rsid w:val="008E5A14"/>
    <w:rsid w:val="008F122B"/>
    <w:rsid w:val="008F24D1"/>
    <w:rsid w:val="008F2DAB"/>
    <w:rsid w:val="008F3CA4"/>
    <w:rsid w:val="008F5ED2"/>
    <w:rsid w:val="008F76D7"/>
    <w:rsid w:val="009023A3"/>
    <w:rsid w:val="00912CE2"/>
    <w:rsid w:val="00912F64"/>
    <w:rsid w:val="00913942"/>
    <w:rsid w:val="00917BC1"/>
    <w:rsid w:val="00920327"/>
    <w:rsid w:val="00924F66"/>
    <w:rsid w:val="00931929"/>
    <w:rsid w:val="00945380"/>
    <w:rsid w:val="00946759"/>
    <w:rsid w:val="00957F1C"/>
    <w:rsid w:val="00960B5C"/>
    <w:rsid w:val="00962A61"/>
    <w:rsid w:val="00967555"/>
    <w:rsid w:val="009700AD"/>
    <w:rsid w:val="009715D7"/>
    <w:rsid w:val="00973E18"/>
    <w:rsid w:val="00974FBD"/>
    <w:rsid w:val="00975734"/>
    <w:rsid w:val="009767C8"/>
    <w:rsid w:val="00987B96"/>
    <w:rsid w:val="009931D4"/>
    <w:rsid w:val="009953E9"/>
    <w:rsid w:val="009A1676"/>
    <w:rsid w:val="009A1986"/>
    <w:rsid w:val="009B5E7C"/>
    <w:rsid w:val="009B6D85"/>
    <w:rsid w:val="009C1D15"/>
    <w:rsid w:val="009C2F6E"/>
    <w:rsid w:val="009D5C1F"/>
    <w:rsid w:val="009E2668"/>
    <w:rsid w:val="009E3069"/>
    <w:rsid w:val="009E55A7"/>
    <w:rsid w:val="009E63C9"/>
    <w:rsid w:val="009E6F87"/>
    <w:rsid w:val="009F52ED"/>
    <w:rsid w:val="009F71A3"/>
    <w:rsid w:val="00A03D4A"/>
    <w:rsid w:val="00A04FF6"/>
    <w:rsid w:val="00A17FD6"/>
    <w:rsid w:val="00A21412"/>
    <w:rsid w:val="00A215E7"/>
    <w:rsid w:val="00A22418"/>
    <w:rsid w:val="00A25DCC"/>
    <w:rsid w:val="00A310EB"/>
    <w:rsid w:val="00A3679A"/>
    <w:rsid w:val="00A44A3C"/>
    <w:rsid w:val="00A502C8"/>
    <w:rsid w:val="00A5129A"/>
    <w:rsid w:val="00A531AB"/>
    <w:rsid w:val="00A552CC"/>
    <w:rsid w:val="00A63093"/>
    <w:rsid w:val="00A7265F"/>
    <w:rsid w:val="00A754C0"/>
    <w:rsid w:val="00A8081C"/>
    <w:rsid w:val="00A84478"/>
    <w:rsid w:val="00A92E7C"/>
    <w:rsid w:val="00A932D4"/>
    <w:rsid w:val="00A95B55"/>
    <w:rsid w:val="00AB5AE1"/>
    <w:rsid w:val="00AB669D"/>
    <w:rsid w:val="00AC2852"/>
    <w:rsid w:val="00AC5220"/>
    <w:rsid w:val="00AD030E"/>
    <w:rsid w:val="00AD1B94"/>
    <w:rsid w:val="00AD7223"/>
    <w:rsid w:val="00AE5796"/>
    <w:rsid w:val="00AE787F"/>
    <w:rsid w:val="00AF138D"/>
    <w:rsid w:val="00AF58BF"/>
    <w:rsid w:val="00AF76BC"/>
    <w:rsid w:val="00B324E0"/>
    <w:rsid w:val="00B371B8"/>
    <w:rsid w:val="00B37816"/>
    <w:rsid w:val="00B40E8A"/>
    <w:rsid w:val="00B45103"/>
    <w:rsid w:val="00B50F42"/>
    <w:rsid w:val="00B527BC"/>
    <w:rsid w:val="00B5371F"/>
    <w:rsid w:val="00B6770E"/>
    <w:rsid w:val="00B7051A"/>
    <w:rsid w:val="00B7263D"/>
    <w:rsid w:val="00B748BE"/>
    <w:rsid w:val="00B8049B"/>
    <w:rsid w:val="00B829EE"/>
    <w:rsid w:val="00B83DF6"/>
    <w:rsid w:val="00B9005B"/>
    <w:rsid w:val="00B97B5F"/>
    <w:rsid w:val="00BA1404"/>
    <w:rsid w:val="00BA160D"/>
    <w:rsid w:val="00BC07D5"/>
    <w:rsid w:val="00BC1564"/>
    <w:rsid w:val="00BC1A77"/>
    <w:rsid w:val="00BC6451"/>
    <w:rsid w:val="00BC71BD"/>
    <w:rsid w:val="00BC7821"/>
    <w:rsid w:val="00BD0749"/>
    <w:rsid w:val="00BD3835"/>
    <w:rsid w:val="00BD3AD8"/>
    <w:rsid w:val="00BE1759"/>
    <w:rsid w:val="00BE5148"/>
    <w:rsid w:val="00BF2DD8"/>
    <w:rsid w:val="00BF3CFD"/>
    <w:rsid w:val="00C00AFA"/>
    <w:rsid w:val="00C12696"/>
    <w:rsid w:val="00C16401"/>
    <w:rsid w:val="00C20EFB"/>
    <w:rsid w:val="00C21A58"/>
    <w:rsid w:val="00C24087"/>
    <w:rsid w:val="00C24E92"/>
    <w:rsid w:val="00C36695"/>
    <w:rsid w:val="00C40147"/>
    <w:rsid w:val="00C42101"/>
    <w:rsid w:val="00C559D8"/>
    <w:rsid w:val="00C62B68"/>
    <w:rsid w:val="00C6475E"/>
    <w:rsid w:val="00C72960"/>
    <w:rsid w:val="00C72D65"/>
    <w:rsid w:val="00C75E79"/>
    <w:rsid w:val="00C77EB6"/>
    <w:rsid w:val="00C80F0A"/>
    <w:rsid w:val="00C93122"/>
    <w:rsid w:val="00C942B9"/>
    <w:rsid w:val="00C9583E"/>
    <w:rsid w:val="00CB1197"/>
    <w:rsid w:val="00CB26F7"/>
    <w:rsid w:val="00CB3600"/>
    <w:rsid w:val="00CB60B1"/>
    <w:rsid w:val="00CC0443"/>
    <w:rsid w:val="00CC1216"/>
    <w:rsid w:val="00CC12CD"/>
    <w:rsid w:val="00CC4557"/>
    <w:rsid w:val="00CC5D4A"/>
    <w:rsid w:val="00CD038F"/>
    <w:rsid w:val="00CE49B4"/>
    <w:rsid w:val="00CE63A2"/>
    <w:rsid w:val="00CF0C23"/>
    <w:rsid w:val="00D0683F"/>
    <w:rsid w:val="00D11EAE"/>
    <w:rsid w:val="00D138EC"/>
    <w:rsid w:val="00D1667E"/>
    <w:rsid w:val="00D16D7E"/>
    <w:rsid w:val="00D21680"/>
    <w:rsid w:val="00D240D2"/>
    <w:rsid w:val="00D242CE"/>
    <w:rsid w:val="00D358E3"/>
    <w:rsid w:val="00D406EA"/>
    <w:rsid w:val="00D43A09"/>
    <w:rsid w:val="00D47350"/>
    <w:rsid w:val="00D51054"/>
    <w:rsid w:val="00D6356F"/>
    <w:rsid w:val="00D63D3F"/>
    <w:rsid w:val="00D66907"/>
    <w:rsid w:val="00D80F23"/>
    <w:rsid w:val="00D84B4A"/>
    <w:rsid w:val="00D86C90"/>
    <w:rsid w:val="00D911B2"/>
    <w:rsid w:val="00D96C4F"/>
    <w:rsid w:val="00DA0D90"/>
    <w:rsid w:val="00DB2BB8"/>
    <w:rsid w:val="00DB4275"/>
    <w:rsid w:val="00DC65CC"/>
    <w:rsid w:val="00DD32CC"/>
    <w:rsid w:val="00DF1465"/>
    <w:rsid w:val="00DF372E"/>
    <w:rsid w:val="00E02FAF"/>
    <w:rsid w:val="00E06727"/>
    <w:rsid w:val="00E07B3C"/>
    <w:rsid w:val="00E13E1B"/>
    <w:rsid w:val="00E16347"/>
    <w:rsid w:val="00E17AE4"/>
    <w:rsid w:val="00E226D9"/>
    <w:rsid w:val="00E25817"/>
    <w:rsid w:val="00E2594F"/>
    <w:rsid w:val="00E26837"/>
    <w:rsid w:val="00E31D2B"/>
    <w:rsid w:val="00E36A79"/>
    <w:rsid w:val="00E405BA"/>
    <w:rsid w:val="00E45ABF"/>
    <w:rsid w:val="00E4791D"/>
    <w:rsid w:val="00E52F43"/>
    <w:rsid w:val="00E545BA"/>
    <w:rsid w:val="00E6286F"/>
    <w:rsid w:val="00E72393"/>
    <w:rsid w:val="00E72889"/>
    <w:rsid w:val="00E7418B"/>
    <w:rsid w:val="00E8233B"/>
    <w:rsid w:val="00E9339E"/>
    <w:rsid w:val="00E93956"/>
    <w:rsid w:val="00EA4A3A"/>
    <w:rsid w:val="00EA5B58"/>
    <w:rsid w:val="00EB3E29"/>
    <w:rsid w:val="00EC2A02"/>
    <w:rsid w:val="00EC7FC7"/>
    <w:rsid w:val="00ED1F97"/>
    <w:rsid w:val="00ED57E1"/>
    <w:rsid w:val="00ED59C2"/>
    <w:rsid w:val="00ED6127"/>
    <w:rsid w:val="00EE16EB"/>
    <w:rsid w:val="00EE5FFC"/>
    <w:rsid w:val="00EF3744"/>
    <w:rsid w:val="00F062CC"/>
    <w:rsid w:val="00F243C4"/>
    <w:rsid w:val="00F25EEB"/>
    <w:rsid w:val="00F324B6"/>
    <w:rsid w:val="00F45F6B"/>
    <w:rsid w:val="00F56B9D"/>
    <w:rsid w:val="00F60629"/>
    <w:rsid w:val="00F725BC"/>
    <w:rsid w:val="00F80EAD"/>
    <w:rsid w:val="00F83517"/>
    <w:rsid w:val="00F856D8"/>
    <w:rsid w:val="00F90F39"/>
    <w:rsid w:val="00FA1CB8"/>
    <w:rsid w:val="00FA26A8"/>
    <w:rsid w:val="00FA7CD5"/>
    <w:rsid w:val="00FB19F2"/>
    <w:rsid w:val="00FB3BF3"/>
    <w:rsid w:val="00FB5441"/>
    <w:rsid w:val="00FB6701"/>
    <w:rsid w:val="00FC5573"/>
    <w:rsid w:val="00FD7D64"/>
    <w:rsid w:val="00FE4F52"/>
    <w:rsid w:val="00FE6C02"/>
    <w:rsid w:val="00FF0C36"/>
    <w:rsid w:val="00FF14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E439DF"/>
  <w15:docId w15:val="{806F5C8D-CE99-4638-B9E1-DA53C88F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lang w:val="en-US" w:eastAsia="en-US"/>
    </w:rPr>
  </w:style>
  <w:style w:type="paragraph" w:styleId="Heading1">
    <w:name w:val="heading 1"/>
    <w:basedOn w:val="Normal"/>
    <w:next w:val="Normal"/>
    <w:link w:val="Heading1Char"/>
    <w:uiPriority w:val="9"/>
    <w:qFormat/>
    <w:rsid w:val="00285FE6"/>
    <w:pPr>
      <w:keepNext/>
      <w:spacing w:before="240" w:after="60" w:line="480" w:lineRule="auto"/>
      <w:outlineLvl w:val="0"/>
    </w:pPr>
    <w:rPr>
      <w:rFonts w:ascii="Times New Roman" w:hAnsi="Times New Roman"/>
      <w:b/>
      <w:bCs/>
      <w:kern w:val="32"/>
      <w:sz w:val="28"/>
      <w:szCs w:val="32"/>
    </w:rPr>
  </w:style>
  <w:style w:type="paragraph" w:styleId="Heading2">
    <w:name w:val="heading 2"/>
    <w:basedOn w:val="Normal"/>
    <w:next w:val="Normal"/>
    <w:link w:val="Heading2Char"/>
    <w:uiPriority w:val="9"/>
    <w:unhideWhenUsed/>
    <w:qFormat/>
    <w:rsid w:val="00E405BA"/>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BA160D"/>
    <w:pPr>
      <w:keepNext/>
      <w:spacing w:before="180" w:after="180"/>
      <w:outlineLvl w:val="2"/>
    </w:pPr>
    <w:rPr>
      <w:rFonts w:ascii="Times New Roman" w:hAnsi="Times New Roman"/>
      <w:b/>
      <w:bCs/>
      <w:szCs w:val="26"/>
    </w:rPr>
  </w:style>
  <w:style w:type="paragraph" w:styleId="Heading4">
    <w:name w:val="heading 4"/>
    <w:basedOn w:val="Normal"/>
    <w:next w:val="Normal"/>
    <w:link w:val="Heading4Char"/>
    <w:uiPriority w:val="9"/>
    <w:unhideWhenUsed/>
    <w:qFormat/>
    <w:rsid w:val="00946759"/>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4C84"/>
    <w:pPr>
      <w:tabs>
        <w:tab w:val="center" w:pos="4513"/>
        <w:tab w:val="right" w:pos="9026"/>
      </w:tabs>
    </w:pPr>
  </w:style>
  <w:style w:type="character" w:customStyle="1" w:styleId="HeaderChar">
    <w:name w:val="Header Char"/>
    <w:link w:val="Header"/>
    <w:uiPriority w:val="99"/>
    <w:rsid w:val="00814C84"/>
    <w:rPr>
      <w:sz w:val="24"/>
      <w:szCs w:val="24"/>
    </w:rPr>
  </w:style>
  <w:style w:type="paragraph" w:styleId="Footer">
    <w:name w:val="footer"/>
    <w:basedOn w:val="Normal"/>
    <w:link w:val="FooterChar"/>
    <w:uiPriority w:val="99"/>
    <w:unhideWhenUsed/>
    <w:rsid w:val="00814C84"/>
    <w:pPr>
      <w:tabs>
        <w:tab w:val="center" w:pos="4513"/>
        <w:tab w:val="right" w:pos="9026"/>
      </w:tabs>
    </w:pPr>
  </w:style>
  <w:style w:type="character" w:customStyle="1" w:styleId="FooterChar">
    <w:name w:val="Footer Char"/>
    <w:link w:val="Footer"/>
    <w:uiPriority w:val="99"/>
    <w:rsid w:val="00814C84"/>
    <w:rPr>
      <w:sz w:val="24"/>
      <w:szCs w:val="24"/>
    </w:rPr>
  </w:style>
  <w:style w:type="character" w:customStyle="1" w:styleId="Heading1Char">
    <w:name w:val="Heading 1 Char"/>
    <w:link w:val="Heading1"/>
    <w:uiPriority w:val="9"/>
    <w:rsid w:val="00285FE6"/>
    <w:rPr>
      <w:rFonts w:ascii="Times New Roman" w:eastAsia="Times New Roman" w:hAnsi="Times New Roman" w:cs="Times New Roman"/>
      <w:b/>
      <w:bCs/>
      <w:kern w:val="32"/>
      <w:sz w:val="28"/>
      <w:szCs w:val="32"/>
    </w:rPr>
  </w:style>
  <w:style w:type="paragraph" w:styleId="TOCHeading">
    <w:name w:val="TOC Heading"/>
    <w:basedOn w:val="Heading1"/>
    <w:next w:val="Normal"/>
    <w:uiPriority w:val="39"/>
    <w:unhideWhenUsed/>
    <w:qFormat/>
    <w:rsid w:val="00285FE6"/>
    <w:pPr>
      <w:keepLines/>
      <w:spacing w:after="0" w:line="259" w:lineRule="auto"/>
      <w:outlineLvl w:val="9"/>
    </w:pPr>
    <w:rPr>
      <w:rFonts w:ascii="Aptos Display" w:hAnsi="Aptos Display"/>
      <w:b w:val="0"/>
      <w:bCs w:val="0"/>
      <w:color w:val="0F4761"/>
      <w:kern w:val="0"/>
      <w:sz w:val="32"/>
    </w:rPr>
  </w:style>
  <w:style w:type="paragraph" w:styleId="TOC1">
    <w:name w:val="toc 1"/>
    <w:basedOn w:val="Normal"/>
    <w:next w:val="Normal"/>
    <w:autoRedefine/>
    <w:uiPriority w:val="39"/>
    <w:unhideWhenUsed/>
    <w:rsid w:val="00285FE6"/>
  </w:style>
  <w:style w:type="character" w:styleId="Hyperlink">
    <w:name w:val="Hyperlink"/>
    <w:uiPriority w:val="99"/>
    <w:unhideWhenUsed/>
    <w:rsid w:val="00285FE6"/>
    <w:rPr>
      <w:color w:val="467886"/>
      <w:u w:val="single"/>
    </w:rPr>
  </w:style>
  <w:style w:type="paragraph" w:styleId="ListParagraph">
    <w:name w:val="List Paragraph"/>
    <w:basedOn w:val="Normal"/>
    <w:uiPriority w:val="34"/>
    <w:qFormat/>
    <w:rsid w:val="00285FE6"/>
    <w:pPr>
      <w:ind w:left="720"/>
    </w:pPr>
  </w:style>
  <w:style w:type="character" w:styleId="UnresolvedMention">
    <w:name w:val="Unresolved Mention"/>
    <w:uiPriority w:val="99"/>
    <w:semiHidden/>
    <w:unhideWhenUsed/>
    <w:rsid w:val="000C16B5"/>
    <w:rPr>
      <w:color w:val="605E5C"/>
      <w:shd w:val="clear" w:color="auto" w:fill="E1DFDD"/>
    </w:rPr>
  </w:style>
  <w:style w:type="character" w:customStyle="1" w:styleId="Heading3Char">
    <w:name w:val="Heading 3 Char"/>
    <w:link w:val="Heading3"/>
    <w:uiPriority w:val="9"/>
    <w:rsid w:val="00BA160D"/>
    <w:rPr>
      <w:rFonts w:ascii="Times New Roman" w:hAnsi="Times New Roman"/>
      <w:b/>
      <w:bCs/>
      <w:sz w:val="24"/>
      <w:szCs w:val="26"/>
      <w:lang w:val="en-US" w:eastAsia="en-US"/>
    </w:rPr>
  </w:style>
  <w:style w:type="table" w:styleId="PlainTable1">
    <w:name w:val="Plain Table 1"/>
    <w:basedOn w:val="TableNormal"/>
    <w:uiPriority w:val="41"/>
    <w:rsid w:val="004A360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Bibliography">
    <w:name w:val="Bibliography"/>
    <w:basedOn w:val="Normal"/>
    <w:next w:val="Normal"/>
    <w:uiPriority w:val="37"/>
    <w:unhideWhenUsed/>
    <w:rsid w:val="001B4AAA"/>
    <w:pPr>
      <w:spacing w:after="240"/>
      <w:ind w:left="720" w:hanging="720"/>
    </w:pPr>
  </w:style>
  <w:style w:type="paragraph" w:styleId="Title">
    <w:name w:val="Title"/>
    <w:basedOn w:val="Normal"/>
    <w:next w:val="Normal"/>
    <w:link w:val="TitleChar"/>
    <w:uiPriority w:val="10"/>
    <w:qFormat/>
    <w:rsid w:val="000B58A5"/>
    <w:pPr>
      <w:spacing w:before="360" w:after="360"/>
      <w:jc w:val="center"/>
      <w:outlineLvl w:val="0"/>
    </w:pPr>
    <w:rPr>
      <w:rFonts w:ascii="Cambria" w:hAnsi="Cambria"/>
      <w:b/>
      <w:bCs/>
      <w:kern w:val="28"/>
      <w:sz w:val="32"/>
      <w:szCs w:val="32"/>
    </w:rPr>
  </w:style>
  <w:style w:type="character" w:customStyle="1" w:styleId="TitleChar">
    <w:name w:val="Title Char"/>
    <w:link w:val="Title"/>
    <w:uiPriority w:val="10"/>
    <w:rsid w:val="000B58A5"/>
    <w:rPr>
      <w:rFonts w:ascii="Cambria" w:eastAsia="Times New Roman" w:hAnsi="Cambria" w:cs="Times New Roman"/>
      <w:b/>
      <w:bCs/>
      <w:kern w:val="28"/>
      <w:sz w:val="32"/>
      <w:szCs w:val="32"/>
      <w:lang w:val="en-US" w:eastAsia="en-US"/>
    </w:rPr>
  </w:style>
  <w:style w:type="paragraph" w:styleId="Revision">
    <w:name w:val="Revision"/>
    <w:hidden/>
    <w:uiPriority w:val="99"/>
    <w:semiHidden/>
    <w:rsid w:val="00974FBD"/>
    <w:rPr>
      <w:sz w:val="24"/>
      <w:szCs w:val="24"/>
      <w:lang w:val="en-US" w:eastAsia="en-US"/>
    </w:rPr>
  </w:style>
  <w:style w:type="table" w:styleId="TableGrid">
    <w:name w:val="Table Grid"/>
    <w:basedOn w:val="TableNormal"/>
    <w:uiPriority w:val="39"/>
    <w:rsid w:val="00D47350"/>
    <w:pPr>
      <w:ind w:firstLine="720"/>
    </w:pPr>
    <w:rPr>
      <w:rFonts w:eastAsia="Calibri"/>
      <w:kern w:val="2"/>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09217C"/>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6">
    <w:name w:val="List Table 2 Accent 6"/>
    <w:basedOn w:val="TableNormal"/>
    <w:uiPriority w:val="47"/>
    <w:rsid w:val="0009217C"/>
    <w:tblPr>
      <w:tblStyleRowBandSize w:val="1"/>
      <w:tblStyleColBandSize w:val="1"/>
      <w:tblBorders>
        <w:top w:val="single" w:sz="4" w:space="0" w:color="FABF8F"/>
        <w:bottom w:val="single" w:sz="4" w:space="0" w:color="FABF8F"/>
        <w:insideH w:val="single" w:sz="4" w:space="0" w:color="FABF8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paragraph" w:styleId="NormalWeb">
    <w:name w:val="Normal (Web)"/>
    <w:basedOn w:val="Normal"/>
    <w:uiPriority w:val="99"/>
    <w:semiHidden/>
    <w:unhideWhenUsed/>
    <w:rsid w:val="006A7D38"/>
    <w:rPr>
      <w:rFonts w:ascii="Times New Roman" w:hAnsi="Times New Roman"/>
    </w:rPr>
  </w:style>
  <w:style w:type="character" w:customStyle="1" w:styleId="Heading2Char">
    <w:name w:val="Heading 2 Char"/>
    <w:link w:val="Heading2"/>
    <w:uiPriority w:val="9"/>
    <w:rsid w:val="00E405BA"/>
    <w:rPr>
      <w:rFonts w:ascii="Cambria" w:eastAsia="Times New Roman" w:hAnsi="Cambria" w:cs="Times New Roman"/>
      <w:b/>
      <w:bCs/>
      <w:i/>
      <w:iCs/>
      <w:sz w:val="28"/>
      <w:szCs w:val="28"/>
      <w:lang w:val="en-US" w:eastAsia="en-US"/>
    </w:rPr>
  </w:style>
  <w:style w:type="table" w:styleId="TableGridLight">
    <w:name w:val="Grid Table Light"/>
    <w:basedOn w:val="TableNormal"/>
    <w:uiPriority w:val="40"/>
    <w:rsid w:val="00FB5441"/>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4">
    <w:name w:val="Plain Table 4"/>
    <w:basedOn w:val="TableNormal"/>
    <w:uiPriority w:val="44"/>
    <w:rsid w:val="00FB544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Strong">
    <w:name w:val="Strong"/>
    <w:uiPriority w:val="22"/>
    <w:qFormat/>
    <w:rsid w:val="00CC12CD"/>
    <w:rPr>
      <w:b/>
      <w:bCs/>
    </w:rPr>
  </w:style>
  <w:style w:type="character" w:styleId="FollowedHyperlink">
    <w:name w:val="FollowedHyperlink"/>
    <w:uiPriority w:val="99"/>
    <w:semiHidden/>
    <w:unhideWhenUsed/>
    <w:rsid w:val="00833CC2"/>
    <w:rPr>
      <w:color w:val="800080"/>
      <w:u w:val="single"/>
    </w:rPr>
  </w:style>
  <w:style w:type="character" w:customStyle="1" w:styleId="Heading4Char">
    <w:name w:val="Heading 4 Char"/>
    <w:link w:val="Heading4"/>
    <w:uiPriority w:val="9"/>
    <w:rsid w:val="00946759"/>
    <w:rPr>
      <w:rFonts w:ascii="Calibri" w:eastAsia="Times New Roman" w:hAnsi="Calibri" w:cs="Times New Roman"/>
      <w:b/>
      <w:bCs/>
      <w:sz w:val="28"/>
      <w:szCs w:val="28"/>
      <w:lang w:val="en-US" w:eastAsia="en-US"/>
    </w:rPr>
  </w:style>
  <w:style w:type="character" w:styleId="SubtleEmphasis">
    <w:name w:val="Subtle Emphasis"/>
    <w:uiPriority w:val="19"/>
    <w:qFormat/>
    <w:rsid w:val="000926F1"/>
    <w:rPr>
      <w:i/>
      <w:iCs/>
      <w:color w:val="404040"/>
    </w:rPr>
  </w:style>
  <w:style w:type="character" w:styleId="HTMLCode">
    <w:name w:val="HTML Code"/>
    <w:uiPriority w:val="99"/>
    <w:semiHidden/>
    <w:unhideWhenUsed/>
    <w:rsid w:val="00D510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chive.ics.uci.edu/ml/datasets/statlog+(australian+credit+approval)" TargetMode="External"/><Relationship Id="rId18" Type="http://schemas.openxmlformats.org/officeDocument/2006/relationships/hyperlink" Target="https://www.kaggle.com/datasets/uciml/default-of-credit-card-clients-dataset" TargetMode="External"/><Relationship Id="rId26" Type="http://schemas.openxmlformats.org/officeDocument/2006/relationships/hyperlink" Target="https://doi.org/10.3390/jrfm15120556" TargetMode="External"/><Relationship Id="rId3" Type="http://schemas.openxmlformats.org/officeDocument/2006/relationships/styles" Target="styles.xml"/><Relationship Id="rId21" Type="http://schemas.openxmlformats.org/officeDocument/2006/relationships/hyperlink" Target="https://doi.org/10.1111/j.1540-6261.1968.tb00843.x" TargetMode="External"/><Relationship Id="rId34" Type="http://schemas.openxmlformats.org/officeDocument/2006/relationships/hyperlink" Target="https://doi.org/10.1016/j.ejor.2022.06.035" TargetMode="External"/><Relationship Id="rId7" Type="http://schemas.openxmlformats.org/officeDocument/2006/relationships/endnotes" Target="endnotes.xml"/><Relationship Id="rId12" Type="http://schemas.openxmlformats.org/officeDocument/2006/relationships/hyperlink" Target="https://archive.ics.uci.edu/ml/datasets/statlog+(german+credit+data)" TargetMode="External"/><Relationship Id="rId17" Type="http://schemas.openxmlformats.org/officeDocument/2006/relationships/hyperlink" Target="https://www.kaggle.com/c/home-credit-default-risk" TargetMode="External"/><Relationship Id="rId25" Type="http://schemas.openxmlformats.org/officeDocument/2006/relationships/hyperlink" Target="https://doi.org/10.48550/arXiv.2405.06808" TargetMode="External"/><Relationship Id="rId33" Type="http://schemas.openxmlformats.org/officeDocument/2006/relationships/hyperlink" Target="https://doi.org/10.1016/j.ejor.2015.05.030" TargetMode="External"/><Relationship Id="rId2" Type="http://schemas.openxmlformats.org/officeDocument/2006/relationships/numbering" Target="numbering.xml"/><Relationship Id="rId16" Type="http://schemas.openxmlformats.org/officeDocument/2006/relationships/hyperlink" Target="https://www.kaggle.com/c/GiveMeSomeCredit" TargetMode="External"/><Relationship Id="rId20" Type="http://schemas.openxmlformats.org/officeDocument/2006/relationships/image" Target="media/image3.png"/><Relationship Id="rId29" Type="http://schemas.openxmlformats.org/officeDocument/2006/relationships/hyperlink" Target="https://www.kaggle.com/competitions/amex-default-prediction?utm_source=chatgp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3390/jrfm18010036" TargetMode="External"/><Relationship Id="rId32" Type="http://schemas.openxmlformats.org/officeDocument/2006/relationships/hyperlink" Target="https://doi.org/10.1016/j.jbankfin.2010.06.001" TargetMode="External"/><Relationship Id="rId5" Type="http://schemas.openxmlformats.org/officeDocument/2006/relationships/webSettings" Target="webSettings.xml"/><Relationship Id="rId15" Type="http://schemas.openxmlformats.org/officeDocument/2006/relationships/hyperlink" Target="https://archive.ics.uci.edu/ml/datasets/default+of+credit+card+clients" TargetMode="External"/><Relationship Id="rId23" Type="http://schemas.openxmlformats.org/officeDocument/2006/relationships/hyperlink" Target="https://doi.org/10.1016/j.frl.2021.101932" TargetMode="External"/><Relationship Id="rId28" Type="http://schemas.openxmlformats.org/officeDocument/2006/relationships/hyperlink" Target="https://doi.org/10.48550/arXiv.2504.06293"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dataful.in/datasets/20589/" TargetMode="External"/><Relationship Id="rId31" Type="http://schemas.openxmlformats.org/officeDocument/2006/relationships/hyperlink" Target="https://doi.org/10.1186/s41937-018-0025-z"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kaggle.com/competitions/amex-default-prediction" TargetMode="External"/><Relationship Id="rId22" Type="http://schemas.openxmlformats.org/officeDocument/2006/relationships/hyperlink" Target="https://doi.org/10.1016/j.jfs.2024.101292" TargetMode="External"/><Relationship Id="rId27" Type="http://schemas.openxmlformats.org/officeDocument/2006/relationships/hyperlink" Target="https://doi.org/10.1016/j.jbef.2025.101067" TargetMode="External"/><Relationship Id="rId30" Type="http://schemas.openxmlformats.org/officeDocument/2006/relationships/hyperlink" Target="https://doi.org/10.1093/jfr/fjx001"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AC848-0E1D-49F7-BD87-E3F53C955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2015</TotalTime>
  <Pages>1</Pages>
  <Words>7131</Words>
  <Characters>46714</Characters>
  <Application>Microsoft Office Word</Application>
  <DocSecurity>0</DocSecurity>
  <Lines>1334</Lines>
  <Paragraphs>717</Paragraphs>
  <ScaleCrop>false</ScaleCrop>
  <HeadingPairs>
    <vt:vector size="2" baseType="variant">
      <vt:variant>
        <vt:lpstr>Title</vt:lpstr>
      </vt:variant>
      <vt:variant>
        <vt:i4>1</vt:i4>
      </vt:variant>
    </vt:vector>
  </HeadingPairs>
  <TitlesOfParts>
    <vt:vector size="1" baseType="lpstr">
      <vt:lpstr>1_Aug_Synopsis</vt:lpstr>
    </vt:vector>
  </TitlesOfParts>
  <Company/>
  <LinksUpToDate>false</LinksUpToDate>
  <CharactersWithSpaces>53128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1_Aug_Synopsis</dc:title>
  <dc:creator>&lt;$template_firstName&gt; &lt;$template_lastName&gt;</dc:creator>
  <cp:lastModifiedBy>Ravi Jain_7A</cp:lastModifiedBy>
  <cp:revision>286</cp:revision>
  <cp:lastPrinted>2025-10-02T03:55:00Z</cp:lastPrinted>
  <dcterms:created xsi:type="dcterms:W3CDTF">2025-09-11T00:33:00Z</dcterms:created>
  <dcterms:modified xsi:type="dcterms:W3CDTF">2025-10-22T14:07:00Z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id="Wr04uAEz"/&gt;&lt;style id="http://www.zotero.org/styles/apa" locale="en-US" hasBibliography="1" bibliographyStyleHasBeenSet="1"/&gt;&lt;prefs&gt;&lt;pref name="fieldType" value="Field"/&gt;&lt;/prefs&gt;&lt;/data&gt;</vt:lpwstr>
  </property>
</Properties>
</file>