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6A7D" w14:textId="77777777" w:rsidR="00DC5196" w:rsidRPr="00493581" w:rsidRDefault="00493581" w:rsidP="00493581">
      <w:pPr>
        <w:jc w:val="center"/>
        <w:rPr>
          <w:b/>
        </w:rPr>
      </w:pPr>
      <w:r w:rsidRPr="00493581">
        <w:rPr>
          <w:b/>
        </w:rPr>
        <w:t>Heart Failure Chart Review Protocol</w:t>
      </w:r>
    </w:p>
    <w:p w14:paraId="0E942B09" w14:textId="77777777" w:rsidR="00493581" w:rsidRDefault="00493581"/>
    <w:p w14:paraId="6543A1C7" w14:textId="77777777" w:rsidR="00493581" w:rsidRDefault="00493581">
      <w:r>
        <w:t>The purpose of this chart review is to validate the technical validity (is the logic correct) of the OHDSI cohort definition, as automatically translated from CQL.  This means the chart review need only look at structured data, and confirm that the structured data present for a patient represents their inclusion or exclusion as a case.  We are purposely ignoring clinical validity (do we believe the patient does/does not have heart failure) at this time.  While it is important, that work will be conducted at a future date and will include a review of clinical notes.</w:t>
      </w:r>
    </w:p>
    <w:p w14:paraId="6EA24142" w14:textId="77777777" w:rsidR="00493581" w:rsidRDefault="00493581"/>
    <w:p w14:paraId="61AE6561" w14:textId="77777777" w:rsidR="00493581" w:rsidRPr="00B71D0A" w:rsidRDefault="00493581">
      <w:pPr>
        <w:rPr>
          <w:b/>
        </w:rPr>
      </w:pPr>
      <w:r w:rsidRPr="00B71D0A">
        <w:rPr>
          <w:b/>
        </w:rPr>
        <w:t>Sample size selection</w:t>
      </w:r>
    </w:p>
    <w:p w14:paraId="7A74235C" w14:textId="77777777" w:rsidR="009874D6" w:rsidRDefault="00510024">
      <w:r>
        <w:t>Prevalence in both sexes – 2.2%</w:t>
      </w:r>
      <w:r w:rsidR="00BB3B6C">
        <w:rPr>
          <w:rStyle w:val="FootnoteReference"/>
        </w:rPr>
        <w:footnoteReference w:id="1"/>
      </w:r>
    </w:p>
    <w:p w14:paraId="547D7A8E" w14:textId="77777777" w:rsidR="00CC21AE" w:rsidRDefault="00CC21AE"/>
    <w:tbl>
      <w:tblPr>
        <w:tblStyle w:val="TableGrid"/>
        <w:tblW w:w="0" w:type="auto"/>
        <w:tblLook w:val="04A0" w:firstRow="1" w:lastRow="0" w:firstColumn="1" w:lastColumn="0" w:noHBand="0" w:noVBand="1"/>
      </w:tblPr>
      <w:tblGrid>
        <w:gridCol w:w="4675"/>
        <w:gridCol w:w="4675"/>
      </w:tblGrid>
      <w:tr w:rsidR="00BB3B6C" w14:paraId="5E65323B" w14:textId="77777777" w:rsidTr="00BB3B6C">
        <w:tc>
          <w:tcPr>
            <w:tcW w:w="4675" w:type="dxa"/>
          </w:tcPr>
          <w:p w14:paraId="6CD3766B" w14:textId="77777777" w:rsidR="00BB3B6C" w:rsidRDefault="00BB3B6C"/>
        </w:tc>
        <w:tc>
          <w:tcPr>
            <w:tcW w:w="4675" w:type="dxa"/>
          </w:tcPr>
          <w:p w14:paraId="0772E91A" w14:textId="77777777" w:rsidR="00BB3B6C" w:rsidRDefault="00BB3B6C"/>
        </w:tc>
      </w:tr>
      <w:tr w:rsidR="00BB3B6C" w14:paraId="5D8AF1A7" w14:textId="77777777" w:rsidTr="00BB3B6C">
        <w:tc>
          <w:tcPr>
            <w:tcW w:w="4675" w:type="dxa"/>
          </w:tcPr>
          <w:p w14:paraId="6B44EC94" w14:textId="77777777" w:rsidR="00BB3B6C" w:rsidRDefault="00BB3B6C">
            <w:r>
              <w:t>Number of patients in OHDSI database</w:t>
            </w:r>
          </w:p>
        </w:tc>
        <w:tc>
          <w:tcPr>
            <w:tcW w:w="4675" w:type="dxa"/>
          </w:tcPr>
          <w:p w14:paraId="4E34E03A" w14:textId="77777777" w:rsidR="00BB3B6C" w:rsidRDefault="00BB3B6C" w:rsidP="008B116D"/>
        </w:tc>
      </w:tr>
      <w:tr w:rsidR="00BB3B6C" w14:paraId="64490C66" w14:textId="77777777" w:rsidTr="00BB3B6C">
        <w:tc>
          <w:tcPr>
            <w:tcW w:w="4675" w:type="dxa"/>
          </w:tcPr>
          <w:p w14:paraId="366572AE" w14:textId="77777777" w:rsidR="00BB3B6C" w:rsidRDefault="00BB3B6C" w:rsidP="008B116D">
            <w:pPr>
              <w:ind w:left="340"/>
            </w:pPr>
            <w:r>
              <w:t>Number of patients identified by OHDSI heart failure cohort</w:t>
            </w:r>
          </w:p>
        </w:tc>
        <w:tc>
          <w:tcPr>
            <w:tcW w:w="4675" w:type="dxa"/>
          </w:tcPr>
          <w:p w14:paraId="6CED3CF9" w14:textId="77777777" w:rsidR="00BB3B6C" w:rsidRDefault="00BB3B6C" w:rsidP="008B116D"/>
        </w:tc>
      </w:tr>
      <w:tr w:rsidR="00BB3B6C" w14:paraId="0626AAB0" w14:textId="77777777" w:rsidTr="00BB3B6C">
        <w:tc>
          <w:tcPr>
            <w:tcW w:w="4675" w:type="dxa"/>
          </w:tcPr>
          <w:p w14:paraId="616D8D47" w14:textId="77777777" w:rsidR="00BB3B6C" w:rsidRDefault="00BB3B6C" w:rsidP="008B116D">
            <w:pPr>
              <w:ind w:left="700"/>
            </w:pPr>
            <w:r>
              <w:t xml:space="preserve">Number of </w:t>
            </w:r>
            <w:r w:rsidR="008B116D">
              <w:t>cohort-defined potential cases</w:t>
            </w:r>
            <w:r>
              <w:t xml:space="preserve"> selected for chart review</w:t>
            </w:r>
          </w:p>
        </w:tc>
        <w:tc>
          <w:tcPr>
            <w:tcW w:w="4675" w:type="dxa"/>
          </w:tcPr>
          <w:p w14:paraId="42D1D008" w14:textId="77777777" w:rsidR="00BB3B6C" w:rsidRDefault="00B71D0A" w:rsidP="008B116D">
            <w:r>
              <w:t>25</w:t>
            </w:r>
          </w:p>
        </w:tc>
      </w:tr>
      <w:tr w:rsidR="008B116D" w14:paraId="2A42C90C" w14:textId="77777777" w:rsidTr="00BB3B6C">
        <w:tc>
          <w:tcPr>
            <w:tcW w:w="4675" w:type="dxa"/>
          </w:tcPr>
          <w:p w14:paraId="146EC502" w14:textId="77777777" w:rsidR="008B116D" w:rsidRDefault="008B116D" w:rsidP="008B116D">
            <w:pPr>
              <w:ind w:left="340"/>
            </w:pPr>
            <w:r>
              <w:t>Number of patients not identified by OHDSI heart failure cohort</w:t>
            </w:r>
          </w:p>
        </w:tc>
        <w:tc>
          <w:tcPr>
            <w:tcW w:w="4675" w:type="dxa"/>
          </w:tcPr>
          <w:p w14:paraId="78889180" w14:textId="77777777" w:rsidR="008B116D" w:rsidRDefault="008B116D" w:rsidP="008B116D"/>
        </w:tc>
      </w:tr>
      <w:tr w:rsidR="008B116D" w14:paraId="11CEF769" w14:textId="77777777" w:rsidTr="00BB3B6C">
        <w:tc>
          <w:tcPr>
            <w:tcW w:w="4675" w:type="dxa"/>
          </w:tcPr>
          <w:p w14:paraId="5F279A6A" w14:textId="77777777" w:rsidR="008B116D" w:rsidRDefault="008B116D" w:rsidP="008B116D">
            <w:pPr>
              <w:ind w:left="700"/>
            </w:pPr>
            <w:r>
              <w:t>Number of patients with &gt;= 1 HF diagnosis</w:t>
            </w:r>
            <w:r w:rsidR="00C65A5F">
              <w:t xml:space="preserve"> and &gt;=1 echocardiogram</w:t>
            </w:r>
            <w:r w:rsidR="00B71D0A">
              <w:t xml:space="preserve"> (“high risk for error”)</w:t>
            </w:r>
          </w:p>
        </w:tc>
        <w:tc>
          <w:tcPr>
            <w:tcW w:w="4675" w:type="dxa"/>
          </w:tcPr>
          <w:p w14:paraId="0D5BB22C" w14:textId="77777777" w:rsidR="008B116D" w:rsidRDefault="008B116D" w:rsidP="008B116D"/>
        </w:tc>
      </w:tr>
      <w:tr w:rsidR="008B116D" w14:paraId="0CFE5C2E" w14:textId="77777777" w:rsidTr="00BB3B6C">
        <w:tc>
          <w:tcPr>
            <w:tcW w:w="4675" w:type="dxa"/>
          </w:tcPr>
          <w:p w14:paraId="4BF63E2D" w14:textId="77777777" w:rsidR="008B116D" w:rsidRDefault="00C65A5F" w:rsidP="00C65A5F">
            <w:pPr>
              <w:ind w:left="1060"/>
            </w:pPr>
            <w:r>
              <w:t>Number of “high risk for error” potential controls selected for chart review</w:t>
            </w:r>
          </w:p>
        </w:tc>
        <w:tc>
          <w:tcPr>
            <w:tcW w:w="4675" w:type="dxa"/>
          </w:tcPr>
          <w:p w14:paraId="40BC25AE" w14:textId="77777777" w:rsidR="008B116D" w:rsidRDefault="00B71D0A" w:rsidP="008B116D">
            <w:r>
              <w:t>25</w:t>
            </w:r>
          </w:p>
        </w:tc>
      </w:tr>
      <w:tr w:rsidR="00C65A5F" w14:paraId="1EE264CA" w14:textId="77777777" w:rsidTr="00BB3B6C">
        <w:tc>
          <w:tcPr>
            <w:tcW w:w="4675" w:type="dxa"/>
          </w:tcPr>
          <w:p w14:paraId="15230DA1" w14:textId="77777777" w:rsidR="00C65A5F" w:rsidRDefault="00C65A5F" w:rsidP="00C65A5F">
            <w:pPr>
              <w:ind w:left="700"/>
            </w:pPr>
            <w:r>
              <w:t>Number of patients without &gt;=1 HF diagnosis and &gt;=1 echocardiogram</w:t>
            </w:r>
            <w:r w:rsidR="00B71D0A">
              <w:t xml:space="preserve"> (“low risk for error”)</w:t>
            </w:r>
          </w:p>
        </w:tc>
        <w:tc>
          <w:tcPr>
            <w:tcW w:w="4675" w:type="dxa"/>
          </w:tcPr>
          <w:p w14:paraId="7CCEA6D0" w14:textId="77777777" w:rsidR="00C65A5F" w:rsidRDefault="00C65A5F" w:rsidP="008B116D"/>
        </w:tc>
      </w:tr>
      <w:tr w:rsidR="00C65A5F" w14:paraId="3F156DB2" w14:textId="77777777" w:rsidTr="00BB3B6C">
        <w:tc>
          <w:tcPr>
            <w:tcW w:w="4675" w:type="dxa"/>
          </w:tcPr>
          <w:p w14:paraId="6E414A29" w14:textId="77777777" w:rsidR="00C65A5F" w:rsidRDefault="00C65A5F" w:rsidP="00C65A5F">
            <w:pPr>
              <w:ind w:left="1060"/>
            </w:pPr>
            <w:r>
              <w:t>Number of “low risk for error” potential controls selected for chart review</w:t>
            </w:r>
          </w:p>
        </w:tc>
        <w:tc>
          <w:tcPr>
            <w:tcW w:w="4675" w:type="dxa"/>
          </w:tcPr>
          <w:p w14:paraId="59C6EA40" w14:textId="77777777" w:rsidR="00C65A5F" w:rsidRDefault="00B71D0A" w:rsidP="008B116D">
            <w:r>
              <w:t>0</w:t>
            </w:r>
          </w:p>
        </w:tc>
      </w:tr>
    </w:tbl>
    <w:p w14:paraId="341E1457" w14:textId="77777777" w:rsidR="00BB3B6C" w:rsidRDefault="00BB3B6C"/>
    <w:p w14:paraId="00FF1CCF" w14:textId="4C5C7228" w:rsidR="00D438FC" w:rsidRDefault="00D438FC">
      <w:r>
        <w:br w:type="page"/>
      </w:r>
    </w:p>
    <w:p w14:paraId="37C84E00" w14:textId="3BC31308" w:rsidR="00D438FC" w:rsidRPr="00D438FC" w:rsidRDefault="00D438FC" w:rsidP="00D438FC">
      <w:pPr>
        <w:rPr>
          <w:b/>
        </w:rPr>
      </w:pPr>
      <w:r w:rsidRPr="00D438FC">
        <w:rPr>
          <w:b/>
        </w:rPr>
        <w:lastRenderedPageBreak/>
        <w:t>Chart Review</w:t>
      </w:r>
    </w:p>
    <w:p w14:paraId="45BDF193" w14:textId="77777777" w:rsidR="00D438FC" w:rsidRDefault="00D438FC" w:rsidP="00D438FC"/>
    <w:p w14:paraId="11945508" w14:textId="5078725E" w:rsidR="00BB3B6C" w:rsidRDefault="00D438FC" w:rsidP="00D438FC">
      <w:pPr>
        <w:pStyle w:val="ListParagraph"/>
        <w:numPr>
          <w:ilvl w:val="0"/>
          <w:numId w:val="1"/>
        </w:numPr>
      </w:pPr>
      <w:r>
        <w:t>Is the patient currently &gt;= 18 years of age?</w:t>
      </w:r>
    </w:p>
    <w:p w14:paraId="54C94C67" w14:textId="1D54D5CC" w:rsidR="00D438FC" w:rsidRDefault="00D438FC" w:rsidP="00D438FC">
      <w:pPr>
        <w:pStyle w:val="ListParagraph"/>
        <w:numPr>
          <w:ilvl w:val="1"/>
          <w:numId w:val="1"/>
        </w:numPr>
      </w:pPr>
      <w:r>
        <w:t>YES – Continue to 2</w:t>
      </w:r>
    </w:p>
    <w:p w14:paraId="5A9AA336" w14:textId="66018310" w:rsidR="00D438FC" w:rsidRDefault="00D438FC" w:rsidP="00D438FC">
      <w:pPr>
        <w:pStyle w:val="ListParagraph"/>
        <w:numPr>
          <w:ilvl w:val="1"/>
          <w:numId w:val="1"/>
        </w:numPr>
      </w:pPr>
      <w:r>
        <w:t xml:space="preserve">NO – </w:t>
      </w:r>
      <w:r w:rsidR="00A111F7">
        <w:t>Flag</w:t>
      </w:r>
      <w:r>
        <w:t xml:space="preserve"> patient as “Exclude – age”</w:t>
      </w:r>
    </w:p>
    <w:p w14:paraId="7831CAAC" w14:textId="62110A42" w:rsidR="00D438FC" w:rsidRDefault="001C5F24" w:rsidP="00D438FC">
      <w:pPr>
        <w:pStyle w:val="ListParagraph"/>
        <w:numPr>
          <w:ilvl w:val="0"/>
          <w:numId w:val="1"/>
        </w:numPr>
      </w:pPr>
      <w:r>
        <w:t>Does the patient have at least one echocardiogram?</w:t>
      </w:r>
    </w:p>
    <w:p w14:paraId="42C365F6" w14:textId="447D9C10" w:rsidR="001C5F24" w:rsidRDefault="001C5F24" w:rsidP="001C5F24">
      <w:pPr>
        <w:pStyle w:val="ListParagraph"/>
        <w:numPr>
          <w:ilvl w:val="1"/>
          <w:numId w:val="1"/>
        </w:numPr>
      </w:pPr>
      <w:r>
        <w:t>YES – Continue to 3</w:t>
      </w:r>
    </w:p>
    <w:p w14:paraId="78CEBDA6" w14:textId="34729C8E" w:rsidR="00877189" w:rsidRDefault="001C5F24" w:rsidP="00877189">
      <w:pPr>
        <w:pStyle w:val="ListParagraph"/>
        <w:numPr>
          <w:ilvl w:val="1"/>
          <w:numId w:val="1"/>
        </w:numPr>
      </w:pPr>
      <w:r>
        <w:t xml:space="preserve">NO – </w:t>
      </w:r>
      <w:r w:rsidR="00A111F7">
        <w:t xml:space="preserve">Flag </w:t>
      </w:r>
      <w:r>
        <w:t>patient as “Exclude – no echocardiogram”</w:t>
      </w:r>
    </w:p>
    <w:p w14:paraId="120C1CDA" w14:textId="344CFA65" w:rsidR="001C5F24" w:rsidRDefault="00877189" w:rsidP="001C5F24">
      <w:pPr>
        <w:pStyle w:val="ListParagraph"/>
        <w:numPr>
          <w:ilvl w:val="0"/>
          <w:numId w:val="1"/>
        </w:numPr>
      </w:pPr>
      <w:r>
        <w:t>Find each relevant heart failure diagnosis.</w:t>
      </w:r>
    </w:p>
    <w:p w14:paraId="1E2BFE55" w14:textId="2626A089" w:rsidR="00877189" w:rsidRDefault="00877189" w:rsidP="00877189">
      <w:pPr>
        <w:pStyle w:val="ListParagraph"/>
        <w:numPr>
          <w:ilvl w:val="1"/>
          <w:numId w:val="1"/>
        </w:numPr>
      </w:pPr>
      <w:r>
        <w:t>If there are no diagnoses, flag the patient as “Exclude – no diagnoses”.  Continue to the next patient.</w:t>
      </w:r>
    </w:p>
    <w:p w14:paraId="50967FE5" w14:textId="25F549A7" w:rsidR="00877189" w:rsidRDefault="00877189" w:rsidP="00877189">
      <w:pPr>
        <w:pStyle w:val="ListParagraph"/>
        <w:numPr>
          <w:ilvl w:val="1"/>
          <w:numId w:val="1"/>
        </w:numPr>
      </w:pPr>
      <w:r>
        <w:t>Otherwise, f</w:t>
      </w:r>
      <w:r>
        <w:t xml:space="preserve">or each </w:t>
      </w:r>
      <w:r>
        <w:t xml:space="preserve">heart failure </w:t>
      </w:r>
      <w:r>
        <w:t>diagnosis:</w:t>
      </w:r>
    </w:p>
    <w:p w14:paraId="51A19479" w14:textId="02DB87F0" w:rsidR="00877189" w:rsidRDefault="00877189" w:rsidP="00136F9A">
      <w:pPr>
        <w:pStyle w:val="ListParagraph"/>
        <w:numPr>
          <w:ilvl w:val="2"/>
          <w:numId w:val="1"/>
        </w:numPr>
      </w:pPr>
      <w:r>
        <w:t>Confirm there is an associated visit, using the visit ID.  If not, do not count the diagnosis and move on to the next diagnosis</w:t>
      </w:r>
      <w:r w:rsidR="007C6C6E">
        <w:t xml:space="preserve"> (3b)</w:t>
      </w:r>
    </w:p>
    <w:p w14:paraId="4628DA1D" w14:textId="34495C00" w:rsidR="00877189" w:rsidRDefault="00877189" w:rsidP="00136F9A">
      <w:pPr>
        <w:pStyle w:val="ListParagraph"/>
        <w:numPr>
          <w:ilvl w:val="2"/>
          <w:numId w:val="1"/>
        </w:numPr>
      </w:pPr>
      <w:r>
        <w:t>Determine if the visit is inpatient or outpatient.</w:t>
      </w:r>
    </w:p>
    <w:p w14:paraId="7D5B2A7D" w14:textId="083D2C4B" w:rsidR="00877189" w:rsidRDefault="00877189" w:rsidP="00136F9A">
      <w:pPr>
        <w:pStyle w:val="ListParagraph"/>
        <w:numPr>
          <w:ilvl w:val="3"/>
          <w:numId w:val="1"/>
        </w:numPr>
      </w:pPr>
      <w:r>
        <w:t>If inpatient, flag patient as “Confirmed case” and continue to the next patient.</w:t>
      </w:r>
    </w:p>
    <w:p w14:paraId="22B14442" w14:textId="77777777" w:rsidR="007C6C6E" w:rsidRDefault="00877189" w:rsidP="00136F9A">
      <w:pPr>
        <w:pStyle w:val="ListParagraph"/>
        <w:numPr>
          <w:ilvl w:val="3"/>
          <w:numId w:val="1"/>
        </w:numPr>
      </w:pPr>
      <w:r>
        <w:t>If outpatient</w:t>
      </w:r>
      <w:r w:rsidR="007C6C6E">
        <w:t>, is this the first or second outpatient diagnosis you have found:</w:t>
      </w:r>
    </w:p>
    <w:p w14:paraId="19B1813F" w14:textId="6A8CF8BA" w:rsidR="007C6C6E" w:rsidRDefault="007C6C6E" w:rsidP="007C6C6E">
      <w:pPr>
        <w:pStyle w:val="ListParagraph"/>
        <w:numPr>
          <w:ilvl w:val="4"/>
          <w:numId w:val="1"/>
        </w:numPr>
      </w:pPr>
      <w:r>
        <w:t xml:space="preserve">FIRST - </w:t>
      </w:r>
      <w:r w:rsidR="00877189">
        <w:t xml:space="preserve">track that the patient has one outpatient diagnosis so far, </w:t>
      </w:r>
      <w:r>
        <w:t xml:space="preserve">record the visit ID and date, </w:t>
      </w:r>
      <w:r w:rsidR="00877189">
        <w:t>and continue to the next heart failure diagnosis</w:t>
      </w:r>
      <w:r>
        <w:t xml:space="preserve"> (3b).</w:t>
      </w:r>
    </w:p>
    <w:p w14:paraId="10DC74D4" w14:textId="313D1726" w:rsidR="00877189" w:rsidRDefault="007C6C6E" w:rsidP="007C6C6E">
      <w:pPr>
        <w:pStyle w:val="ListParagraph"/>
        <w:numPr>
          <w:ilvl w:val="4"/>
          <w:numId w:val="1"/>
        </w:numPr>
      </w:pPr>
      <w:r>
        <w:t>SECOND</w:t>
      </w:r>
      <w:r w:rsidR="00877189">
        <w:t xml:space="preserve"> </w:t>
      </w:r>
      <w:r>
        <w:t xml:space="preserve">– confirm that the diagnosis is associated with a different visit than the one found in 3.b.2.a.  If it is the same visit, do not count this as a second diagnosis and continue with the next diagnosis (3b).  Otherwise, </w:t>
      </w:r>
      <w:r w:rsidR="00877189">
        <w:t>flag patient as “Confirmed case” and continue to the next patient.</w:t>
      </w:r>
    </w:p>
    <w:p w14:paraId="3EAB06EC" w14:textId="6CFBC462" w:rsidR="00877189" w:rsidRDefault="00877189" w:rsidP="00136F9A">
      <w:pPr>
        <w:pStyle w:val="ListParagraph"/>
        <w:numPr>
          <w:ilvl w:val="2"/>
          <w:numId w:val="1"/>
        </w:numPr>
      </w:pPr>
      <w:r>
        <w:t xml:space="preserve">If you have finished reviewing the last diagnosis, and the patient has not qualified, please flag the patient as “Exclude – </w:t>
      </w:r>
      <w:r w:rsidR="00FE5802">
        <w:t xml:space="preserve">insufficient </w:t>
      </w:r>
      <w:bookmarkStart w:id="0" w:name="_GoBack"/>
      <w:bookmarkEnd w:id="0"/>
      <w:r>
        <w:t>diagnoses”.</w:t>
      </w:r>
    </w:p>
    <w:sectPr w:rsidR="00877189" w:rsidSect="008F2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B04CC" w14:textId="77777777" w:rsidR="00C50432" w:rsidRDefault="00C50432" w:rsidP="00BB3B6C">
      <w:r>
        <w:separator/>
      </w:r>
    </w:p>
  </w:endnote>
  <w:endnote w:type="continuationSeparator" w:id="0">
    <w:p w14:paraId="4A2FE8DA" w14:textId="77777777" w:rsidR="00C50432" w:rsidRDefault="00C50432" w:rsidP="00BB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A59ED" w14:textId="77777777" w:rsidR="00C50432" w:rsidRDefault="00C50432" w:rsidP="00BB3B6C">
      <w:r>
        <w:separator/>
      </w:r>
    </w:p>
  </w:footnote>
  <w:footnote w:type="continuationSeparator" w:id="0">
    <w:p w14:paraId="3F24C091" w14:textId="77777777" w:rsidR="00C50432" w:rsidRDefault="00C50432" w:rsidP="00BB3B6C">
      <w:r>
        <w:continuationSeparator/>
      </w:r>
    </w:p>
  </w:footnote>
  <w:footnote w:id="1">
    <w:p w14:paraId="7A6648FB" w14:textId="77777777" w:rsidR="00BB3B6C" w:rsidRDefault="00BB3B6C" w:rsidP="00BB3B6C">
      <w:r>
        <w:rPr>
          <w:rStyle w:val="FootnoteReference"/>
        </w:rPr>
        <w:footnoteRef/>
      </w:r>
      <w:r>
        <w:t xml:space="preserve"> Table 20.1 - </w:t>
      </w:r>
      <w:hyperlink r:id="rId1" w:history="1">
        <w:r w:rsidRPr="00BA20CB">
          <w:rPr>
            <w:rStyle w:val="Hyperlink"/>
          </w:rPr>
          <w:t>https://www.ahajournals.org/doi/full/10.1161/CIR.0000000000000350?url_ver=Z39.88-2003&amp;rfr_id=ori%3Arid%3Acrossref.org&amp;rfr_dat=cr_pub%3Dpubmed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67E34"/>
    <w:multiLevelType w:val="hybridMultilevel"/>
    <w:tmpl w:val="9A948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F3"/>
    <w:rsid w:val="00023FEB"/>
    <w:rsid w:val="000325D8"/>
    <w:rsid w:val="00033F53"/>
    <w:rsid w:val="0003410B"/>
    <w:rsid w:val="0005696A"/>
    <w:rsid w:val="00061D86"/>
    <w:rsid w:val="000627F5"/>
    <w:rsid w:val="00084446"/>
    <w:rsid w:val="000A250B"/>
    <w:rsid w:val="000F0FDF"/>
    <w:rsid w:val="000F4364"/>
    <w:rsid w:val="0011445D"/>
    <w:rsid w:val="00136F9A"/>
    <w:rsid w:val="00140AF5"/>
    <w:rsid w:val="00153157"/>
    <w:rsid w:val="00161E39"/>
    <w:rsid w:val="001836B2"/>
    <w:rsid w:val="00187DA2"/>
    <w:rsid w:val="001B048A"/>
    <w:rsid w:val="001C5D77"/>
    <w:rsid w:val="001C5F24"/>
    <w:rsid w:val="001C6344"/>
    <w:rsid w:val="001D0820"/>
    <w:rsid w:val="002013A2"/>
    <w:rsid w:val="0020578A"/>
    <w:rsid w:val="00217FBA"/>
    <w:rsid w:val="0022697D"/>
    <w:rsid w:val="00231B7D"/>
    <w:rsid w:val="0023741A"/>
    <w:rsid w:val="0027073F"/>
    <w:rsid w:val="00294C0F"/>
    <w:rsid w:val="002B171A"/>
    <w:rsid w:val="002F0382"/>
    <w:rsid w:val="00322A85"/>
    <w:rsid w:val="00334F47"/>
    <w:rsid w:val="0037304F"/>
    <w:rsid w:val="003838A1"/>
    <w:rsid w:val="003845F4"/>
    <w:rsid w:val="0039147E"/>
    <w:rsid w:val="00396571"/>
    <w:rsid w:val="00396AD4"/>
    <w:rsid w:val="003A30ED"/>
    <w:rsid w:val="003B11E2"/>
    <w:rsid w:val="003B7A86"/>
    <w:rsid w:val="003C3A4D"/>
    <w:rsid w:val="003D58D1"/>
    <w:rsid w:val="003E00F7"/>
    <w:rsid w:val="00403E2C"/>
    <w:rsid w:val="00404AB6"/>
    <w:rsid w:val="00421388"/>
    <w:rsid w:val="00425320"/>
    <w:rsid w:val="00480745"/>
    <w:rsid w:val="00482870"/>
    <w:rsid w:val="00483653"/>
    <w:rsid w:val="00483DB7"/>
    <w:rsid w:val="00493581"/>
    <w:rsid w:val="00493EF0"/>
    <w:rsid w:val="004C5F5D"/>
    <w:rsid w:val="00502216"/>
    <w:rsid w:val="00507518"/>
    <w:rsid w:val="00510024"/>
    <w:rsid w:val="0053029F"/>
    <w:rsid w:val="00561591"/>
    <w:rsid w:val="00583049"/>
    <w:rsid w:val="005A1708"/>
    <w:rsid w:val="005F17F7"/>
    <w:rsid w:val="00603116"/>
    <w:rsid w:val="00610AE0"/>
    <w:rsid w:val="006155A0"/>
    <w:rsid w:val="00635309"/>
    <w:rsid w:val="00636D89"/>
    <w:rsid w:val="00653624"/>
    <w:rsid w:val="006554A1"/>
    <w:rsid w:val="006640C6"/>
    <w:rsid w:val="00666809"/>
    <w:rsid w:val="00682B98"/>
    <w:rsid w:val="006851A3"/>
    <w:rsid w:val="00695F25"/>
    <w:rsid w:val="006A311B"/>
    <w:rsid w:val="006B0F97"/>
    <w:rsid w:val="006B1501"/>
    <w:rsid w:val="006D1311"/>
    <w:rsid w:val="006D2D4F"/>
    <w:rsid w:val="006E0E43"/>
    <w:rsid w:val="006E3EA3"/>
    <w:rsid w:val="006E4736"/>
    <w:rsid w:val="006F36C0"/>
    <w:rsid w:val="00717CDE"/>
    <w:rsid w:val="00743962"/>
    <w:rsid w:val="00752F95"/>
    <w:rsid w:val="0075509A"/>
    <w:rsid w:val="00755D3A"/>
    <w:rsid w:val="0077281D"/>
    <w:rsid w:val="00777799"/>
    <w:rsid w:val="00783AF3"/>
    <w:rsid w:val="00784250"/>
    <w:rsid w:val="0078463E"/>
    <w:rsid w:val="007956E4"/>
    <w:rsid w:val="007B5199"/>
    <w:rsid w:val="007C14A4"/>
    <w:rsid w:val="007C6C6E"/>
    <w:rsid w:val="0081320D"/>
    <w:rsid w:val="00815FA0"/>
    <w:rsid w:val="008270E1"/>
    <w:rsid w:val="00830162"/>
    <w:rsid w:val="00844733"/>
    <w:rsid w:val="00877189"/>
    <w:rsid w:val="00880465"/>
    <w:rsid w:val="00891F72"/>
    <w:rsid w:val="008B116D"/>
    <w:rsid w:val="008F2761"/>
    <w:rsid w:val="00903690"/>
    <w:rsid w:val="00920C34"/>
    <w:rsid w:val="00930D13"/>
    <w:rsid w:val="00942E84"/>
    <w:rsid w:val="009748B7"/>
    <w:rsid w:val="009874D6"/>
    <w:rsid w:val="00991684"/>
    <w:rsid w:val="009A3CBA"/>
    <w:rsid w:val="009A5D21"/>
    <w:rsid w:val="009E16FB"/>
    <w:rsid w:val="00A111F7"/>
    <w:rsid w:val="00A243AC"/>
    <w:rsid w:val="00A754E8"/>
    <w:rsid w:val="00AA6739"/>
    <w:rsid w:val="00AA7685"/>
    <w:rsid w:val="00AC5D90"/>
    <w:rsid w:val="00AC7A1F"/>
    <w:rsid w:val="00AE4A22"/>
    <w:rsid w:val="00AF1987"/>
    <w:rsid w:val="00B46653"/>
    <w:rsid w:val="00B46C9D"/>
    <w:rsid w:val="00B71D0A"/>
    <w:rsid w:val="00B720E0"/>
    <w:rsid w:val="00B761D6"/>
    <w:rsid w:val="00B8063F"/>
    <w:rsid w:val="00B86A20"/>
    <w:rsid w:val="00B9094A"/>
    <w:rsid w:val="00BA41D2"/>
    <w:rsid w:val="00BA5EAF"/>
    <w:rsid w:val="00BA7701"/>
    <w:rsid w:val="00BB3831"/>
    <w:rsid w:val="00BB3B6C"/>
    <w:rsid w:val="00BB52FD"/>
    <w:rsid w:val="00BC717E"/>
    <w:rsid w:val="00BD51C1"/>
    <w:rsid w:val="00BF4E06"/>
    <w:rsid w:val="00C007A4"/>
    <w:rsid w:val="00C14D24"/>
    <w:rsid w:val="00C30074"/>
    <w:rsid w:val="00C333BA"/>
    <w:rsid w:val="00C34A2F"/>
    <w:rsid w:val="00C50432"/>
    <w:rsid w:val="00C52F7F"/>
    <w:rsid w:val="00C54CAF"/>
    <w:rsid w:val="00C65A5F"/>
    <w:rsid w:val="00C74568"/>
    <w:rsid w:val="00C800EA"/>
    <w:rsid w:val="00C84C81"/>
    <w:rsid w:val="00C85C84"/>
    <w:rsid w:val="00C94F19"/>
    <w:rsid w:val="00CC21AE"/>
    <w:rsid w:val="00CD6A4A"/>
    <w:rsid w:val="00D10268"/>
    <w:rsid w:val="00D12624"/>
    <w:rsid w:val="00D16D65"/>
    <w:rsid w:val="00D20202"/>
    <w:rsid w:val="00D311E8"/>
    <w:rsid w:val="00D438FC"/>
    <w:rsid w:val="00D556D8"/>
    <w:rsid w:val="00D659C3"/>
    <w:rsid w:val="00D8177D"/>
    <w:rsid w:val="00DA2FA7"/>
    <w:rsid w:val="00DB0764"/>
    <w:rsid w:val="00DB7128"/>
    <w:rsid w:val="00DC0BC3"/>
    <w:rsid w:val="00DC5196"/>
    <w:rsid w:val="00DD26B0"/>
    <w:rsid w:val="00DD3B66"/>
    <w:rsid w:val="00DE62DC"/>
    <w:rsid w:val="00DF3692"/>
    <w:rsid w:val="00E163D1"/>
    <w:rsid w:val="00E165D0"/>
    <w:rsid w:val="00E2003B"/>
    <w:rsid w:val="00E30F48"/>
    <w:rsid w:val="00E52DB5"/>
    <w:rsid w:val="00E60CC6"/>
    <w:rsid w:val="00E64CC2"/>
    <w:rsid w:val="00F10CDF"/>
    <w:rsid w:val="00F365B3"/>
    <w:rsid w:val="00F67384"/>
    <w:rsid w:val="00FD5AF3"/>
    <w:rsid w:val="00FE1482"/>
    <w:rsid w:val="00FE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F8A2F"/>
  <w15:chartTrackingRefBased/>
  <w15:docId w15:val="{9B332D6A-377A-F040-817E-8F5B316D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4D6"/>
    <w:rPr>
      <w:color w:val="0563C1" w:themeColor="hyperlink"/>
      <w:u w:val="single"/>
    </w:rPr>
  </w:style>
  <w:style w:type="character" w:styleId="UnresolvedMention">
    <w:name w:val="Unresolved Mention"/>
    <w:basedOn w:val="DefaultParagraphFont"/>
    <w:uiPriority w:val="99"/>
    <w:semiHidden/>
    <w:unhideWhenUsed/>
    <w:rsid w:val="009874D6"/>
    <w:rPr>
      <w:color w:val="605E5C"/>
      <w:shd w:val="clear" w:color="auto" w:fill="E1DFDD"/>
    </w:rPr>
  </w:style>
  <w:style w:type="table" w:styleId="TableGrid">
    <w:name w:val="Table Grid"/>
    <w:basedOn w:val="TableNormal"/>
    <w:uiPriority w:val="39"/>
    <w:rsid w:val="00BB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B3B6C"/>
    <w:rPr>
      <w:sz w:val="20"/>
      <w:szCs w:val="20"/>
    </w:rPr>
  </w:style>
  <w:style w:type="character" w:customStyle="1" w:styleId="FootnoteTextChar">
    <w:name w:val="Footnote Text Char"/>
    <w:basedOn w:val="DefaultParagraphFont"/>
    <w:link w:val="FootnoteText"/>
    <w:uiPriority w:val="99"/>
    <w:semiHidden/>
    <w:rsid w:val="00BB3B6C"/>
    <w:rPr>
      <w:sz w:val="20"/>
      <w:szCs w:val="20"/>
    </w:rPr>
  </w:style>
  <w:style w:type="character" w:styleId="FootnoteReference">
    <w:name w:val="footnote reference"/>
    <w:basedOn w:val="DefaultParagraphFont"/>
    <w:uiPriority w:val="99"/>
    <w:semiHidden/>
    <w:unhideWhenUsed/>
    <w:rsid w:val="00BB3B6C"/>
    <w:rPr>
      <w:vertAlign w:val="superscript"/>
    </w:rPr>
  </w:style>
  <w:style w:type="paragraph" w:styleId="ListParagraph">
    <w:name w:val="List Paragraph"/>
    <w:basedOn w:val="Normal"/>
    <w:uiPriority w:val="34"/>
    <w:qFormat/>
    <w:rsid w:val="00D43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hajournals.org/doi/full/10.1161/CIR.0000000000000350?url_ver=Z39.88-2003&amp;rfr_id=ori%3Arid%3Acrossref.org&amp;rfr_dat=cr_pub%3D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C62B9-4F30-9946-A5ED-83F10C95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Rasmussen</dc:creator>
  <cp:keywords/>
  <dc:description/>
  <cp:lastModifiedBy>Luke Rasmussen</cp:lastModifiedBy>
  <cp:revision>14</cp:revision>
  <dcterms:created xsi:type="dcterms:W3CDTF">2020-01-02T15:39:00Z</dcterms:created>
  <dcterms:modified xsi:type="dcterms:W3CDTF">2020-01-02T18:11:00Z</dcterms:modified>
</cp:coreProperties>
</file>