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spacing w:after="0" w:before="0" w:line="252" w:lineRule="auto"/>
        <w:jc w:val="center"/>
        <w:rPr>
          <w:b w:val="1"/>
          <w:bCs w:val="1"/>
          <w:sz w:val="40"/>
          <w:szCs w:val="40"/>
        </w:rPr>
      </w:pPr>
      <w:r w:rsidDel="00000000" w:rsidR="00000000" w:rsidRPr="00000000">
        <w:rPr>
          <w:b/>
          <w:bCs w:val="1"/>
          <w:color w:val="000000"/>
          <w:sz w:val="40"/>
          <w:szCs w:val="40"/>
          <w:u w:val="none"/>
          <w:rtl w:val="0"/>
        </w:rPr>
        <w:t xml:space="preserve">Timing and Persistence of Liquidity Changes</w:t>
      </w:r>
    </w:p>
    <w:p w:rsidR="00000000" w:rsidDel="00000000" w:rsidP="00000000" w:rsidRDefault="00000000" w:rsidRPr="00000000" w14:paraId="00000002">
      <w:pPr>
        <w:pStyle w:val="Title"/>
        <w:pageBreakBefore w:val="0"/>
        <w:widowControl/>
        <w:spacing w:after="0" w:before="0" w:line="252" w:lineRule="auto"/>
        <w:jc w:val="center"/>
        <w:rPr>
          <w:b w:val="1"/>
          <w:bCs w:val="1"/>
          <w:sz w:val="40"/>
          <w:szCs w:val="40"/>
        </w:rPr>
      </w:pPr>
      <w:r w:rsidDel="00000000" w:rsidR="00000000" w:rsidRPr="00000000">
        <w:rPr>
          <w:b/>
          <w:bCs w:val="1"/>
          <w:color w:val="000000"/>
          <w:sz w:val="40"/>
          <w:szCs w:val="40"/>
          <w:u w:val="none"/>
          <w:rtl w:val="0"/>
        </w:rPr>
        <w:t xml:space="preserve">Around ASX 300 Inclusion</w:t>
      </w:r>
    </w:p>
    <w:p w:rsidR="00000000" w:rsidDel="00000000" w:rsidP="00000000" w:rsidRDefault="00000000" w:rsidRPr="00000000" w14:paraId="00000004">
      <w:pPr>
        <w:pageBreakBefore w:val="0"/>
        <w:widowControl/>
        <w:spacing w:after="40" w:before="0" w:line="245" w:lineRule="auto"/>
        <w:jc w:val="center"/>
        <w:rPr/>
      </w:pPr>
      <w:r w:rsidDel="00000000" w:rsidR="00000000" w:rsidRPr="00000000">
        <w:rPr>
          <w:u w:val="none"/>
          <w:rtl w:val="0"/>
        </w:rPr>
        <w:t xml:space="preserve">Haonan Li, Sunny Nguyen, Salomo Octavianus and Phelix Lee</w:t>
      </w:r>
    </w:p>
    <w:p w:rsidR="00000000" w:rsidDel="00000000" w:rsidP="00000000" w:rsidRDefault="00000000" w:rsidRPr="00000000" w14:paraId="00000005">
      <w:pPr>
        <w:pageBreakBefore w:val="0"/>
        <w:widowControl/>
        <w:spacing w:after="40" w:before="0" w:line="245" w:lineRule="auto"/>
        <w:jc w:val="center"/>
        <w:rPr>
          <w:i w:val="1"/>
          <w:iCs w:val="1"/>
        </w:rPr>
      </w:pPr>
      <w:r w:rsidDel="00000000" w:rsidR="00000000" w:rsidRPr="00000000">
        <w:rPr>
          <w:i w:val="1"/>
          <w:iCs w:val="1"/>
          <w:u w:val="none"/>
          <w:rtl w:val="0"/>
        </w:rPr>
        <w:t xml:space="preserve">ETF5560 Case Studies in Econometrics, Monash University, October 2026</w:t>
      </w:r>
    </w:p>
    <w:p w:rsidR="00000000" w:rsidDel="00000000" w:rsidP="00000000" w:rsidRDefault="00000000" w:rsidRPr="00000000" w14:paraId="00000007">
      <w:pPr>
        <w:pageBreakBefore w:val="0"/>
        <w:widowControl/>
        <w:spacing w:after="40" w:before="0" w:line="245" w:lineRule="auto"/>
        <w:jc w:val="both"/>
        <w:rPr>
          <w:b w:val="1"/>
          <w:bCs w:val="1"/>
          <w:sz w:val="30"/>
          <w:szCs w:val="30"/>
        </w:rPr>
      </w:pPr>
      <w:r w:rsidDel="00000000" w:rsidR="00000000" w:rsidRPr="00000000">
        <w:rPr>
          <w:b w:val="1"/>
          <w:bCs w:val="1"/>
          <w:sz w:val="30"/>
          <w:szCs w:val="30"/>
          <w:u w:val="none"/>
          <w:rtl w:val="0"/>
        </w:rPr>
        <w:t xml:space="preserve">Abstract</w:t>
      </w:r>
    </w:p>
    <w:p w:rsidR="00000000" w:rsidDel="00000000" w:rsidP="00000000" w:rsidRDefault="00000000" w:rsidRPr="00000000" w14:paraId="00000009">
      <w:pPr>
        <w:pageBreakBefore w:val="0"/>
        <w:widowControl/>
        <w:spacing w:after="40" w:before="0" w:line="245" w:lineRule="auto"/>
        <w:jc w:val="both"/>
        <w:rPr/>
      </w:pPr>
      <w:r>
        <w:rPr>
          <w:u w:val="none"/>
          <w:rtl w:val="0"/>
        </w:rPr>
        <w:t>We examine the timing and persistence of liquidity changes around S&amp;P/ASX 300 inclusion. A matched, stacked difference-in-differences study compares 77 additions with 154 control slots across six reviews from September 2023 to March 2026. Daily data cover 121 trading days per stock-review and six stages. Log mean daily Amihud implies illiquidity 39.2% below its counterfactual during adjustment (AP), 32.1% below in the short post-inclusion stage (SP), and 22.6% below in the later stage (LP). The treated-to-counterfactual ratio rises 27.3% from AP to LP, unwinding about half the initial log decline. The AP decline survives tail capping and exclusion of the rebalance day, but raw-level effects are imprecise. Reversion is less secure after excluding that day. For investors and listed firms, the strongest proportional change is concentrated around adjustment; durable benefits are less certain.</w:t>
      </w:r>
    </w:p>
    <w:p w:rsidR="00000000" w:rsidDel="00000000" w:rsidP="00000000" w:rsidRDefault="00000000" w:rsidRPr="00000000" w14:paraId="0000000B">
      <w:pPr>
        <w:pStyle w:val="Heading1"/>
        <w:keepNext/>
        <w:keepLines w:val="0"/>
        <w:pageBreakBefore w:val="0"/>
        <w:widowControl/>
        <w:spacing w:after="100" w:before="180" w:line="264" w:lineRule="auto"/>
        <w:ind w:left="0" w:firstLine="0"/>
        <w:jc w:val="both"/>
        <w:rPr>
          <w:b w:val="1"/>
          <w:bCs w:val="1"/>
          <w:sz w:val="30"/>
          <w:szCs w:val="30"/>
        </w:rPr>
      </w:pPr>
      <w:r>
        <w:rPr>
          <w:b/>
          <w:bCs w:val="1"/>
          <w:color w:val="000000"/>
          <w:sz w:val="30"/>
          <w:szCs w:val="30"/>
          <w:u w:val="none"/>
          <w:rtl w:val="0"/>
        </w:rPr>
        <w:t>1 Introduction</w:t>
      </w:r>
    </w:p>
    <w:p w:rsidR="00000000" w:rsidDel="00000000" w:rsidP="00000000" w:rsidRDefault="00000000" w:rsidRPr="00000000" w14:paraId="0000000D">
      <w:pPr>
        <w:pageBreakBefore w:val="0"/>
        <w:widowControl/>
        <w:spacing w:after="40" w:before="0" w:line="245" w:lineRule="auto"/>
        <w:jc w:val="both"/>
        <w:rPr/>
      </w:pPr>
      <w:r>
        <w:rPr>
          <w:sz w:val="22"/>
        </w:rPr>
        <w:t>When a company joins an index, funds that track the benchmark need to adjust their portfolios, and other investors may begin to pay closer attention to the stock. Both changes can affect how easily its shares trade. Hegde and McDermott (2003) document lasting liquidity improvements following S&amp;P 500 additions. Since illiquidity is associated with expected returns (Amihud, 2002), understanding when these changes occur and how long they last matters for investors and listed firms.</w:t>
      </w:r>
    </w:p>
    <w:p w:rsidR="00000000" w:rsidDel="00000000" w:rsidP="00000000" w:rsidRDefault="00000000" w:rsidRPr="00000000" w14:paraId="0000000F">
      <w:pPr>
        <w:pageBreakBefore w:val="0"/>
        <w:widowControl/>
        <w:spacing w:after="40" w:before="0" w:line="245" w:lineRule="auto"/>
        <w:jc w:val="both"/>
        <w:rPr/>
      </w:pPr>
      <w:r>
        <w:rPr>
          <w:sz w:val="22"/>
        </w:rPr>
        <w:t>The S&amp;P/ASX 300 review cycle gives us a useful way to study this timing. Announcements precede the rebalance close by about two weeks, leaving time for investors to anticipate additions and adjust their holdings. Trading conditions may then change again once rebalancing is complete. A single before-and-after comparison would combine these stages and could hide an initial improvement that later partly reverses.</w:t>
      </w:r>
    </w:p>
    <w:p w:rsidR="00000000" w:rsidDel="00000000" w:rsidP="00000000" w:rsidRDefault="00000000" w:rsidRPr="00000000" w14:paraId="00000011">
      <w:pPr>
        <w:pageBreakBefore w:val="0"/>
        <w:widowControl/>
        <w:spacing w:after="40" w:before="0" w:line="245" w:lineRule="auto"/>
        <w:jc w:val="both"/>
        <w:rPr/>
      </w:pPr>
      <w:r>
        <w:rPr>
          <w:u w:val="none"/>
          <w:rtl w:val="0"/>
        </w:rPr>
        <w:t>Evidence centres on US indices, where inclusion-related price effects have weakened (Greenwood and Sammon, 2025). We ask whether ASX 300 inclusion reduces illiquidity, when any change occurs, and whether it persists. Each addition is compared with two stocks matched on sector and pre-announcement size. The largest decline occurs during adjustment (−39.2%), followed by partial reversion. Sections 3–4 describe the data and model; Sections 5–8 interpret results, robustness and limitations.</w:t>
      </w:r>
    </w:p>
    <w:p w:rsidR="00000000" w:rsidDel="00000000" w:rsidP="00000000" w:rsidRDefault="00000000" w:rsidRPr="00000000" w14:paraId="00000017">
      <w:pPr>
        <w:pStyle w:val="Heading1"/>
        <w:keepNext/>
        <w:keepLines w:val="0"/>
        <w:pageBreakBefore w:val="0"/>
        <w:widowControl/>
        <w:spacing w:after="100" w:before="180" w:line="264" w:lineRule="auto"/>
        <w:ind w:left="0" w:firstLine="0"/>
        <w:jc w:val="both"/>
        <w:rPr>
          <w:b w:val="1"/>
          <w:bCs w:val="1"/>
          <w:sz w:val="30"/>
          <w:szCs w:val="30"/>
        </w:rPr>
      </w:pPr>
      <w:r>
        <w:rPr>
          <w:b/>
          <w:bCs w:val="1"/>
          <w:color w:val="000000"/>
          <w:sz w:val="30"/>
          <w:szCs w:val="30"/>
          <w:u w:val="none"/>
          <w:rtl w:val="0"/>
        </w:rPr>
        <w:t>2 Institutional setting and related literature</w:t>
      </w:r>
    </w:p>
    <w:p w:rsidR="00000000" w:rsidDel="00000000" w:rsidP="00000000" w:rsidRDefault="00000000" w:rsidRPr="00000000" w14:paraId="00000019">
      <w:pPr>
        <w:pStyle w:val="Heading2"/>
        <w:keepNext/>
        <w:pageBreakBefore w:val="0"/>
        <w:widowControl/>
        <w:spacing w:after="60" w:before="100" w:line="264" w:lineRule="auto"/>
        <w:ind w:left="0" w:firstLine="0"/>
        <w:jc w:val="both"/>
        <w:rPr>
          <w:u w:val="single"/>
        </w:rPr>
      </w:pPr>
      <w:r>
        <w:rPr>
          <w:b/>
          <w:color w:val="000000"/>
          <w:sz w:val="24"/>
          <w:u w:val="none"/>
          <w:rtl w:val="0"/>
        </w:rPr>
        <w:t>2.1 Review cycle</w:t>
      </w:r>
    </w:p>
    <w:p w:rsidR="00000000" w:rsidDel="00000000" w:rsidP="00000000" w:rsidRDefault="00000000" w:rsidRPr="00000000" w14:paraId="0000001B">
      <w:pPr>
        <w:pageBreakBefore w:val="0"/>
        <w:widowControl/>
        <w:spacing w:after="40" w:before="0" w:line="245" w:lineRule="auto"/>
        <w:jc w:val="both"/>
        <w:rPr/>
      </w:pPr>
      <w:r>
        <w:rPr>
          <w:u w:val="none"/>
          <w:rtl w:val="0"/>
        </w:rPr>
        <w:t>The S&amp;P/ASX 300 uses float-adjusted market capitalisation and liquidity criteria, with scheduled reviews in March and September. S&amp;P's trading-data cut-off is the second-to-last Friday of the preceding month (S&amp;P Dow Jones Indices, 2023–2026). Our supplied panels use the preceding trading day, day −11, for matching; 'reference date' below refers to this research input, not the official cut-off. Day 0 is the Friday announcement, day +10 the rebalance close two Fridays later, and day +11 the Monday effective date. Public eligibility rules make advance positioning plausible, motivating the pre-announcement stage in Table 1.</w:t>
      </w:r>
    </w:p>
    <w:p w:rsidR="00000000" w:rsidDel="00000000" w:rsidP="00000000" w:rsidRDefault="00000000" w:rsidRPr="00000000" w14:paraId="000000A5">
      <w:pPr>
        <w:keepNext/>
        <w:pageBreakBefore w:val="0"/>
        <w:widowControl/>
        <w:spacing w:after="100" w:before="0" w:lineRule="auto" w:line="264"/>
        <w:jc w:val="center"/>
        <w:rPr>
          <w:i w:val="1"/>
          <w:iCs w:val="1"/>
        </w:rPr>
      </w:pPr>
      <w:r>
        <w:rPr>
          <w:i/>
          <w:iCs w:val="1"/>
          <w:sz w:val="19"/>
          <w:u w:val="none"/>
          <w:rtl w:val="0"/>
        </w:rPr>
        <w:t>Table 1. Event stages relative to announcement day 0</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2182"/>
        <w:gridCol w:w="5849"/>
        <w:tblGridChange w:id="0">
          <w:tblGrid>
            <w:gridCol w:w="994.5876502279322"/>
            <w:gridCol w:w="2182.154993783672"/>
            <w:gridCol w:w="5848.769167012019"/>
          </w:tblGrid>
        </w:tblGridChange>
      </w:tblGrid>
      <w:tr>
        <w:trPr>
          <w:tblHeader w:val="0"/>
          <w:tblHeader/>
          <w:cantSplit/>
          <w:tblHeader/>
        </w:trPr>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0">
            <w:pPr>
              <w:keepNext/>
              <w:spacing w:after="0" w:before="0" w:line="245" w:lineRule="auto"/>
              <w:jc w:val="left"/>
              <w:rPr>
                <w:b w:val="1"/>
                <w:bCs w:val="1"/>
                <w:sz w:val="20"/>
                <w:szCs w:val="20"/>
              </w:rPr>
            </w:pPr>
            <w:r w:rsidDel="00000000" w:rsidR="00000000" w:rsidRPr="00000000">
              <w:rPr>
                <w:b/>
                <w:bCs w:val="1"/>
                <w:sz w:val="19"/>
                <w:szCs w:val="20"/>
                <w:u w:val="none"/>
                <w:rtl w:val="0"/>
              </w:rPr>
              <w:t xml:space="preserve">Stage</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1">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Trading days</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2">
            <w:pPr>
              <w:keepNext/>
              <w:spacing w:after="0" w:before="0" w:line="245" w:lineRule="auto"/>
              <w:jc w:val="center"/>
              <w:rPr>
                <w:b w:val="1"/>
                <w:bCs w:val="1"/>
                <w:sz w:val="20"/>
                <w:szCs w:val="20"/>
              </w:rPr>
            </w:pPr>
            <w:r>
              <w:rPr>
                <w:b/>
                <w:bCs w:val="1"/>
                <w:sz w:val="19"/>
                <w:szCs w:val="20"/>
                <w:u w:val="none"/>
                <w:rtl w:val="0"/>
              </w:rPr>
              <w:t>Full stage name</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3">
            <w:pPr>
              <w:keepNext/>
              <w:spacing w:after="0" w:before="0" w:line="245" w:lineRule="auto"/>
              <w:jc w:val="left"/>
              <w:rPr>
                <w:sz w:val="20"/>
                <w:szCs w:val="20"/>
              </w:rPr>
            </w:pPr>
            <w:r w:rsidDel="00000000" w:rsidR="00000000" w:rsidRPr="00000000">
              <w:rPr>
                <w:b w:val="0"/>
                <w:sz w:val="19"/>
                <w:szCs w:val="20"/>
                <w:u w:val="none"/>
                <w:rtl w:val="0"/>
              </w:rPr>
              <w:t xml:space="preserve">EP</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4">
            <w:pPr>
              <w:keepNext/>
              <w:spacing w:after="0" w:before="0" w:line="245" w:lineRule="auto"/>
              <w:jc w:val="center"/>
              <w:rPr>
                <w:sz w:val="20"/>
                <w:szCs w:val="20"/>
              </w:rPr>
            </w:pPr>
            <w:r>
              <w:rPr>
                <w:b w:val="0"/>
                <w:sz w:val="19"/>
                <w:szCs w:val="20"/>
                <w:u w:val="none"/>
                <w:rtl w:val="0"/>
              </w:rPr>
              <w:t>−60:−41</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5">
            <w:pPr>
              <w:keepNext/>
              <w:spacing w:after="0" w:before="0" w:line="245" w:lineRule="auto"/>
              <w:jc w:val="center"/>
              <w:rPr>
                <w:sz w:val="20"/>
                <w:szCs w:val="20"/>
              </w:rPr>
            </w:pPr>
            <w:r>
              <w:rPr>
                <w:b w:val="0"/>
                <w:sz w:val="19"/>
                <w:szCs w:val="20"/>
                <w:u w:val="none"/>
                <w:rtl w:val="0"/>
              </w:rPr>
              <w:t>Earlier period</w:t>
            </w:r>
          </w:p>
        </w:tc>
      </w:tr>
      <w:tr>
        <w:trPr>
          <w:tblHeader w:val="0"/>
          <w:cantSplit/>
        </w:trPr>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6">
            <w:pPr>
              <w:keepNext/>
              <w:spacing w:after="0" w:before="0" w:line="245" w:lineRule="auto"/>
              <w:jc w:val="left"/>
              <w:rPr>
                <w:sz w:val="20"/>
                <w:szCs w:val="20"/>
              </w:rPr>
            </w:pPr>
            <w:r w:rsidDel="00000000" w:rsidR="00000000" w:rsidRPr="00000000">
              <w:rPr>
                <w:b w:val="0"/>
                <w:sz w:val="19"/>
                <w:szCs w:val="20"/>
                <w:u w:val="none"/>
                <w:rtl w:val="0"/>
              </w:rPr>
              <w:t xml:space="preserve">B</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7">
            <w:pPr>
              <w:keepNext/>
              <w:spacing w:after="0" w:before="0" w:line="245" w:lineRule="auto"/>
              <w:jc w:val="center"/>
              <w:rPr>
                <w:sz w:val="20"/>
                <w:szCs w:val="20"/>
              </w:rPr>
            </w:pPr>
            <w:r>
              <w:rPr>
                <w:b w:val="0"/>
                <w:sz w:val="19"/>
                <w:szCs w:val="20"/>
                <w:u w:val="none"/>
                <w:rtl w:val="0"/>
              </w:rPr>
              <w:t>−40:−21</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8">
            <w:pPr>
              <w:keepNext/>
              <w:spacing w:after="0" w:before="0" w:line="245" w:lineRule="auto"/>
              <w:jc w:val="center"/>
              <w:rPr>
                <w:sz w:val="20"/>
                <w:szCs w:val="20"/>
              </w:rPr>
            </w:pPr>
            <w:r>
              <w:rPr>
                <w:b w:val="0"/>
                <w:sz w:val="19"/>
                <w:szCs w:val="20"/>
                <w:u w:val="none"/>
                <w:rtl w:val="0"/>
              </w:rPr>
              <w:t>Baseline</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9">
            <w:pPr>
              <w:keepNext/>
              <w:spacing w:after="0" w:before="0" w:line="245" w:lineRule="auto"/>
              <w:jc w:val="left"/>
              <w:rPr>
                <w:sz w:val="20"/>
                <w:szCs w:val="20"/>
              </w:rPr>
            </w:pPr>
            <w:r w:rsidDel="00000000" w:rsidR="00000000" w:rsidRPr="00000000">
              <w:rPr>
                <w:b w:val="0"/>
                <w:sz w:val="19"/>
                <w:szCs w:val="20"/>
                <w:u w:val="none"/>
                <w:rtl w:val="0"/>
              </w:rPr>
              <w:t xml:space="preserve">PA</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A">
            <w:pPr>
              <w:keepNext/>
              <w:spacing w:after="0" w:before="0" w:line="245" w:lineRule="auto"/>
              <w:jc w:val="center"/>
              <w:rPr>
                <w:sz w:val="20"/>
                <w:szCs w:val="20"/>
              </w:rPr>
            </w:pPr>
            <w:r>
              <w:rPr>
                <w:b w:val="0"/>
                <w:sz w:val="19"/>
                <w:szCs w:val="20"/>
                <w:u w:val="none"/>
                <w:rtl w:val="0"/>
              </w:rPr>
              <w:t>−20:0</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B">
            <w:pPr>
              <w:keepNext/>
              <w:spacing w:after="0" w:before="0" w:line="245" w:lineRule="auto"/>
              <w:jc w:val="center"/>
              <w:rPr>
                <w:sz w:val="20"/>
                <w:szCs w:val="20"/>
              </w:rPr>
            </w:pPr>
            <w:r>
              <w:rPr>
                <w:b w:val="0"/>
                <w:sz w:val="19"/>
                <w:szCs w:val="20"/>
                <w:u w:val="none"/>
                <w:rtl w:val="0"/>
              </w:rPr>
              <w:t>Pre-announcement period</w:t>
            </w:r>
          </w:p>
        </w:tc>
      </w:tr>
      <w:tr>
        <w:trPr>
          <w:tblHeader w:val="0"/>
          <w:cantSplit/>
        </w:trPr>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C">
            <w:pPr>
              <w:keepNext/>
              <w:spacing w:after="0" w:before="0" w:line="245" w:lineRule="auto"/>
              <w:jc w:val="left"/>
              <w:rPr>
                <w:sz w:val="20"/>
                <w:szCs w:val="20"/>
              </w:rPr>
            </w:pPr>
            <w:r w:rsidDel="00000000" w:rsidR="00000000" w:rsidRPr="00000000">
              <w:rPr>
                <w:b w:val="0"/>
                <w:sz w:val="19"/>
                <w:szCs w:val="20"/>
                <w:u w:val="none"/>
                <w:rtl w:val="0"/>
              </w:rPr>
              <w:t xml:space="preserve">AP</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D">
            <w:pPr>
              <w:keepNext/>
              <w:spacing w:after="0" w:before="0" w:line="245" w:lineRule="auto"/>
              <w:jc w:val="center"/>
              <w:rPr>
                <w:sz w:val="20"/>
                <w:szCs w:val="20"/>
              </w:rPr>
            </w:pPr>
            <w:r>
              <w:rPr>
                <w:b w:val="0"/>
                <w:sz w:val="19"/>
                <w:szCs w:val="20"/>
                <w:u w:val="none"/>
                <w:rtl w:val="0"/>
              </w:rPr>
              <w:t>+1:+10</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E">
            <w:pPr>
              <w:keepNext/>
              <w:spacing w:after="0" w:before="0" w:line="245" w:lineRule="auto"/>
              <w:jc w:val="center"/>
              <w:rPr>
                <w:sz w:val="20"/>
                <w:szCs w:val="20"/>
              </w:rPr>
            </w:pPr>
            <w:r>
              <w:rPr>
                <w:b w:val="0"/>
                <w:sz w:val="19"/>
                <w:szCs w:val="20"/>
                <w:u w:val="none"/>
                <w:rtl w:val="0"/>
              </w:rPr>
              <w:t>Adjustment period</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9F">
            <w:pPr>
              <w:keepNext/>
              <w:spacing w:after="0" w:before="0" w:line="245" w:lineRule="auto"/>
              <w:jc w:val="left"/>
              <w:rPr>
                <w:sz w:val="20"/>
                <w:szCs w:val="20"/>
              </w:rPr>
            </w:pPr>
            <w:r w:rsidDel="00000000" w:rsidR="00000000" w:rsidRPr="00000000">
              <w:rPr>
                <w:b w:val="0"/>
                <w:sz w:val="19"/>
                <w:szCs w:val="20"/>
                <w:u w:val="none"/>
                <w:rtl w:val="0"/>
              </w:rPr>
              <w:t xml:space="preserve">SP</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A0">
            <w:pPr>
              <w:keepNext/>
              <w:spacing w:after="0" w:before="0" w:line="245" w:lineRule="auto"/>
              <w:jc w:val="center"/>
              <w:rPr>
                <w:sz w:val="20"/>
                <w:szCs w:val="20"/>
              </w:rPr>
            </w:pPr>
            <w:r>
              <w:rPr>
                <w:b w:val="0"/>
                <w:sz w:val="19"/>
                <w:szCs w:val="20"/>
                <w:u w:val="none"/>
                <w:rtl w:val="0"/>
              </w:rPr>
              <w:t>+11:+30</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A1">
            <w:pPr>
              <w:keepNext/>
              <w:spacing w:after="0" w:before="0" w:line="245" w:lineRule="auto"/>
              <w:jc w:val="center"/>
              <w:rPr>
                <w:sz w:val="20"/>
                <w:szCs w:val="20"/>
              </w:rPr>
            </w:pPr>
            <w:r>
              <w:rPr>
                <w:b w:val="0"/>
                <w:sz w:val="19"/>
                <w:szCs w:val="20"/>
                <w:u w:val="none"/>
                <w:rtl w:val="0"/>
              </w:rPr>
              <w:t>Short post-inclusion period</w:t>
            </w:r>
          </w:p>
        </w:tc>
      </w:tr>
      <w:tr>
        <w:trPr>
          <w:tblHeader w:val="0"/>
          <w:cantSplit/>
        </w:trPr>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A2">
            <w:pPr>
              <w:keepNext w:val="0"/>
              <w:spacing w:after="0" w:before="0" w:line="245" w:lineRule="auto"/>
              <w:jc w:val="left"/>
              <w:rPr>
                <w:sz w:val="20"/>
                <w:szCs w:val="20"/>
              </w:rPr>
            </w:pPr>
            <w:r w:rsidDel="00000000" w:rsidR="00000000" w:rsidRPr="00000000">
              <w:rPr>
                <w:b w:val="0"/>
                <w:sz w:val="19"/>
                <w:szCs w:val="20"/>
                <w:u w:val="none"/>
                <w:rtl w:val="0"/>
              </w:rPr>
              <w:t xml:space="preserve">LP</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A3">
            <w:pPr>
              <w:keepNext w:val="0"/>
              <w:spacing w:after="0" w:before="0" w:line="245" w:lineRule="auto"/>
              <w:jc w:val="center"/>
              <w:rPr>
                <w:sz w:val="20"/>
                <w:szCs w:val="20"/>
              </w:rPr>
            </w:pPr>
            <w:r>
              <w:rPr>
                <w:b w:val="0"/>
                <w:sz w:val="19"/>
                <w:szCs w:val="20"/>
                <w:u w:val="none"/>
                <w:rtl w:val="0"/>
              </w:rPr>
              <w:t>+31:+60</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A4">
            <w:pPr>
              <w:keepNext w:val="0"/>
              <w:spacing w:after="0" w:before="0" w:line="245" w:lineRule="auto"/>
              <w:jc w:val="center"/>
              <w:rPr>
                <w:sz w:val="20"/>
                <w:szCs w:val="20"/>
              </w:rPr>
            </w:pPr>
            <w:r>
              <w:rPr>
                <w:b w:val="0"/>
                <w:sz w:val="19"/>
                <w:szCs w:val="20"/>
                <w:u w:val="none"/>
                <w:rtl w:val="0"/>
              </w:rPr>
              <w:t>Later post-inclusion period</w:t>
            </w:r>
          </w:p>
        </w:tc>
      </w:tr>
    </w:tbl>
    <w:p w:rsidR="00000000" w:rsidDel="00000000" w:rsidP="00000000" w:rsidRDefault="00000000" w:rsidRPr="00000000" w14:paraId="0000001D">
      <w:pPr>
        <w:pStyle w:val="Heading2"/>
        <w:keepNext/>
        <w:pageBreakBefore w:val="0"/>
        <w:widowControl/>
        <w:spacing w:after="60" w:before="100" w:line="264" w:lineRule="auto"/>
        <w:ind w:left="0" w:firstLine="0"/>
        <w:jc w:val="both"/>
        <w:rPr>
          <w:u w:val="single"/>
        </w:rPr>
      </w:pPr>
      <w:r>
        <w:rPr>
          <w:b/>
          <w:color w:val="000000"/>
          <w:sz w:val="24"/>
          <w:u w:val="none"/>
          <w:rtl w:val="0"/>
        </w:rPr>
        <w:t>2.2 Liquidity channels</w:t>
      </w:r>
    </w:p>
    <w:p w:rsidR="00000000" w:rsidDel="00000000" w:rsidP="00000000" w:rsidRDefault="00000000" w:rsidRPr="00000000" w14:paraId="0000001F">
      <w:pPr>
        <w:pageBreakBefore w:val="0"/>
        <w:widowControl/>
        <w:spacing w:after="40" w:before="0" w:line="245" w:lineRule="auto"/>
        <w:jc w:val="both"/>
        <w:rPr/>
      </w:pPr>
      <w:r>
        <w:rPr>
          <w:u w:val="none"/>
          <w:rtl w:val="0"/>
        </w:rPr>
        <w:t>Mechanical portfolio adjustment should concentrate trading in AP; Madhavan (2003) documents reconstitution trading in the Russell setting. For Amihud, greater traded value lowers the ratio at a given absolute return, while price pressure can raise its numerator. Investor recognition (Merton, 1987) and improved information conditions (Hegde and McDermott, 2003) could support persistence into SP and LP. Stage profiles help assess these explanations but do not separately identify the channels.</w:t>
      </w:r>
    </w:p>
    <w:p w:rsidR="00000000" w:rsidDel="00000000" w:rsidP="00000000" w:rsidRDefault="00000000" w:rsidRPr="00000000" w14:paraId="00000023">
      <w:pPr>
        <w:pStyle w:val="Heading2"/>
        <w:keepNext/>
        <w:pageBreakBefore w:val="0"/>
        <w:widowControl/>
        <w:spacing w:after="60" w:before="100" w:line="264" w:lineRule="auto"/>
        <w:ind w:left="0" w:firstLine="0"/>
        <w:jc w:val="both"/>
        <w:rPr>
          <w:u w:val="single"/>
        </w:rPr>
      </w:pPr>
      <w:r>
        <w:rPr>
          <w:b/>
          <w:color w:val="000000"/>
          <w:sz w:val="24"/>
          <w:u w:val="none"/>
          <w:rtl w:val="0"/>
        </w:rPr>
        <w:t>2.3 Evidence on inclusion</w:t>
      </w:r>
    </w:p>
    <w:p w:rsidR="00000000" w:rsidDel="00000000" w:rsidP="00000000" w:rsidRDefault="00000000" w:rsidRPr="00000000" w14:paraId="00000025">
      <w:pPr>
        <w:pageBreakBefore w:val="0"/>
        <w:widowControl/>
        <w:spacing w:after="40" w:before="0" w:line="245" w:lineRule="auto"/>
        <w:jc w:val="both"/>
        <w:rPr/>
      </w:pPr>
      <w:r>
        <w:rPr>
          <w:u w:val="none"/>
          <w:rtl w:val="0"/>
        </w:rPr>
        <w:t>Early evidence focuses on prices: Shleifer (1986) finds positive responses to S&amp;P 500 additions, and Beneish and Whaley (1996) show that advance notice changes when the price response occurs. Hegde and McDermott (2003) instead document sustained liquidity improvements. Greenwood and Sammon (2025) find that the price effect has weakened over time. We examine whether liquidity changes in Australia are concentrated around rebalancing or continue afterwards.</w:t>
      </w:r>
    </w:p>
    <w:p w:rsidR="00000000" w:rsidDel="00000000" w:rsidP="00000000" w:rsidRDefault="00000000" w:rsidRPr="00000000" w14:paraId="00000027">
      <w:pPr>
        <w:pStyle w:val="Heading1"/>
        <w:keepNext/>
        <w:keepLines w:val="0"/>
        <w:pageBreakBefore w:val="0"/>
        <w:widowControl/>
        <w:spacing w:after="100" w:before="180" w:line="264" w:lineRule="auto"/>
        <w:ind w:left="0" w:firstLine="0"/>
        <w:jc w:val="both"/>
        <w:rPr>
          <w:b w:val="1"/>
          <w:bCs w:val="1"/>
          <w:sz w:val="30"/>
          <w:szCs w:val="30"/>
        </w:rPr>
      </w:pPr>
      <w:r>
        <w:rPr>
          <w:b/>
          <w:bCs w:val="1"/>
          <w:color w:val="000000"/>
          <w:sz w:val="30"/>
          <w:szCs w:val="30"/>
          <w:u w:val="none"/>
          <w:rtl w:val="0"/>
        </w:rPr>
        <w:t>3 Data</w:t>
      </w:r>
    </w:p>
    <w:p w:rsidR="00000000" w:rsidDel="00000000" w:rsidP="00000000" w:rsidRDefault="00000000" w:rsidRPr="00000000" w14:paraId="00000029">
      <w:pPr>
        <w:pStyle w:val="Heading2"/>
        <w:keepNext/>
        <w:pageBreakBefore w:val="0"/>
        <w:widowControl/>
        <w:spacing w:after="60" w:before="100" w:line="264" w:lineRule="auto"/>
        <w:ind w:left="0" w:firstLine="0"/>
        <w:rPr>
          <w:u w:val="single"/>
        </w:rPr>
      </w:pPr>
      <w:r>
        <w:rPr>
          <w:b/>
          <w:color w:val="000000"/>
          <w:sz w:val="24"/>
          <w:u w:val="none"/>
          <w:rtl w:val="0"/>
        </w:rPr>
        <w:t>3.1 Sources</w:t>
      </w:r>
    </w:p>
    <w:p w:rsidR="00000000" w:rsidDel="00000000" w:rsidP="00000000" w:rsidRDefault="00000000" w:rsidRPr="00000000" w14:paraId="0000002B">
      <w:pPr>
        <w:pageBreakBefore w:val="0"/>
        <w:widowControl/>
        <w:spacing w:after="40" w:before="0" w:line="245" w:lineRule="auto"/>
        <w:jc w:val="both"/>
        <w:rPr/>
      </w:pPr>
      <w:r>
        <w:rPr>
          <w:u w:val="none"/>
          <w:rtl w:val="0"/>
        </w:rPr>
        <w:t>Yahoo Finance supplies daily prices and adjusted closes; EODHD supplies GICS sectors, share volume and share-count cross-checks. Official S&amp;P notices establish additions and event dates. Yahoo share histories, EODHD filings and dated ASX disclosures reconcile share counts, including splits and CHESS Depositary Interests (CDIs). Market values are in Australian dollars. GICS classifications are those available from the vendor at collection.</w:t>
      </w:r>
    </w:p>
    <w:p w:rsidR="00000000" w:rsidDel="00000000" w:rsidP="00000000" w:rsidRDefault="00000000" w:rsidRPr="00000000" w14:paraId="0000002D">
      <w:pPr>
        <w:pStyle w:val="Heading2"/>
        <w:keepNext/>
        <w:pageBreakBefore w:val="0"/>
        <w:widowControl/>
        <w:spacing w:after="60" w:before="100" w:line="264" w:lineRule="auto"/>
        <w:ind w:left="0" w:firstLine="0"/>
        <w:jc w:val="both"/>
        <w:rPr>
          <w:u w:val="single"/>
        </w:rPr>
      </w:pPr>
      <w:r>
        <w:rPr>
          <w:b/>
          <w:color w:val="000000"/>
          <w:sz w:val="24"/>
          <w:u w:val="none"/>
          <w:rtl w:val="0"/>
        </w:rPr>
        <w:t>3.2 Event sample</w:t>
      </w:r>
    </w:p>
    <w:p w:rsidR="00000000" w:rsidDel="00000000" w:rsidP="00000000" w:rsidRDefault="00000000" w:rsidRPr="00000000" w14:paraId="0000002F">
      <w:pPr>
        <w:pageBreakBefore w:val="0"/>
        <w:widowControl/>
        <w:spacing w:after="40" w:before="0" w:line="245" w:lineRule="auto"/>
        <w:jc w:val="both"/>
        <w:rPr/>
      </w:pPr>
      <w:r>
        <w:rPr>
          <w:u w:val="none"/>
          <w:rtl w:val="0"/>
        </w:rPr>
        <w:t>The notice inventory contains 84 additions; 77 have usable current price histories and matched controls (Table 2). Missing histories exclude LRS and MRM in March 2024; MAC, OPT, RUL and SPR in September 2024; and QOR in September 2025. We validate unique ticker–review–date keys and apply the same coverage rules to retained events, including re-entries. The resulting grid contains 27,951 rows: 231 stock-review units over days −60:+60. Loss of delisted or acquired firms creates a sample-selection concern discussed in Section 7.</w:t>
      </w:r>
    </w:p>
    <w:p w:rsidR="00000000" w:rsidDel="00000000" w:rsidP="00000000" w:rsidRDefault="00000000" w:rsidRPr="00000000" w14:paraId="00000061">
      <w:pPr>
        <w:keepNext/>
        <w:pageBreakBefore w:val="0"/>
        <w:widowControl/>
        <w:spacing w:after="100" w:before="0" w:line="264" w:lineRule="auto"/>
        <w:jc w:val="center"/>
        <w:rPr>
          <w:i w:val="1"/>
          <w:iCs w:val="1"/>
          <w:sz w:val="18"/>
          <w:szCs w:val="18"/>
        </w:rPr>
      </w:pPr>
      <w:r>
        <w:rPr>
          <w:i/>
          <w:iCs w:val="1"/>
          <w:sz w:val="19"/>
          <w:szCs w:val="20"/>
          <w:u w:val="none"/>
          <w:rtl w:val="0"/>
        </w:rPr>
        <w:t>Table 2. ASX 300 reviews and sample sizes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725"/>
        <w:gridCol w:w="1740"/>
        <w:gridCol w:w="1440"/>
        <w:gridCol w:w="1455"/>
        <w:gridCol w:w="1410"/>
        <w:tblGridChange w:id="0">
          <w:tblGrid>
            <w:gridCol w:w="1245"/>
            <w:gridCol w:w="1725"/>
            <w:gridCol w:w="1740"/>
            <w:gridCol w:w="1440"/>
            <w:gridCol w:w="1455"/>
            <w:gridCol w:w="1410"/>
          </w:tblGrid>
        </w:tblGridChange>
      </w:tblGrid>
      <w:tr>
        <w:trPr>
          <w:tblHeader w:val="0"/>
          <w:tblHeader/>
          <w:cantSplit/>
          <w:tblHeader/>
        </w:trPr>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1">
            <w:pPr>
              <w:keepNext/>
              <w:spacing w:after="0" w:before="0" w:line="245" w:lineRule="auto"/>
              <w:jc w:val="left"/>
              <w:rPr>
                <w:b w:val="1"/>
                <w:bCs w:val="1"/>
                <w:sz w:val="19"/>
                <w:szCs w:val="19"/>
              </w:rPr>
            </w:pPr>
            <w:r w:rsidDel="00000000" w:rsidR="00000000" w:rsidRPr="00000000">
              <w:rPr>
                <w:b/>
                <w:bCs w:val="1"/>
                <w:sz w:val="19"/>
                <w:szCs w:val="19"/>
                <w:u w:val="none"/>
                <w:rtl w:val="0"/>
              </w:rPr>
              <w:t xml:space="preserve">Review</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2">
            <w:pPr>
              <w:keepNext/>
              <w:spacing w:after="0" w:before="0" w:line="245" w:lineRule="auto"/>
              <w:jc w:val="center"/>
              <w:rPr>
                <w:b w:val="1"/>
                <w:bCs w:val="1"/>
                <w:sz w:val="19"/>
                <w:szCs w:val="19"/>
              </w:rPr>
            </w:pPr>
            <w:r w:rsidDel="00000000" w:rsidR="00000000" w:rsidRPr="00000000">
              <w:rPr>
                <w:b/>
                <w:bCs w:val="1"/>
                <w:sz w:val="19"/>
                <w:szCs w:val="19"/>
                <w:u w:val="none"/>
                <w:rtl w:val="0"/>
              </w:rPr>
              <w:t xml:space="preserve">Announcement</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3">
            <w:pPr>
              <w:keepNext/>
              <w:spacing w:after="0" w:before="0" w:line="245" w:lineRule="auto"/>
              <w:jc w:val="center"/>
              <w:rPr>
                <w:b w:val="1"/>
                <w:bCs w:val="1"/>
                <w:sz w:val="19"/>
                <w:szCs w:val="19"/>
              </w:rPr>
            </w:pPr>
            <w:r w:rsidDel="00000000" w:rsidR="00000000" w:rsidRPr="00000000">
              <w:rPr>
                <w:b/>
                <w:bCs w:val="1"/>
                <w:sz w:val="19"/>
                <w:szCs w:val="19"/>
                <w:u w:val="none"/>
                <w:rtl w:val="0"/>
              </w:rPr>
              <w:t>Rebalance close</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4">
            <w:pPr>
              <w:keepNext/>
              <w:spacing w:after="0" w:before="0" w:line="245" w:lineRule="auto"/>
              <w:jc w:val="center"/>
              <w:rPr>
                <w:b w:val="1"/>
                <w:bCs w:val="1"/>
                <w:sz w:val="19"/>
                <w:szCs w:val="19"/>
              </w:rPr>
            </w:pPr>
            <w:r w:rsidDel="00000000" w:rsidR="00000000" w:rsidRPr="00000000">
              <w:rPr>
                <w:b/>
                <w:bCs w:val="1"/>
                <w:sz w:val="19"/>
                <w:szCs w:val="19"/>
                <w:u w:val="none"/>
                <w:rtl w:val="0"/>
              </w:rPr>
              <w:t xml:space="preserve">Initial additions</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5">
            <w:pPr>
              <w:keepNext/>
              <w:spacing w:after="0" w:before="0" w:line="245" w:lineRule="auto"/>
              <w:jc w:val="center"/>
              <w:rPr>
                <w:b w:val="1"/>
                <w:bCs w:val="1"/>
                <w:sz w:val="19"/>
                <w:szCs w:val="19"/>
              </w:rPr>
            </w:pPr>
            <w:r w:rsidDel="00000000" w:rsidR="00000000" w:rsidRPr="00000000">
              <w:rPr>
                <w:b/>
                <w:bCs w:val="1"/>
                <w:sz w:val="19"/>
                <w:szCs w:val="19"/>
                <w:u w:val="none"/>
                <w:rtl w:val="0"/>
              </w:rPr>
              <w:t xml:space="preserve">Retained additions</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6">
            <w:pPr>
              <w:keepNext/>
              <w:spacing w:after="0" w:before="0" w:line="245" w:lineRule="auto"/>
              <w:jc w:val="center"/>
              <w:rPr>
                <w:b w:val="1"/>
                <w:bCs w:val="1"/>
                <w:sz w:val="19"/>
                <w:szCs w:val="19"/>
              </w:rPr>
            </w:pPr>
            <w:r w:rsidDel="00000000" w:rsidR="00000000" w:rsidRPr="00000000">
              <w:rPr>
                <w:b/>
                <w:bCs w:val="1"/>
                <w:sz w:val="19"/>
                <w:szCs w:val="19"/>
                <w:u w:val="none"/>
                <w:rtl w:val="0"/>
              </w:rPr>
              <w:t xml:space="preserve">Controls</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7">
            <w:pPr>
              <w:keepNext/>
              <w:spacing w:after="0" w:before="0" w:line="245" w:lineRule="auto"/>
              <w:jc w:val="left"/>
              <w:rPr>
                <w:sz w:val="19"/>
                <w:szCs w:val="19"/>
              </w:rPr>
            </w:pPr>
            <w:r w:rsidDel="00000000" w:rsidR="00000000" w:rsidRPr="00000000">
              <w:rPr>
                <w:b w:val="0"/>
                <w:sz w:val="19"/>
                <w:szCs w:val="19"/>
                <w:u w:val="none"/>
                <w:rtl w:val="0"/>
              </w:rPr>
              <w:t xml:space="preserve">Sep 2023</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8">
            <w:pPr>
              <w:keepNext/>
              <w:spacing w:after="0" w:before="0" w:line="245" w:lineRule="auto"/>
              <w:jc w:val="center"/>
              <w:rPr>
                <w:sz w:val="19"/>
                <w:szCs w:val="19"/>
              </w:rPr>
            </w:pPr>
            <w:r w:rsidDel="00000000" w:rsidR="00000000" w:rsidRPr="00000000">
              <w:rPr>
                <w:b w:val="0"/>
                <w:sz w:val="19"/>
                <w:szCs w:val="19"/>
                <w:u w:val="none"/>
                <w:rtl w:val="0"/>
              </w:rPr>
              <w:t xml:space="preserve">1 Sep 2023</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9">
            <w:pPr>
              <w:keepNext/>
              <w:spacing w:after="0" w:before="0" w:line="245" w:lineRule="auto"/>
              <w:jc w:val="center"/>
              <w:rPr>
                <w:sz w:val="19"/>
                <w:szCs w:val="19"/>
              </w:rPr>
            </w:pPr>
            <w:r w:rsidDel="00000000" w:rsidR="00000000" w:rsidRPr="00000000">
              <w:rPr>
                <w:b w:val="0"/>
                <w:sz w:val="19"/>
                <w:szCs w:val="19"/>
                <w:u w:val="none"/>
                <w:rtl w:val="0"/>
              </w:rPr>
              <w:t xml:space="preserve">15 Sep 2023</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A">
            <w:pPr>
              <w:keepNext/>
              <w:spacing w:after="0" w:before="0" w:line="245" w:lineRule="auto"/>
              <w:jc w:val="center"/>
              <w:rPr>
                <w:sz w:val="19"/>
                <w:szCs w:val="19"/>
              </w:rPr>
            </w:pPr>
            <w:r w:rsidDel="00000000" w:rsidR="00000000" w:rsidRPr="00000000">
              <w:rPr>
                <w:b w:val="0"/>
                <w:sz w:val="19"/>
                <w:szCs w:val="19"/>
                <w:u w:val="none"/>
                <w:rtl w:val="0"/>
              </w:rPr>
              <w:t xml:space="preserve">10</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B">
            <w:pPr>
              <w:keepNext/>
              <w:spacing w:after="0" w:before="0" w:line="245" w:lineRule="auto"/>
              <w:jc w:val="center"/>
              <w:rPr>
                <w:sz w:val="19"/>
                <w:szCs w:val="19"/>
              </w:rPr>
            </w:pPr>
            <w:r w:rsidDel="00000000" w:rsidR="00000000" w:rsidRPr="00000000">
              <w:rPr>
                <w:b w:val="0"/>
                <w:sz w:val="19"/>
                <w:szCs w:val="19"/>
                <w:u w:val="none"/>
                <w:rtl w:val="0"/>
              </w:rPr>
              <w:t xml:space="preserve">10</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C">
            <w:pPr>
              <w:keepNext/>
              <w:spacing w:after="0" w:before="0" w:line="245" w:lineRule="auto"/>
              <w:jc w:val="center"/>
              <w:rPr>
                <w:sz w:val="19"/>
                <w:szCs w:val="19"/>
              </w:rPr>
            </w:pPr>
            <w:r w:rsidDel="00000000" w:rsidR="00000000" w:rsidRPr="00000000">
              <w:rPr>
                <w:b w:val="0"/>
                <w:sz w:val="19"/>
                <w:szCs w:val="19"/>
                <w:u w:val="none"/>
                <w:rtl w:val="0"/>
              </w:rPr>
              <w:t xml:space="preserve">20</w:t>
            </w:r>
          </w:p>
        </w:tc>
      </w:tr>
      <w:tr>
        <w:trPr>
          <w:tblHeader w:val="0"/>
          <w:cantSplit/>
        </w:trPr>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D">
            <w:pPr>
              <w:keepNext/>
              <w:spacing w:after="0" w:before="0" w:line="245" w:lineRule="auto"/>
              <w:jc w:val="left"/>
              <w:rPr>
                <w:sz w:val="19"/>
                <w:szCs w:val="19"/>
              </w:rPr>
            </w:pPr>
            <w:r w:rsidDel="00000000" w:rsidR="00000000" w:rsidRPr="00000000">
              <w:rPr>
                <w:b w:val="0"/>
                <w:sz w:val="19"/>
                <w:szCs w:val="19"/>
                <w:u w:val="none"/>
                <w:rtl w:val="0"/>
              </w:rPr>
              <w:t xml:space="preserve">Mar 2024</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E">
            <w:pPr>
              <w:keepNext/>
              <w:spacing w:after="0" w:before="0" w:line="245" w:lineRule="auto"/>
              <w:jc w:val="center"/>
              <w:rPr>
                <w:sz w:val="19"/>
                <w:szCs w:val="19"/>
              </w:rPr>
            </w:pPr>
            <w:r w:rsidDel="00000000" w:rsidR="00000000" w:rsidRPr="00000000">
              <w:rPr>
                <w:b w:val="0"/>
                <w:sz w:val="19"/>
                <w:szCs w:val="19"/>
                <w:u w:val="none"/>
                <w:rtl w:val="0"/>
              </w:rPr>
              <w:t xml:space="preserve">1 Mar 2024</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3F">
            <w:pPr>
              <w:keepNext/>
              <w:spacing w:after="0" w:before="0" w:line="245" w:lineRule="auto"/>
              <w:jc w:val="center"/>
              <w:rPr>
                <w:sz w:val="19"/>
                <w:szCs w:val="19"/>
              </w:rPr>
            </w:pPr>
            <w:r w:rsidDel="00000000" w:rsidR="00000000" w:rsidRPr="00000000">
              <w:rPr>
                <w:b w:val="0"/>
                <w:sz w:val="19"/>
                <w:szCs w:val="19"/>
                <w:u w:val="none"/>
                <w:rtl w:val="0"/>
              </w:rPr>
              <w:t xml:space="preserve">15 Mar 2024</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0">
            <w:pPr>
              <w:keepNext/>
              <w:spacing w:after="0" w:before="0" w:line="245" w:lineRule="auto"/>
              <w:jc w:val="center"/>
              <w:rPr>
                <w:sz w:val="19"/>
                <w:szCs w:val="19"/>
              </w:rPr>
            </w:pPr>
            <w:r w:rsidDel="00000000" w:rsidR="00000000" w:rsidRPr="00000000">
              <w:rPr>
                <w:b w:val="0"/>
                <w:sz w:val="19"/>
                <w:szCs w:val="19"/>
                <w:u w:val="none"/>
                <w:rtl w:val="0"/>
              </w:rPr>
              <w:t xml:space="preserve">14</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1">
            <w:pPr>
              <w:keepNext/>
              <w:spacing w:after="0" w:before="0" w:line="245" w:lineRule="auto"/>
              <w:jc w:val="center"/>
              <w:rPr>
                <w:sz w:val="19"/>
                <w:szCs w:val="19"/>
              </w:rPr>
            </w:pPr>
            <w:r w:rsidDel="00000000" w:rsidR="00000000" w:rsidRPr="00000000">
              <w:rPr>
                <w:b w:val="0"/>
                <w:sz w:val="19"/>
                <w:szCs w:val="19"/>
                <w:u w:val="none"/>
                <w:rtl w:val="0"/>
              </w:rPr>
              <w:t xml:space="preserve">12</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2">
            <w:pPr>
              <w:keepNext/>
              <w:spacing w:after="0" w:before="0" w:line="245" w:lineRule="auto"/>
              <w:jc w:val="center"/>
              <w:rPr>
                <w:sz w:val="19"/>
                <w:szCs w:val="19"/>
              </w:rPr>
            </w:pPr>
            <w:r w:rsidDel="00000000" w:rsidR="00000000" w:rsidRPr="00000000">
              <w:rPr>
                <w:b w:val="0"/>
                <w:sz w:val="19"/>
                <w:szCs w:val="19"/>
                <w:u w:val="none"/>
                <w:rtl w:val="0"/>
              </w:rPr>
              <w:t xml:space="preserve">24</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3">
            <w:pPr>
              <w:keepNext/>
              <w:spacing w:after="0" w:before="0" w:line="245" w:lineRule="auto"/>
              <w:jc w:val="left"/>
              <w:rPr>
                <w:sz w:val="19"/>
                <w:szCs w:val="19"/>
              </w:rPr>
            </w:pPr>
            <w:r w:rsidDel="00000000" w:rsidR="00000000" w:rsidRPr="00000000">
              <w:rPr>
                <w:b w:val="0"/>
                <w:sz w:val="19"/>
                <w:szCs w:val="19"/>
                <w:u w:val="none"/>
                <w:rtl w:val="0"/>
              </w:rPr>
              <w:t xml:space="preserve">Sep 2024</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4">
            <w:pPr>
              <w:keepNext/>
              <w:spacing w:after="0" w:before="0" w:line="245" w:lineRule="auto"/>
              <w:jc w:val="center"/>
              <w:rPr>
                <w:sz w:val="19"/>
                <w:szCs w:val="19"/>
              </w:rPr>
            </w:pPr>
            <w:r w:rsidDel="00000000" w:rsidR="00000000" w:rsidRPr="00000000">
              <w:rPr>
                <w:b w:val="0"/>
                <w:sz w:val="19"/>
                <w:szCs w:val="19"/>
                <w:u w:val="none"/>
                <w:rtl w:val="0"/>
              </w:rPr>
              <w:t xml:space="preserve">6 Sep 2024</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5">
            <w:pPr>
              <w:keepNext/>
              <w:spacing w:after="0" w:before="0" w:line="245" w:lineRule="auto"/>
              <w:jc w:val="center"/>
              <w:rPr>
                <w:sz w:val="19"/>
                <w:szCs w:val="19"/>
              </w:rPr>
            </w:pPr>
            <w:r w:rsidDel="00000000" w:rsidR="00000000" w:rsidRPr="00000000">
              <w:rPr>
                <w:b w:val="0"/>
                <w:sz w:val="19"/>
                <w:szCs w:val="19"/>
                <w:u w:val="none"/>
                <w:rtl w:val="0"/>
              </w:rPr>
              <w:t xml:space="preserve">20 Sep 2024</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6">
            <w:pPr>
              <w:keepNext/>
              <w:spacing w:after="0" w:before="0" w:line="245" w:lineRule="auto"/>
              <w:jc w:val="center"/>
              <w:rPr>
                <w:sz w:val="19"/>
                <w:szCs w:val="19"/>
              </w:rPr>
            </w:pPr>
            <w:r w:rsidDel="00000000" w:rsidR="00000000" w:rsidRPr="00000000">
              <w:rPr>
                <w:b w:val="0"/>
                <w:sz w:val="19"/>
                <w:szCs w:val="19"/>
                <w:u w:val="none"/>
                <w:rtl w:val="0"/>
              </w:rPr>
              <w:t xml:space="preserve">16</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7">
            <w:pPr>
              <w:keepNext/>
              <w:spacing w:after="0" w:before="0" w:line="245" w:lineRule="auto"/>
              <w:jc w:val="center"/>
              <w:rPr>
                <w:sz w:val="19"/>
                <w:szCs w:val="19"/>
              </w:rPr>
            </w:pPr>
            <w:r w:rsidDel="00000000" w:rsidR="00000000" w:rsidRPr="00000000">
              <w:rPr>
                <w:b w:val="0"/>
                <w:sz w:val="19"/>
                <w:szCs w:val="19"/>
                <w:u w:val="none"/>
                <w:rtl w:val="0"/>
              </w:rPr>
              <w:t xml:space="preserve">12</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8">
            <w:pPr>
              <w:keepNext/>
              <w:spacing w:after="0" w:before="0" w:line="245" w:lineRule="auto"/>
              <w:jc w:val="center"/>
              <w:rPr>
                <w:sz w:val="19"/>
                <w:szCs w:val="19"/>
              </w:rPr>
            </w:pPr>
            <w:r w:rsidDel="00000000" w:rsidR="00000000" w:rsidRPr="00000000">
              <w:rPr>
                <w:b w:val="0"/>
                <w:sz w:val="19"/>
                <w:szCs w:val="19"/>
                <w:u w:val="none"/>
                <w:rtl w:val="0"/>
              </w:rPr>
              <w:t xml:space="preserve">24</w:t>
            </w:r>
          </w:p>
        </w:tc>
      </w:tr>
      <w:tr>
        <w:trPr>
          <w:tblHeader w:val="0"/>
          <w:cantSplit/>
        </w:trPr>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9">
            <w:pPr>
              <w:keepNext/>
              <w:spacing w:after="0" w:before="0" w:line="245" w:lineRule="auto"/>
              <w:jc w:val="left"/>
              <w:rPr>
                <w:sz w:val="19"/>
                <w:szCs w:val="19"/>
              </w:rPr>
            </w:pPr>
            <w:r w:rsidDel="00000000" w:rsidR="00000000" w:rsidRPr="00000000">
              <w:rPr>
                <w:b w:val="0"/>
                <w:sz w:val="19"/>
                <w:szCs w:val="19"/>
                <w:u w:val="none"/>
                <w:rtl w:val="0"/>
              </w:rPr>
              <w:t xml:space="preserve">Mar 2025</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A">
            <w:pPr>
              <w:keepNext/>
              <w:spacing w:after="0" w:before="0" w:line="245" w:lineRule="auto"/>
              <w:jc w:val="center"/>
              <w:rPr>
                <w:sz w:val="19"/>
                <w:szCs w:val="19"/>
              </w:rPr>
            </w:pPr>
            <w:r w:rsidDel="00000000" w:rsidR="00000000" w:rsidRPr="00000000">
              <w:rPr>
                <w:b w:val="0"/>
                <w:sz w:val="19"/>
                <w:szCs w:val="19"/>
                <w:u w:val="none"/>
                <w:rtl w:val="0"/>
              </w:rPr>
              <w:t xml:space="preserve">7 Mar 2025</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B">
            <w:pPr>
              <w:keepNext/>
              <w:spacing w:after="0" w:before="0" w:line="245" w:lineRule="auto"/>
              <w:jc w:val="center"/>
              <w:rPr>
                <w:sz w:val="19"/>
                <w:szCs w:val="19"/>
              </w:rPr>
            </w:pPr>
            <w:r w:rsidDel="00000000" w:rsidR="00000000" w:rsidRPr="00000000">
              <w:rPr>
                <w:b w:val="0"/>
                <w:sz w:val="19"/>
                <w:szCs w:val="19"/>
                <w:u w:val="none"/>
                <w:rtl w:val="0"/>
              </w:rPr>
              <w:t xml:space="preserve">21 Mar 2025</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C">
            <w:pPr>
              <w:keepNext/>
              <w:spacing w:after="0" w:before="0" w:line="245" w:lineRule="auto"/>
              <w:jc w:val="center"/>
              <w:rPr>
                <w:sz w:val="19"/>
                <w:szCs w:val="19"/>
              </w:rPr>
            </w:pPr>
            <w:r w:rsidDel="00000000" w:rsidR="00000000" w:rsidRPr="00000000">
              <w:rPr>
                <w:b w:val="0"/>
                <w:sz w:val="19"/>
                <w:szCs w:val="19"/>
                <w:u w:val="none"/>
                <w:rtl w:val="0"/>
              </w:rPr>
              <w:t xml:space="preserve">11</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D">
            <w:pPr>
              <w:keepNext/>
              <w:spacing w:after="0" w:before="0" w:line="245" w:lineRule="auto"/>
              <w:jc w:val="center"/>
              <w:rPr>
                <w:sz w:val="19"/>
                <w:szCs w:val="19"/>
              </w:rPr>
            </w:pPr>
            <w:r w:rsidDel="00000000" w:rsidR="00000000" w:rsidRPr="00000000">
              <w:rPr>
                <w:b w:val="0"/>
                <w:sz w:val="19"/>
                <w:szCs w:val="19"/>
                <w:u w:val="none"/>
                <w:rtl w:val="0"/>
              </w:rPr>
              <w:t xml:space="preserve">11</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E">
            <w:pPr>
              <w:keepNext/>
              <w:spacing w:after="0" w:before="0" w:line="245" w:lineRule="auto"/>
              <w:jc w:val="center"/>
              <w:rPr>
                <w:sz w:val="19"/>
                <w:szCs w:val="19"/>
              </w:rPr>
            </w:pPr>
            <w:r w:rsidDel="00000000" w:rsidR="00000000" w:rsidRPr="00000000">
              <w:rPr>
                <w:b w:val="0"/>
                <w:sz w:val="19"/>
                <w:szCs w:val="19"/>
                <w:u w:val="none"/>
                <w:rtl w:val="0"/>
              </w:rPr>
              <w:t xml:space="preserve">22</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4F">
            <w:pPr>
              <w:keepNext/>
              <w:spacing w:after="0" w:before="0" w:line="245" w:lineRule="auto"/>
              <w:jc w:val="left"/>
              <w:rPr>
                <w:sz w:val="19"/>
                <w:szCs w:val="19"/>
              </w:rPr>
            </w:pPr>
            <w:r w:rsidDel="00000000" w:rsidR="00000000" w:rsidRPr="00000000">
              <w:rPr>
                <w:b w:val="0"/>
                <w:sz w:val="19"/>
                <w:szCs w:val="19"/>
                <w:u w:val="none"/>
                <w:rtl w:val="0"/>
              </w:rPr>
              <w:t xml:space="preserve">Sep 2025</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0">
            <w:pPr>
              <w:keepNext/>
              <w:spacing w:after="0" w:before="0" w:line="245" w:lineRule="auto"/>
              <w:jc w:val="center"/>
              <w:rPr>
                <w:sz w:val="19"/>
                <w:szCs w:val="19"/>
              </w:rPr>
            </w:pPr>
            <w:r w:rsidDel="00000000" w:rsidR="00000000" w:rsidRPr="00000000">
              <w:rPr>
                <w:b w:val="0"/>
                <w:sz w:val="19"/>
                <w:szCs w:val="19"/>
                <w:u w:val="none"/>
                <w:rtl w:val="0"/>
              </w:rPr>
              <w:t xml:space="preserve">5 Sep 2025</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1">
            <w:pPr>
              <w:keepNext/>
              <w:spacing w:after="0" w:before="0" w:line="245" w:lineRule="auto"/>
              <w:jc w:val="center"/>
              <w:rPr>
                <w:sz w:val="19"/>
                <w:szCs w:val="19"/>
              </w:rPr>
            </w:pPr>
            <w:r w:rsidDel="00000000" w:rsidR="00000000" w:rsidRPr="00000000">
              <w:rPr>
                <w:b w:val="0"/>
                <w:sz w:val="19"/>
                <w:szCs w:val="19"/>
                <w:u w:val="none"/>
                <w:rtl w:val="0"/>
              </w:rPr>
              <w:t xml:space="preserve">19 Sep 2025</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2">
            <w:pPr>
              <w:keepNext/>
              <w:spacing w:after="0" w:before="0" w:line="245" w:lineRule="auto"/>
              <w:jc w:val="center"/>
              <w:rPr>
                <w:sz w:val="19"/>
                <w:szCs w:val="19"/>
              </w:rPr>
            </w:pPr>
            <w:r w:rsidDel="00000000" w:rsidR="00000000" w:rsidRPr="00000000">
              <w:rPr>
                <w:b w:val="0"/>
                <w:sz w:val="19"/>
                <w:szCs w:val="19"/>
                <w:u w:val="none"/>
                <w:rtl w:val="0"/>
              </w:rPr>
              <w:t xml:space="preserve">17</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3">
            <w:pPr>
              <w:keepNext/>
              <w:spacing w:after="0" w:before="0" w:line="245" w:lineRule="auto"/>
              <w:jc w:val="center"/>
              <w:rPr>
                <w:sz w:val="19"/>
                <w:szCs w:val="19"/>
              </w:rPr>
            </w:pPr>
            <w:r w:rsidDel="00000000" w:rsidR="00000000" w:rsidRPr="00000000">
              <w:rPr>
                <w:b w:val="0"/>
                <w:sz w:val="19"/>
                <w:szCs w:val="19"/>
                <w:u w:val="none"/>
                <w:rtl w:val="0"/>
              </w:rPr>
              <w:t xml:space="preserve">16</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4">
            <w:pPr>
              <w:keepNext/>
              <w:spacing w:after="0" w:before="0" w:line="245" w:lineRule="auto"/>
              <w:jc w:val="center"/>
              <w:rPr>
                <w:sz w:val="19"/>
                <w:szCs w:val="19"/>
              </w:rPr>
            </w:pPr>
            <w:r w:rsidDel="00000000" w:rsidR="00000000" w:rsidRPr="00000000">
              <w:rPr>
                <w:b w:val="0"/>
                <w:sz w:val="19"/>
                <w:szCs w:val="19"/>
                <w:u w:val="none"/>
                <w:rtl w:val="0"/>
              </w:rPr>
              <w:t xml:space="preserve">32</w:t>
            </w:r>
          </w:p>
        </w:tc>
      </w:tr>
      <w:tr>
        <w:trPr>
          <w:tblHeader w:val="0"/>
          <w:cantSplit/>
        </w:trPr>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5">
            <w:pPr>
              <w:keepNext/>
              <w:spacing w:after="0" w:before="0" w:line="245" w:lineRule="auto"/>
              <w:jc w:val="left"/>
              <w:rPr>
                <w:sz w:val="19"/>
                <w:szCs w:val="19"/>
              </w:rPr>
            </w:pPr>
            <w:r w:rsidDel="00000000" w:rsidR="00000000" w:rsidRPr="00000000">
              <w:rPr>
                <w:b w:val="0"/>
                <w:sz w:val="19"/>
                <w:szCs w:val="19"/>
                <w:u w:val="none"/>
                <w:rtl w:val="0"/>
              </w:rPr>
              <w:t xml:space="preserve">Mar 2026</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6">
            <w:pPr>
              <w:keepNext/>
              <w:spacing w:after="0" w:before="0" w:line="245" w:lineRule="auto"/>
              <w:jc w:val="center"/>
              <w:rPr>
                <w:sz w:val="19"/>
                <w:szCs w:val="19"/>
              </w:rPr>
            </w:pPr>
            <w:r w:rsidDel="00000000" w:rsidR="00000000" w:rsidRPr="00000000">
              <w:rPr>
                <w:b w:val="0"/>
                <w:sz w:val="19"/>
                <w:szCs w:val="19"/>
                <w:u w:val="none"/>
                <w:rtl w:val="0"/>
              </w:rPr>
              <w:t xml:space="preserve">6 Mar 2026</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7">
            <w:pPr>
              <w:keepNext/>
              <w:spacing w:after="0" w:before="0" w:line="245" w:lineRule="auto"/>
              <w:jc w:val="center"/>
              <w:rPr>
                <w:sz w:val="19"/>
                <w:szCs w:val="19"/>
              </w:rPr>
            </w:pPr>
            <w:r w:rsidDel="00000000" w:rsidR="00000000" w:rsidRPr="00000000">
              <w:rPr>
                <w:b w:val="0"/>
                <w:sz w:val="19"/>
                <w:szCs w:val="19"/>
                <w:u w:val="none"/>
                <w:rtl w:val="0"/>
              </w:rPr>
              <w:t xml:space="preserve">20 Mar 2026</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8">
            <w:pPr>
              <w:keepNext/>
              <w:spacing w:after="0" w:before="0" w:line="245" w:lineRule="auto"/>
              <w:jc w:val="center"/>
              <w:rPr>
                <w:sz w:val="19"/>
                <w:szCs w:val="19"/>
              </w:rPr>
            </w:pPr>
            <w:r w:rsidDel="00000000" w:rsidR="00000000" w:rsidRPr="00000000">
              <w:rPr>
                <w:b w:val="0"/>
                <w:sz w:val="19"/>
                <w:szCs w:val="19"/>
                <w:u w:val="none"/>
                <w:rtl w:val="0"/>
              </w:rPr>
              <w:t xml:space="preserve">16</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9">
            <w:pPr>
              <w:keepNext/>
              <w:spacing w:after="0" w:before="0" w:line="245" w:lineRule="auto"/>
              <w:jc w:val="center"/>
              <w:rPr>
                <w:sz w:val="19"/>
                <w:szCs w:val="19"/>
              </w:rPr>
            </w:pPr>
            <w:r w:rsidDel="00000000" w:rsidR="00000000" w:rsidRPr="00000000">
              <w:rPr>
                <w:b w:val="0"/>
                <w:sz w:val="19"/>
                <w:szCs w:val="19"/>
                <w:u w:val="none"/>
                <w:rtl w:val="0"/>
              </w:rPr>
              <w:t xml:space="preserve">16</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A">
            <w:pPr>
              <w:keepNext/>
              <w:spacing w:after="0" w:before="0" w:line="245" w:lineRule="auto"/>
              <w:jc w:val="center"/>
              <w:rPr>
                <w:sz w:val="19"/>
                <w:szCs w:val="19"/>
              </w:rPr>
            </w:pPr>
            <w:r w:rsidDel="00000000" w:rsidR="00000000" w:rsidRPr="00000000">
              <w:rPr>
                <w:b w:val="0"/>
                <w:sz w:val="19"/>
                <w:szCs w:val="19"/>
                <w:u w:val="none"/>
                <w:rtl w:val="0"/>
              </w:rPr>
              <w:t xml:space="preserve">32</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B">
            <w:pPr>
              <w:keepNext w:val="0"/>
              <w:spacing w:after="0" w:before="0" w:line="245" w:lineRule="auto"/>
              <w:jc w:val="left"/>
              <w:rPr>
                <w:sz w:val="19"/>
                <w:szCs w:val="19"/>
              </w:rPr>
            </w:pPr>
            <w:r w:rsidDel="00000000" w:rsidR="00000000" w:rsidRPr="00000000">
              <w:rPr>
                <w:b w:val="0"/>
                <w:sz w:val="19"/>
                <w:szCs w:val="19"/>
                <w:u w:val="none"/>
                <w:rtl w:val="0"/>
              </w:rPr>
              <w:t xml:space="preserve">Total</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C">
            <w:pPr>
              <w:keepNext w:val="0"/>
              <w:spacing w:after="0" w:before="0" w:line="245" w:lineRule="auto"/>
              <w:jc w:val="center"/>
              <w:rPr/>
            </w:pPr>
            <w:r w:rsidDel="00000000" w:rsidR="00000000" w:rsidRPr="00000000">
              <w:rPr>
                <w:b w:val="0"/>
                <w:sz w:val="19"/>
                <w:u w:val="none"/>
                <w:rtl w:val="0"/>
              </w:rPr>
              <w:t xml:space="preserve"> </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D">
            <w:pPr>
              <w:keepNext w:val="0"/>
              <w:spacing w:after="0" w:before="0" w:line="245" w:lineRule="auto"/>
              <w:jc w:val="center"/>
              <w:rPr/>
            </w:pPr>
            <w:r w:rsidDel="00000000" w:rsidR="00000000" w:rsidRPr="00000000">
              <w:rPr>
                <w:b w:val="0"/>
                <w:sz w:val="19"/>
                <w:u w:val="none"/>
                <w:rtl w:val="0"/>
              </w:rPr>
              <w:t xml:space="preserve"> </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E">
            <w:pPr>
              <w:keepNext w:val="0"/>
              <w:spacing w:after="0" w:before="0" w:line="245" w:lineRule="auto"/>
              <w:jc w:val="center"/>
              <w:rPr>
                <w:sz w:val="19"/>
                <w:szCs w:val="19"/>
              </w:rPr>
            </w:pPr>
            <w:r w:rsidDel="00000000" w:rsidR="00000000" w:rsidRPr="00000000">
              <w:rPr>
                <w:b w:val="0"/>
                <w:sz w:val="19"/>
                <w:szCs w:val="19"/>
                <w:u w:val="none"/>
                <w:rtl w:val="0"/>
              </w:rPr>
              <w:t xml:space="preserve">84</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5F">
            <w:pPr>
              <w:keepNext w:val="0"/>
              <w:spacing w:after="0" w:before="0" w:line="245" w:lineRule="auto"/>
              <w:jc w:val="center"/>
              <w:rPr>
                <w:sz w:val="19"/>
                <w:szCs w:val="19"/>
              </w:rPr>
            </w:pPr>
            <w:r w:rsidDel="00000000" w:rsidR="00000000" w:rsidRPr="00000000">
              <w:rPr>
                <w:b w:val="0"/>
                <w:sz w:val="19"/>
                <w:szCs w:val="19"/>
                <w:u w:val="none"/>
                <w:rtl w:val="0"/>
              </w:rPr>
              <w:t xml:space="preserve">77</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60">
            <w:pPr>
              <w:keepNext w:val="0"/>
              <w:spacing w:after="0" w:before="0" w:line="245" w:lineRule="auto"/>
              <w:jc w:val="center"/>
              <w:rPr>
                <w:sz w:val="19"/>
                <w:szCs w:val="19"/>
              </w:rPr>
            </w:pPr>
            <w:r w:rsidDel="00000000" w:rsidR="00000000" w:rsidRPr="00000000">
              <w:rPr>
                <w:b w:val="0"/>
                <w:sz w:val="19"/>
                <w:szCs w:val="19"/>
                <w:u w:val="none"/>
                <w:rtl w:val="0"/>
              </w:rPr>
              <w:t xml:space="preserve">154</w:t>
            </w:r>
          </w:p>
        </w:tc>
      </w:tr>
    </w:tbl>
    <w:p w:rsidR="00000000" w:rsidDel="00000000" w:rsidP="00000000" w:rsidRDefault="00000000" w:rsidRPr="00000000" w14:paraId="00000063">
      <w:pPr>
        <w:pStyle w:val="Heading2"/>
        <w:keepNext/>
        <w:keepLines w:val="0"/>
        <w:pageBreakBefore w:val="0"/>
        <w:widowControl/>
        <w:spacing w:after="60" w:before="100" w:line="264" w:lineRule="auto"/>
        <w:ind w:left="0" w:firstLine="0"/>
        <w:jc w:val="both"/>
        <w:rPr>
          <w:sz w:val="22"/>
          <w:szCs w:val="22"/>
          <w:u w:val="single"/>
        </w:rPr>
      </w:pPr>
      <w:r>
        <w:rPr>
          <w:b/>
          <w:color w:val="000000"/>
          <w:sz w:val="24"/>
          <w:szCs w:val="22"/>
          <w:u w:val="none"/>
          <w:rtl w:val="0"/>
        </w:rPr>
        <w:t>3.3 Control selection</w:t>
      </w:r>
    </w:p>
    <w:p w:rsidR="00000000" w:rsidDel="00000000" w:rsidP="00000000" w:rsidRDefault="00000000" w:rsidRPr="00000000" w14:paraId="00000065">
      <w:pPr>
        <w:pageBreakBefore w:val="0"/>
        <w:widowControl/>
        <w:spacing w:after="40" w:before="0" w:line="245" w:lineRule="auto"/>
        <w:jc w:val="both"/>
        <w:rPr/>
      </w:pPr>
      <w:r>
        <w:rPr>
          <w:sz w:val="22"/>
        </w:rPr>
        <w:t>For each addition, we select two controls from the same sector that are closest in reference-date market capitalisation, without reusing a control within a review. The target control/addition size ratio is 0.5–2.0, and 153 of the 154 control slots fall inside it. The exception is NEC for MAQ in September 2023, with a ratio of 2.116. We exclude candidates with an addition or deletion in a major ASX index during the same review. Price histories must cover at least 90% of the 121-day grid, and the retained controls exceed A$100,000 median traded value in the matching screen. We also confirm that the selected controls satisfy the baseline data requirements. A control may appear again in a later review, which we account for in the inference.</w:t>
      </w:r>
    </w:p>
    <w:p w:rsidR="00000000" w:rsidDel="00000000" w:rsidP="00000000" w:rsidRDefault="00000000" w:rsidRPr="00000000" w14:paraId="00000067">
      <w:pPr>
        <w:pStyle w:val="Heading2"/>
        <w:keepNext/>
        <w:keepLines w:val="0"/>
        <w:pageBreakBefore w:val="0"/>
        <w:widowControl/>
        <w:spacing w:after="60" w:before="100" w:lineRule="auto" w:line="264"/>
        <w:ind w:left="0" w:firstLine="0"/>
        <w:jc w:val="both"/>
        <w:rPr>
          <w:sz w:val="22"/>
          <w:szCs w:val="22"/>
          <w:u w:val="single"/>
        </w:rPr>
      </w:pPr>
      <w:r>
        <w:rPr>
          <w:b/>
          <w:color w:val="000000"/>
          <w:sz w:val="24"/>
          <w:szCs w:val="22"/>
          <w:u w:val="none"/>
          <w:rtl w:val="0"/>
        </w:rPr>
        <w:t>3.4 Liquidity and baseline characteristics</w:t>
      </w:r>
    </w:p>
    <w:p w:rsidR="00000000" w:rsidDel="00000000" w:rsidP="00000000" w:rsidRDefault="00000000" w:rsidRPr="00000000" w14:paraId="00000069">
      <w:pPr>
        <w:pageBreakBefore w:val="0"/>
        <w:widowControl/>
        <w:spacing w:after="40" w:before="0" w:line="245" w:lineRule="auto"/>
        <w:jc w:val="both"/>
        <w:rPr/>
      </w:pPr>
      <w:r>
        <w:rPr>
          <w:u w:val="none"/>
          <w:rtl w:val="0"/>
        </w:rPr>
        <w:t>Daily Amihud divides the absolute return from adjusted closes by unadjusted closing price times share volume, scaled by 10⁶. Higher values indicate more absolute return per Australian dollar traded. We average valid daily ratios within each stage and then take logs. Zero or missing volume is invalid; genuine zero returns remain valid. A stage requires 60% valid days and a positive mean; complete matched groups must pass all stages and covariate checks. The main outcome uses uncapped ratios without filling; P99 capping is a sensitivity check.</w:t>
      </w:r>
    </w:p>
    <w:p w:rsidR="00000000" w:rsidDel="00000000" w:rsidP="00000000" w:rsidRDefault="00000000" w:rsidRPr="00000000" w14:paraId="0000007F">
      <w:pPr>
        <w:keepNext/>
        <w:pageBreakBefore w:val="0"/>
        <w:widowControl/>
        <w:spacing w:after="100" w:before="0" w:lineRule="auto" w:line="264"/>
        <w:jc w:val="center"/>
        <w:rPr>
          <w:i w:val="1"/>
          <w:iCs w:val="1"/>
        </w:rPr>
      </w:pPr>
      <w:r>
        <w:rPr>
          <w:i/>
          <w:iCs w:val="1"/>
          <w:sz w:val="19"/>
          <w:u w:val="none"/>
          <w:rtl w:val="0"/>
        </w:rPr>
        <w:t>Table 3. Baseline characteristics of additions and controls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1620"/>
        <w:gridCol w:w="1590"/>
        <w:gridCol w:w="1875"/>
        <w:tblGridChange w:id="0">
          <w:tblGrid>
            <w:gridCol w:w="3930"/>
            <w:gridCol w:w="1620"/>
            <w:gridCol w:w="1590"/>
            <w:gridCol w:w="1875"/>
          </w:tblGrid>
        </w:tblGridChange>
      </w:tblGrid>
      <w:tr>
        <w:trPr>
          <w:tblHeader w:val="0"/>
          <w:tblHeader/>
          <w:cantSplit/>
          <w:tblHeader/>
        </w:trPr>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left"/>
            </w:pPr>
            <w:r>
              <w:rPr>
                <w:b/>
                <w:sz w:val="19"/>
                <w:u w:val="none"/>
              </w:rPr>
              <w:t>Variable</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sz w:val="19"/>
                <w:u w:val="none"/>
              </w:rPr>
              <w:t>Additions</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sz w:val="19"/>
                <w:u w:val="none"/>
              </w:rPr>
              <w:t>Controls</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sz w:val="19"/>
                <w:u w:val="none"/>
              </w:rPr>
              <w:t>Difference (p)</w:t>
            </w:r>
          </w:p>
        </w:tc>
      </w:tr>
      <w:tr>
        <w:trPr>
          <w:cantSplit/>
        </w:trPr>
        <w:tc>
          <w:tcPr>
            <w:tcW w:type="dxa" w:w="3930"/>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left"/>
            </w:pPr>
            <w:r>
              <w:rPr>
                <w:b w:val="0"/>
                <w:sz w:val="19"/>
                <w:u w:val="none"/>
              </w:rPr>
              <w:t>Reference-date market cap (A$m)</w:t>
            </w:r>
          </w:p>
        </w:tc>
        <w:tc>
          <w:tcPr>
            <w:tcW w:type="dxa" w:w="1620"/>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1,753.4</w:t>
            </w:r>
          </w:p>
        </w:tc>
        <w:tc>
          <w:tcPr>
            <w:tcW w:type="dxa" w:w="1590"/>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1,817.2</w:t>
            </w:r>
          </w:p>
        </w:tc>
        <w:tc>
          <w:tcPr>
            <w:tcW w:type="dxa" w:w="1875"/>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−63.8 (0.050)</w:t>
            </w:r>
          </w:p>
        </w:tc>
      </w:tr>
      <w:tr>
        <w:trPr>
          <w:cantSplit/>
        </w:trPr>
        <w:tc>
          <w:tcPr>
            <w:tcW w:type="dxa" w:w="3930"/>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left"/>
            </w:pPr>
            <w:r>
              <w:rPr>
                <w:b w:val="0"/>
                <w:sz w:val="19"/>
                <w:u w:val="none"/>
              </w:rPr>
              <w:t>Baseline mean market cap (A$m)</w:t>
            </w:r>
          </w:p>
        </w:tc>
        <w:tc>
          <w:tcPr>
            <w:tcW w:type="dxa" w:w="1620"/>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1,681.7</w:t>
            </w:r>
          </w:p>
        </w:tc>
        <w:tc>
          <w:tcPr>
            <w:tcW w:type="dxa" w:w="1590"/>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1,820.5</w:t>
            </w:r>
          </w:p>
        </w:tc>
        <w:tc>
          <w:tcPr>
            <w:tcW w:type="dxa" w:w="1875"/>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−138.8 (0.003)</w:t>
            </w:r>
          </w:p>
        </w:tc>
      </w:tr>
      <w:tr>
        <w:trPr>
          <w:cantSplit/>
        </w:trPr>
        <w:tc>
          <w:tcPr>
            <w:tcW w:type="dxa" w:w="3930"/>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left"/>
            </w:pPr>
            <w:r>
              <w:rPr>
                <w:b w:val="0"/>
                <w:sz w:val="19"/>
                <w:u w:val="none"/>
              </w:rPr>
              <w:t>Mean daily Amihud (×10⁶)</w:t>
            </w:r>
          </w:p>
        </w:tc>
        <w:tc>
          <w:tcPr>
            <w:tcW w:type="dxa" w:w="1620"/>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0.0192</w:t>
            </w:r>
          </w:p>
        </w:tc>
        <w:tc>
          <w:tcPr>
            <w:tcW w:type="dxa" w:w="1590"/>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0.0182</w:t>
            </w:r>
          </w:p>
        </w:tc>
        <w:tc>
          <w:tcPr>
            <w:tcW w:type="dxa" w:w="1875"/>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0.0010 (0.840)</w:t>
            </w:r>
          </w:p>
        </w:tc>
      </w:tr>
      <w:tr>
        <w:trPr>
          <w:cantSplit/>
        </w:trPr>
        <w:tc>
          <w:tcPr>
            <w:tcW w:type="dxa" w:w="3930"/>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left"/>
            </w:pPr>
            <w:r>
              <w:rPr>
                <w:b w:val="0"/>
                <w:sz w:val="19"/>
                <w:u w:val="none"/>
              </w:rPr>
              <w:t>Mean daily traded value (A$m)</w:t>
            </w:r>
          </w:p>
        </w:tc>
        <w:tc>
          <w:tcPr>
            <w:tcW w:type="dxa" w:w="1620"/>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4.65</w:t>
            </w:r>
          </w:p>
        </w:tc>
        <w:tc>
          <w:tcPr>
            <w:tcW w:type="dxa" w:w="1590"/>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5.98</w:t>
            </w:r>
          </w:p>
        </w:tc>
        <w:tc>
          <w:tcPr>
            <w:tcW w:type="dxa" w:w="1875"/>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−1.34 (0.159)</w:t>
            </w:r>
          </w:p>
        </w:tc>
      </w:tr>
      <w:tr>
        <w:trPr>
          <w:cantSplit/>
        </w:trPr>
        <w:tc>
          <w:tcPr>
            <w:tcW w:type="dxa" w:w="3930"/>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left"/>
            </w:pPr>
            <w:r>
              <w:rPr>
                <w:b w:val="0"/>
                <w:sz w:val="19"/>
                <w:u w:val="none"/>
              </w:rPr>
              <w:t>Mean daily turnover (%)</w:t>
            </w:r>
          </w:p>
        </w:tc>
        <w:tc>
          <w:tcPr>
            <w:tcW w:type="dxa" w:w="1620"/>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0.391</w:t>
            </w:r>
          </w:p>
        </w:tc>
        <w:tc>
          <w:tcPr>
            <w:tcW w:type="dxa" w:w="1590"/>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0.330</w:t>
            </w:r>
          </w:p>
        </w:tc>
        <w:tc>
          <w:tcPr>
            <w:tcW w:type="dxa" w:w="1875"/>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0.062 (0.372)</w:t>
            </w:r>
          </w:p>
        </w:tc>
      </w:tr>
      <w:tr>
        <w:trPr>
          <w:cantSplit/>
        </w:trPr>
        <w:tc>
          <w:tcPr>
            <w:tcW w:type="dxa" w:w="3930"/>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val="0"/>
              <w:spacing w:after="0" w:before="0" w:line="245" w:lineRule="auto"/>
              <w:jc w:val="left"/>
            </w:pPr>
            <w:r>
              <w:rPr>
                <w:b w:val="0"/>
                <w:sz w:val="19"/>
                <w:u w:val="none"/>
              </w:rPr>
              <w:t>Log mean daily Amihud</w:t>
            </w:r>
          </w:p>
        </w:tc>
        <w:tc>
          <w:tcPr>
            <w:tcW w:type="dxa" w:w="1620"/>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val="0"/>
              <w:spacing w:after="0" w:before="0" w:line="245" w:lineRule="auto"/>
              <w:jc w:val="center"/>
            </w:pPr>
            <w:r>
              <w:rPr>
                <w:b w:val="0"/>
                <w:sz w:val="19"/>
                <w:u w:val="none"/>
              </w:rPr>
              <w:t>−4.526</w:t>
            </w:r>
          </w:p>
        </w:tc>
        <w:tc>
          <w:tcPr>
            <w:tcW w:type="dxa" w:w="1590"/>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val="0"/>
              <w:spacing w:after="0" w:before="0" w:line="245" w:lineRule="auto"/>
              <w:jc w:val="center"/>
            </w:pPr>
            <w:r>
              <w:rPr>
                <w:b w:val="0"/>
                <w:sz w:val="19"/>
                <w:u w:val="none"/>
              </w:rPr>
              <w:t>−4.961</w:t>
            </w:r>
          </w:p>
        </w:tc>
        <w:tc>
          <w:tcPr>
            <w:tcW w:type="dxa" w:w="1875"/>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val="0"/>
              <w:spacing w:after="0" w:before="0" w:line="245" w:lineRule="auto"/>
              <w:jc w:val="center"/>
            </w:pPr>
            <w:r>
              <w:rPr>
                <w:b w:val="0"/>
                <w:sz w:val="19"/>
                <w:u w:val="none"/>
              </w:rPr>
              <w:t>0.436 (0.003)</w:t>
            </w:r>
          </w:p>
        </w:tc>
      </w:tr>
    </w:tbl>
    <w:p>
      <w:pPr>
        <w:keepNext w:val="0"/>
        <w:pageBreakBefore w:val="0"/>
        <w:widowControl/>
        <w:spacing w:after="100" w:before="0" w:line="264" w:lineRule="auto"/>
      </w:pPr>
      <w:r>
        <w:rPr>
          <w:b w:val="0"/>
          <w:sz w:val="19"/>
          <w:u w:val="none"/>
        </w:rPr>
        <w:t>Notes: Stock-review means in B, except reference-date size; differences use unrounded values. Difference p-values use matched-group fixed effects and ticker-clustered CR1 (187 tickers). Levels need not be equal for parallel trends.</w:t>
      </w:r>
    </w:p>
    <w:p>
      <w:pPr>
        <w:pageBreakBefore w:val="0"/>
        <w:widowControl/>
        <w:spacing w:after="40" w:before="0" w:line="245" w:lineRule="auto"/>
      </w:pPr>
      <w:r>
        <w:rPr>
          <w:b w:val="0"/>
          <w:sz w:val="22"/>
          <w:u w:val="none"/>
        </w:rPr>
        <w:t>Additions have smaller baseline capitalisation (A$1,682m versus A$1,821m; p = 0.003), motivating size-by-stage controls. Raw Amihud means are close (0.0192 versus 0.0182), but log means differ (−4.526 versus −4.961; p = 0.003). Similar raw means therefore do not establish balance on the regression scale. Fixed effects absorb stable level gaps; conditional parallel trends concerns subsequent untreated changes.</w:t>
      </w:r>
    </w:p>
    <w:p w:rsidR="00000000" w:rsidDel="00000000" w:rsidP="00000000" w:rsidRDefault="00000000" w:rsidRPr="00000000" w14:paraId="00000081">
      <w:pPr>
        <w:pStyle w:val="Heading1"/>
        <w:keepNext/>
        <w:keepLines w:val="0"/>
        <w:pageBreakBefore w:val="0"/>
        <w:widowControl/>
        <w:pBdr>
          <w:top w:space="0" w:sz="0" w:val="nil"/>
          <w:left w:space="0" w:sz="0" w:val="nil"/>
          <w:bottom w:space="0" w:sz="0" w:val="nil"/>
          <w:right w:space="0" w:sz="0" w:val="nil"/>
          <w:between w:space="0" w:sz="0" w:val="nil"/>
        </w:pBdr>
        <w:shd w:fill="auto" w:val="clear"/>
        <w:spacing w:after="100" w:before="180" w:line="264" w:lineRule="auto"/>
        <w:ind w:left="0" w:right="0" w:firstLine="0"/>
        <w:jc w:val="both"/>
        <w:rPr>
          <w:i w:val="1"/>
          <w:iCs w:val="1"/>
        </w:rPr>
      </w:pPr>
      <w:r>
        <w:rPr>
          <w:b/>
          <w:bCs w:val="1"/>
          <w:color w:val="000000"/>
          <w:sz w:val="30"/>
          <w:szCs w:val="30"/>
          <w:u w:val="none"/>
          <w:rtl w:val="0"/>
        </w:rPr>
        <w:t>4 Empirical strategy</w:t>
      </w:r>
    </w:p>
    <w:p w:rsidR="00000000" w:rsidDel="00000000" w:rsidP="00000000" w:rsidRDefault="00000000" w:rsidRPr="00000000" w14:paraId="00000083">
      <w:pPr>
        <w:pStyle w:val="Heading2"/>
        <w:keepNext/>
        <w:pageBreakBefore w:val="0"/>
        <w:widowControl/>
        <w:spacing w:after="60" w:before="100" w:line="264" w:lineRule="auto"/>
        <w:ind w:left="0" w:firstLine="0"/>
        <w:rPr>
          <w:u w:val="single"/>
        </w:rPr>
      </w:pPr>
      <w:r>
        <w:rPr>
          <w:b/>
          <w:color w:val="000000"/>
          <w:sz w:val="24"/>
          <w:u w:val="none"/>
          <w:rtl w:val="0"/>
        </w:rPr>
        <w:t>4.1 Stacked design</w:t>
      </w:r>
    </w:p>
    <w:p w:rsidR="00000000" w:rsidDel="00000000" w:rsidP="00000000" w:rsidRDefault="00000000" w:rsidRPr="00000000" w14:paraId="00000085">
      <w:pPr>
        <w:pageBreakBefore w:val="0"/>
        <w:widowControl/>
        <w:spacing w:after="40" w:before="0" w:line="245" w:lineRule="auto"/>
        <w:jc w:val="both"/>
        <w:rPr/>
      </w:pPr>
      <w:r>
        <w:rPr>
          <w:sz w:val="22"/>
        </w:rPr>
        <w:t>We organise the data into a separate panel for each review, containing its additions and their matched controls. This keeps each comparison within the same event and avoids using stocks treated in an earlier review as untreated comparators in a single staggered regression (Goodman-Bacon, 2021; Callaway and Sant'Anna, 2021). Following the logic of stacked designs (Cengiz et al., 2019; Wing et al., 2024), we keep the sample fixed across stages and combine the review-specific estimates using explicit weights.</w:t>
      </w:r>
    </w:p>
    <w:p w:rsidR="00000000" w:rsidDel="00000000" w:rsidP="00000000" w:rsidRDefault="00000000" w:rsidRPr="00000000" w14:paraId="00000089">
      <w:pPr>
        <w:pageBreakBefore w:val="0"/>
        <w:widowControl/>
        <w:spacing w:after="40" w:before="0" w:lineRule="auto" w:line="245"/>
        <w:jc w:val="both"/>
        <w:rPr/>
      </w:pPr>
      <w:r>
        <w:rPr>
          <w:u w:val="none"/>
          <w:rtl w:val="0"/>
        </w:rPr>
        <w:t>The balanced estimation sample contains 77 groups, 231 stock-review units and 1,386 stock-review-stage observations.</w:t>
      </w:r>
    </w:p>
    <w:p w:rsidR="00000000" w:rsidDel="00000000" w:rsidP="00000000" w:rsidRDefault="00000000" w:rsidRPr="00000000" w14:paraId="0000008B">
      <w:pPr>
        <w:pStyle w:val="Heading2"/>
        <w:keepNext/>
        <w:keepLines w:val="0"/>
        <w:pageBreakBefore w:val="0"/>
        <w:widowControl/>
        <w:spacing w:after="60" w:before="100" w:lineRule="auto" w:line="264"/>
        <w:ind w:left="0" w:firstLine="0"/>
        <w:rPr>
          <w:sz w:val="22"/>
          <w:szCs w:val="22"/>
          <w:u w:val="single"/>
        </w:rPr>
      </w:pPr>
      <w:r>
        <w:rPr>
          <w:b/>
          <w:color w:val="000000"/>
          <w:sz w:val="24"/>
          <w:szCs w:val="22"/>
          <w:u w:val="none"/>
          <w:rtl w:val="0"/>
        </w:rPr>
        <w:t>4.2 Outcome</w:t>
      </w:r>
    </w:p>
    <w:p w:rsidR="00000000" w:rsidDel="00000000" w:rsidP="00000000" w:rsidRDefault="00000000" w:rsidRPr="00000000" w14:paraId="0000008D">
      <w:pPr>
        <w:keepNext/>
        <w:pageBreakBefore w:val="0"/>
        <w:widowControl/>
        <w:spacing w:after="40" w:before="0" w:lineRule="auto" w:line="245"/>
        <w:rPr/>
      </w:pPr>
      <w:r>
        <w:rPr>
          <w:u w:val="none"/>
          <w:rtl w:val="0"/>
        </w:rPr>
        <w:t>We take the logarithm after averaging valid daily Amihud ratios within each stage:</w:t>
      </w:r>
    </w:p>
    <w:p w:rsidR="00000000" w:rsidDel="00000000" w:rsidP="00000000" w:rsidRDefault="00000000" w:rsidRPr="00000000" w14:paraId="0000008E">
      <w:pPr>
        <w:keepNext w:val="0"/>
        <w:pageBreakBefore w:val="0"/>
        <w:widowControl/>
        <w:spacing w:after="100" w:before="60" w:lineRule="auto" w:line="264"/>
        <w:jc w:val="center"/>
        <w:rPr/>
      </w:pPr>
      <w:r>
        <w:drawing>
          <wp:inline>
            <wp:extent cx="5669280" cy="386883"/>
            <wp:docPr id="13" name="Picture 13"/>
            <wp:cNvGraphicFramePr>
              <a:graphicFrameLocks noChangeAspect="1"/>
            </wp:cNvGraphicFramePr>
            <a:graphic>
              <a:graphicData uri="http://schemas.openxmlformats.org/drawingml/2006/picture">
                <pic:pic>
                  <pic:nvPicPr>
                    <pic:cNvPr id="0" name="outcome.png"/>
                    <pic:cNvPicPr/>
                  </pic:nvPicPr>
                  <pic:blipFill>
                    <a:blip r:embed="rId50"/>
                    <a:stretch>
                      <a:fillRect/>
                    </a:stretch>
                  </pic:blipFill>
                  <pic:spPr>
                    <a:xfrm>
                      <a:off x="0" y="0"/>
                      <a:ext cx="5669280" cy="386883"/>
                    </a:xfrm>
                    <a:prstGeom prst="rect"/>
                  </pic:spPr>
                </pic:pic>
              </a:graphicData>
            </a:graphic>
          </wp:inline>
        </w:drawing>
      </w:r>
    </w:p>
    <w:p w:rsidR="00000000" w:rsidDel="00000000" w:rsidP="00000000" w:rsidRDefault="00000000" w:rsidRPr="00000000" w14:paraId="0000008F">
      <w:pPr>
        <w:pageBreakBefore w:val="0"/>
        <w:widowControl/>
        <w:spacing w:after="40" w:before="0" w:lineRule="auto" w:line="245"/>
        <w:jc w:val="both"/>
        <w:rPr/>
      </w:pPr>
      <w:r>
        <w:rPr>
          <w:u w:val="none"/>
          <w:rtl w:val="0"/>
        </w:rPr>
        <w:t>Here i indexes stocks, s reviews, t stages and d days; P is unadjusted closing price, V share volume, and nᵢₛ,ₜ valid days. Scaling by 10⁶ shifts log levels but leaves treatment coefficients unchanged.</w:t>
      </w:r>
    </w:p>
    <w:p w:rsidR="00000000" w:rsidDel="00000000" w:rsidP="00000000" w:rsidRDefault="00000000" w:rsidRPr="00000000" w14:paraId="000000A7">
      <w:pPr>
        <w:pStyle w:val="Heading2"/>
        <w:keepNext/>
        <w:keepLines w:val="0"/>
        <w:pageBreakBefore w:val="0"/>
        <w:widowControl/>
        <w:spacing w:after="60" w:before="100" w:lineRule="auto" w:line="264"/>
        <w:ind w:left="0" w:firstLine="0"/>
        <w:rPr>
          <w:sz w:val="22"/>
          <w:szCs w:val="22"/>
          <w:u w:val="single"/>
        </w:rPr>
      </w:pPr>
      <w:r>
        <w:rPr>
          <w:b/>
          <w:color w:val="000000"/>
          <w:sz w:val="24"/>
          <w:szCs w:val="22"/>
          <w:u w:val="none"/>
          <w:rtl w:val="0"/>
        </w:rPr>
        <w:t>4.3 Conditional heterogeneous specification</w:t>
      </w:r>
    </w:p>
    <w:p w:rsidR="00000000" w:rsidDel="00000000" w:rsidP="00000000" w:rsidRDefault="00000000" w:rsidRPr="00000000" w14:paraId="000000A9">
      <w:pPr>
        <w:keepNext w:val="0"/>
        <w:pageBreakBefore w:val="0"/>
        <w:widowControl/>
        <w:spacing w:after="100" w:before="60" w:lineRule="auto" w:line="264"/>
        <w:jc w:val="center"/>
        <w:rPr>
          <w:b w:val="1"/>
          <w:bCs w:val="1"/>
          <w:sz w:val="34"/>
          <w:szCs w:val="34"/>
        </w:rPr>
      </w:pPr>
      <w:r>
        <w:drawing>
          <wp:inline>
            <wp:extent cx="5669280" cy="577195"/>
            <wp:docPr id="14" name="Picture 14"/>
            <wp:cNvGraphicFramePr>
              <a:graphicFrameLocks noChangeAspect="1"/>
            </wp:cNvGraphicFramePr>
            <a:graphic>
              <a:graphicData uri="http://schemas.openxmlformats.org/drawingml/2006/picture">
                <pic:pic>
                  <pic:nvPicPr>
                    <pic:cNvPr id="0" name="model.png"/>
                    <pic:cNvPicPr/>
                  </pic:nvPicPr>
                  <pic:blipFill>
                    <a:blip r:embed="rId51"/>
                    <a:stretch>
                      <a:fillRect/>
                    </a:stretch>
                  </pic:blipFill>
                  <pic:spPr>
                    <a:xfrm>
                      <a:off x="0" y="0"/>
                      <a:ext cx="5669280" cy="577195"/>
                    </a:xfrm>
                    <a:prstGeom prst="rect"/>
                  </pic:spPr>
                </pic:pic>
              </a:graphicData>
            </a:graphic>
          </wp:inline>
        </w:drawing>
      </w:r>
    </w:p>
    <w:p w:rsidR="00000000" w:rsidDel="00000000" w:rsidP="00000000" w:rsidRDefault="00000000" w:rsidRPr="00000000" w14:paraId="000000AA">
      <w:pPr>
        <w:pageBreakBefore w:val="0"/>
        <w:widowControl/>
        <w:spacing w:after="40" w:before="0" w:lineRule="auto" w:line="245"/>
        <w:jc w:val="both"/>
        <w:rPr>
          <w:u w:val="single"/>
        </w:rPr>
      </w:pPr>
      <w:r>
        <w:rPr>
          <w:sz w:val="22"/>
        </w:rPr>
        <w:t>In equation (2), T equals one for an addition, g(i,s) identifies its matched group, and k indexes stages other than B. There are therefore 30 review-specific treatment effects. Each coefficient compares how the additions' log Amihud changes from B to stage k with the change experienced by their controls. A negative coefficient means that additions become relatively less illiquid. Baseline observations remain in the regression; only their treatment interaction is omitted.</w:t>
      </w:r>
    </w:p>
    <w:p w:rsidR="00000000" w:rsidDel="00000000" w:rsidP="00000000" w:rsidRDefault="00000000" w:rsidRPr="00000000" w14:paraId="000000AC">
      <w:pPr>
        <w:pStyle w:val="Heading2"/>
        <w:keepNext/>
        <w:keepLines w:val="0"/>
        <w:pageBreakBefore w:val="0"/>
        <w:widowControl/>
        <w:spacing w:after="60" w:before="100" w:lineRule="auto" w:line="264"/>
        <w:ind w:left="0" w:firstLine="0"/>
        <w:rPr>
          <w:sz w:val="22"/>
          <w:szCs w:val="22"/>
          <w:u w:val="single"/>
        </w:rPr>
      </w:pPr>
      <w:r>
        <w:rPr>
          <w:b/>
          <w:color w:val="000000"/>
          <w:sz w:val="24"/>
          <w:szCs w:val="22"/>
          <w:u w:val="none"/>
          <w:rtl w:val="0"/>
        </w:rPr>
        <w:t>4.4 Fixed effects and covariates</w:t>
      </w:r>
    </w:p>
    <w:p w:rsidR="00000000" w:rsidDel="00000000" w:rsidP="00000000" w:rsidRDefault="00000000" w:rsidRPr="00000000" w14:paraId="000000AE">
      <w:pPr>
        <w:pageBreakBefore w:val="0"/>
        <w:widowControl/>
        <w:spacing w:after="40" w:before="0" w:lineRule="auto" w:line="245"/>
        <w:jc w:val="both"/>
        <w:rPr/>
      </w:pPr>
      <w:r>
        <w:rPr>
          <w:sz w:val="22"/>
        </w:rPr>
        <w:t>The stock-review fixed effect α allows each stock to have its own usual level of illiquidity within a review. This matters because stocks can differ substantially in size, trading interest and other persistent characteristics. A separate effect is estimated when a ticker appears in another review. The matched-group-by-stage effect λ then captures changes shared by an addition and its two controls in a particular stage, so the model compares stocks exposed to similar sector and market conditions.</w:t>
      </w:r>
    </w:p>
    <w:p w:rsidR="00000000" w:rsidDel="00000000" w:rsidP="00000000" w:rsidRDefault="00000000" w:rsidRPr="00000000" w14:paraId="000000B0">
      <w:pPr>
        <w:pageBreakBefore w:val="0"/>
        <w:widowControl/>
        <w:spacing w:after="40" w:before="0" w:lineRule="auto" w:line="245"/>
        <w:jc w:val="both"/>
        <w:rPr/>
      </w:pPr>
      <w:r>
        <w:rPr>
          <w:u w:val="none"/>
          <w:rtl w:val="0"/>
        </w:rPr>
        <w:t>X contains log mean daily capitalisation in B (−40:−21) and EP return volatility (−60:−41), the sample standard deviation of decimal returns times 100. Each needs 12 valid days. Fixed stock-review values interact with the five non-baseline stages, with slopes common across reviews. Baseline size precedes the allowed positioning stage; reference-date size falls within it. The homogeneous benchmark replaces βs,k with βk, retaining the same controls and fixed effects.</w:t>
      </w:r>
    </w:p>
    <w:p w:rsidR="00000000" w:rsidDel="00000000" w:rsidP="00000000" w:rsidRDefault="00000000" w:rsidRPr="00000000" w14:paraId="000000B2">
      <w:pPr>
        <w:pStyle w:val="Heading2"/>
        <w:keepNext/>
        <w:keepLines w:val="0"/>
        <w:pageBreakBefore w:val="0"/>
        <w:widowControl/>
        <w:spacing w:after="60" w:before="100" w:lineRule="auto" w:line="264"/>
        <w:ind w:left="0" w:firstLine="0"/>
        <w:rPr>
          <w:sz w:val="22"/>
          <w:szCs w:val="22"/>
          <w:u w:val="single"/>
        </w:rPr>
      </w:pPr>
      <w:r>
        <w:rPr>
          <w:b/>
          <w:color w:val="000000"/>
          <w:sz w:val="24"/>
          <w:szCs w:val="22"/>
          <w:u w:val="none"/>
          <w:rtl w:val="0"/>
        </w:rPr>
        <w:t>4.5 Aggregation and inference</w:t>
      </w:r>
    </w:p>
    <w:p w:rsidR="00000000" w:rsidDel="00000000" w:rsidP="00000000" w:rsidRDefault="00000000" w:rsidRPr="00000000" w14:paraId="000000B4">
      <w:pPr>
        <w:keepNext/>
        <w:pageBreakBefore w:val="0"/>
        <w:widowControl/>
        <w:spacing w:after="40" w:before="0" w:lineRule="auto" w:line="245"/>
        <w:jc w:val="both"/>
        <w:rPr/>
      </w:pPr>
      <w:r>
        <w:rPr>
          <w:u w:val="none"/>
          <w:rtl w:val="0"/>
        </w:rPr>
        <w:t>Weighted least squares assigns weight 1 to an addition and 0.5 to each control, balancing the two sides of each group. The final stage effect weights each review by its share of retained additions:</w:t>
      </w:r>
    </w:p>
    <w:p w:rsidR="00000000" w:rsidDel="00000000" w:rsidP="00000000" w:rsidRDefault="00000000" w:rsidRPr="00000000" w14:paraId="000000B5">
      <w:pPr>
        <w:keepNext w:val="0"/>
        <w:pageBreakBefore w:val="0"/>
        <w:widowControl/>
        <w:spacing w:after="100" w:before="60" w:lineRule="auto" w:line="264"/>
        <w:jc w:val="center"/>
        <w:rPr/>
      </w:pPr>
      <w:r>
        <w:drawing>
          <wp:inline>
            <wp:extent cx="5669280" cy="395648"/>
            <wp:docPr id="15" name="Picture 15"/>
            <wp:cNvGraphicFramePr>
              <a:graphicFrameLocks noChangeAspect="1"/>
            </wp:cNvGraphicFramePr>
            <a:graphic>
              <a:graphicData uri="http://schemas.openxmlformats.org/drawingml/2006/picture">
                <pic:pic>
                  <pic:nvPicPr>
                    <pic:cNvPr id="0" name="aggregation.png"/>
                    <pic:cNvPicPr/>
                  </pic:nvPicPr>
                  <pic:blipFill>
                    <a:blip r:embed="rId52"/>
                    <a:stretch>
                      <a:fillRect/>
                    </a:stretch>
                  </pic:blipFill>
                  <pic:spPr>
                    <a:xfrm>
                      <a:off x="0" y="0"/>
                      <a:ext cx="5669280" cy="395648"/>
                    </a:xfrm>
                    <a:prstGeom prst="rect"/>
                  </pic:spPr>
                </pic:pic>
              </a:graphicData>
            </a:graphic>
          </wp:inline>
        </w:drawing>
      </w:r>
    </w:p>
    <w:p w:rsidR="00000000" w:rsidDel="00000000" w:rsidP="00000000" w:rsidRDefault="00000000" w:rsidRPr="00000000" w14:paraId="000000B7">
      <w:pPr>
        <w:pageBreakBefore w:val="0"/>
        <w:widowControl/>
        <w:spacing w:after="40" w:before="0" w:lineRule="auto" w:line="245"/>
        <w:rPr/>
      </w:pPr>
      <w:r>
        <w:rPr>
          <w:u w:val="none"/>
          <w:rtl w:val="0"/>
        </w:rPr>
        <w:t>Weights are (10, 12, 12, 11, 16, 16)/77, giving each addition-plus-controls group equal weight. The sample and weights are identical across stages. V̂k retains cross-review covariance. This averages fitted effects; it is not a separate Callaway–Sant'Anna group-time ATT estimator.</w:t>
      </w:r>
    </w:p>
    <w:p w:rsidR="00000000" w:rsidDel="00000000" w:rsidP="00000000" w:rsidRDefault="00000000" w:rsidRPr="00000000" w14:paraId="000000B9">
      <w:pPr>
        <w:keepNext/>
        <w:pageBreakBefore w:val="0"/>
        <w:widowControl/>
        <w:spacing w:after="40" w:before="0" w:lineRule="auto" w:line="245"/>
        <w:jc w:val="both"/>
        <w:rPr/>
      </w:pPr>
      <w:r>
        <w:rPr>
          <w:u w:val="none"/>
          <w:rtl w:val="0"/>
        </w:rPr>
        <w:t>We cluster inference by ticker to allow errors to correlate across stages and repeated appearances in different reviews (Bertrand, Duflo and Mullainathan, 2004). The CR1 covariance estimator is:</w:t>
      </w:r>
    </w:p>
    <w:p w:rsidR="00000000" w:rsidDel="00000000" w:rsidP="00000000" w:rsidRDefault="00000000" w:rsidRPr="00000000" w14:paraId="000000BB">
      <w:pPr>
        <w:keepNext w:val="0"/>
        <w:pageBreakBefore w:val="0"/>
        <w:widowControl/>
        <w:spacing w:after="100" w:before="60" w:lineRule="auto" w:line="264"/>
        <w:jc w:val="center"/>
        <w:rPr/>
      </w:pPr>
      <w:r>
        <w:drawing>
          <wp:inline>
            <wp:extent cx="5669280" cy="684871"/>
            <wp:docPr id="16" name="Picture 16"/>
            <wp:cNvGraphicFramePr>
              <a:graphicFrameLocks noChangeAspect="1"/>
            </wp:cNvGraphicFramePr>
            <a:graphic>
              <a:graphicData uri="http://schemas.openxmlformats.org/drawingml/2006/picture">
                <pic:pic>
                  <pic:nvPicPr>
                    <pic:cNvPr id="0" name="cluster.png"/>
                    <pic:cNvPicPr/>
                  </pic:nvPicPr>
                  <pic:blipFill>
                    <a:blip r:embed="rId53"/>
                    <a:stretch>
                      <a:fillRect/>
                    </a:stretch>
                  </pic:blipFill>
                  <pic:spPr>
                    <a:xfrm>
                      <a:off x="0" y="0"/>
                      <a:ext cx="5669280" cy="684871"/>
                    </a:xfrm>
                    <a:prstGeom prst="rect"/>
                  </pic:spPr>
                </pic:pic>
              </a:graphicData>
            </a:graphic>
          </wp:inline>
        </w:drawing>
      </w:r>
    </w:p>
    <w:p w:rsidR="00000000" w:rsidDel="00000000" w:rsidP="00000000" w:rsidRDefault="00000000" w:rsidRPr="00000000" w14:paraId="000000BC">
      <w:pPr>
        <w:pageBreakBefore w:val="0"/>
        <w:widowControl/>
        <w:spacing w:after="40" w:before="0" w:lineRule="auto" w:line="245"/>
        <w:jc w:val="both"/>
        <w:rPr/>
      </w:pPr>
      <w:r>
        <w:rPr>
          <w:u w:val="none"/>
          <w:rtl w:val="0"/>
        </w:rPr>
        <w:t>z̃ is the regressor vector after fixed-effect absorption; Q contains weights q, and û denotes residuals. The 231 stock-review units represent G = 187 distinct tickers because stocks recur across reviews. N = 1,386 and K = 656 include fixed effects; t and F tests use 186 denominator degrees of freedom. Holm (1979) correction applies separately to five stage effects and three post-stage contrasts. Confidence intervals are pointwise 95% intervals.</w:t>
      </w:r>
    </w:p>
    <w:p w:rsidR="00000000" w:rsidDel="00000000" w:rsidP="00000000" w:rsidRDefault="00000000" w:rsidRPr="00000000" w14:paraId="000000BE">
      <w:pPr>
        <w:pStyle w:val="Heading2"/>
        <w:keepNext/>
        <w:keepLines w:val="0"/>
        <w:pageBreakBefore w:val="0"/>
        <w:widowControl/>
        <w:spacing w:after="60" w:before="100" w:lineRule="auto" w:line="264"/>
        <w:ind w:left="0" w:firstLine="0"/>
        <w:rPr>
          <w:sz w:val="22"/>
          <w:szCs w:val="22"/>
          <w:u w:val="single"/>
        </w:rPr>
      </w:pPr>
      <w:r>
        <w:rPr>
          <w:b/>
          <w:color w:val="000000"/>
          <w:sz w:val="24"/>
          <w:szCs w:val="22"/>
          <w:u w:val="none"/>
          <w:rtl w:val="0"/>
        </w:rPr>
        <w:t>4.6 Identifying assumptions</w:t>
      </w:r>
    </w:p>
    <w:p w:rsidR="00000000" w:rsidDel="00000000" w:rsidP="00000000" w:rsidRDefault="00000000" w:rsidRPr="00000000" w14:paraId="000000C0">
      <w:pPr>
        <w:pStyle w:val="Heading3"/>
        <w:keepNext/>
        <w:keepLines w:val="0"/>
        <w:pageBreakBefore w:val="0"/>
        <w:widowControl/>
        <w:spacing w:after="60" w:before="100" w:lineRule="auto" w:line="264"/>
        <w:ind w:left="0" w:firstLine="0"/>
        <w:rPr>
          <w:sz w:val="22"/>
          <w:szCs w:val="22"/>
        </w:rPr>
      </w:pPr>
      <w:r>
        <w:rPr>
          <w:b/>
          <w:color w:val="000000"/>
          <w:sz w:val="22"/>
          <w:szCs w:val="22"/>
          <w:u w:val="none"/>
          <w:rtl w:val="0"/>
        </w:rPr>
        <w:t>4.6.1 Conditional parallel trends</w:t>
      </w:r>
    </w:p>
    <w:p w:rsidR="00000000" w:rsidDel="00000000" w:rsidP="00000000" w:rsidRDefault="00000000" w:rsidRPr="00000000" w14:paraId="000000C2">
      <w:pPr>
        <w:keepNext/>
        <w:pageBreakBefore w:val="0"/>
        <w:widowControl/>
        <w:spacing w:after="40" w:before="0" w:lineRule="auto" w:line="245"/>
        <w:rPr/>
      </w:pPr>
      <w:r>
        <w:rPr>
          <w:u w:val="none"/>
          <w:rtl w:val="0"/>
        </w:rPr>
        <w:t>Conditional parallel trends requires additions and controls to have the same expected untreated change from B to each stage, given X and the matched-group structure:</w:t>
      </w:r>
    </w:p>
    <w:p w:rsidR="00000000" w:rsidDel="00000000" w:rsidP="00000000" w:rsidRDefault="00000000" w:rsidRPr="00000000" w14:paraId="000000C3">
      <w:pPr>
        <w:keepNext w:val="0"/>
        <w:pageBreakBefore w:val="0"/>
        <w:widowControl/>
        <w:spacing w:after="100" w:before="60" w:lineRule="auto" w:line="264"/>
        <w:jc w:val="center"/>
        <w:rPr/>
      </w:pPr>
      <w:r>
        <w:drawing>
          <wp:inline>
            <wp:extent cx="5669280" cy="194068"/>
            <wp:docPr id="17" name="Picture 17"/>
            <wp:cNvGraphicFramePr>
              <a:graphicFrameLocks noChangeAspect="1"/>
            </wp:cNvGraphicFramePr>
            <a:graphic>
              <a:graphicData uri="http://schemas.openxmlformats.org/drawingml/2006/picture">
                <pic:pic>
                  <pic:nvPicPr>
                    <pic:cNvPr id="0" name="cpt.png"/>
                    <pic:cNvPicPr/>
                  </pic:nvPicPr>
                  <pic:blipFill>
                    <a:blip r:embed="rId54"/>
                    <a:stretch>
                      <a:fillRect/>
                    </a:stretch>
                  </pic:blipFill>
                  <pic:spPr>
                    <a:xfrm>
                      <a:off x="0" y="0"/>
                      <a:ext cx="5669280" cy="194068"/>
                    </a:xfrm>
                    <a:prstGeom prst="rect"/>
                  </pic:spPr>
                </pic:pic>
              </a:graphicData>
            </a:graphic>
          </wp:inline>
        </w:drawing>
      </w:r>
    </w:p>
    <w:p w:rsidR="00000000" w:rsidDel="00000000" w:rsidP="00000000" w:rsidRDefault="00000000" w:rsidRPr="00000000" w14:paraId="000000C4">
      <w:pPr>
        <w:pageBreakBefore w:val="0"/>
        <w:widowControl/>
        <w:spacing w:after="40" w:before="0" w:lineRule="auto" w:line="245"/>
        <w:jc w:val="both"/>
        <w:rPr/>
      </w:pPr>
      <w:r>
        <w:rPr>
          <w:u w:val="none"/>
          <w:rtl w:val="0"/>
        </w:rPr>
        <w:t>Y⁰ denotes the untreated log outcome. Same-sector and size matching builds comparability into the sample. Size and volatility interactions allow these characteristics to predict different stage profiles, while fixed effects remove stable liquidity differences.</w:t>
      </w:r>
    </w:p>
    <w:p w:rsidR="00000000" w:rsidDel="00000000" w:rsidP="00000000" w:rsidRDefault="00000000" w:rsidRPr="00000000" w14:paraId="000000C6">
      <w:pPr>
        <w:pageBreakBefore w:val="0"/>
        <w:widowControl/>
        <w:spacing w:after="40" w:before="0" w:lineRule="auto" w:line="245"/>
        <w:jc w:val="both"/>
        <w:rPr/>
      </w:pPr>
      <w:r>
        <w:rPr>
          <w:u w:val="none"/>
          <w:rtl w:val="0"/>
        </w:rPr>
        <w:t>Pre-trend diagnostics use four ten-day bins spanning −60:−21, with −40:−31 as reference; PA is excluded because positioning is allowed there. Each bin needs six valid days, retaining 73 groups and 178 tickers. The main model keeps 77 groups. Joint tests do not reject equal pre-event changes (Table 4); non-rejection supports the design but does not establish parallel trends.</w:t>
      </w:r>
    </w:p>
    <w:p w:rsidR="00000000" w:rsidDel="00000000" w:rsidP="00000000" w:rsidRDefault="00000000" w:rsidRPr="00000000" w14:paraId="000000D4">
      <w:pPr>
        <w:keepNext/>
        <w:pageBreakBefore w:val="0"/>
        <w:widowControl/>
        <w:spacing w:after="100" w:before="0" w:lineRule="auto" w:line="264"/>
        <w:jc w:val="center"/>
        <w:rPr>
          <w:i w:val="1"/>
          <w:iCs w:val="1"/>
        </w:rPr>
      </w:pPr>
      <w:r>
        <w:rPr>
          <w:i/>
          <w:sz w:val="19"/>
          <w:u w:val="none"/>
          <w:rtl w:val="0"/>
        </w:rPr>
        <w:t>Table 4. Joint conditional pre-trend tests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3"/>
        <w:gridCol w:w="1277"/>
        <w:gridCol w:w="1395"/>
        <w:tblGridChange w:id="0">
          <w:tblGrid>
            <w:gridCol w:w="6353.485288023208"/>
            <w:gridCol w:w="1276.6348943224205"/>
            <w:gridCol w:w="1395.3916286779943"/>
          </w:tblGrid>
        </w:tblGridChange>
      </w:tblGrid>
      <w:tr>
        <w:trPr>
          <w:tblHeader w:val="0"/>
          <w:tblHeader/>
          <w:cantSplit/>
          <w:tblHeader/>
        </w:trPr>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C8">
            <w:pPr>
              <w:keepNext/>
              <w:spacing w:after="0" w:before="0" w:line="245" w:lineRule="auto"/>
              <w:jc w:val="left"/>
              <w:rPr>
                <w:b w:val="1"/>
                <w:bCs w:val="1"/>
                <w:sz w:val="20"/>
                <w:szCs w:val="20"/>
              </w:rPr>
            </w:pPr>
            <w:r w:rsidDel="00000000" w:rsidR="00000000" w:rsidRPr="00000000">
              <w:rPr>
                <w:b/>
                <w:bCs w:val="1"/>
                <w:sz w:val="19"/>
                <w:szCs w:val="20"/>
                <w:u w:val="none"/>
                <w:rtl w:val="0"/>
              </w:rPr>
              <w:t xml:space="preserve">Joint pre-trend restrictions</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C9">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Number</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CA">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p-value</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CB">
            <w:pPr>
              <w:keepNext/>
              <w:spacing w:after="0" w:before="0" w:line="245" w:lineRule="auto"/>
              <w:jc w:val="left"/>
              <w:rPr>
                <w:sz w:val="20"/>
                <w:szCs w:val="20"/>
              </w:rPr>
            </w:pPr>
            <w:r w:rsidDel="00000000" w:rsidR="00000000" w:rsidRPr="00000000">
              <w:rPr>
                <w:b w:val="0"/>
                <w:sz w:val="19"/>
                <w:szCs w:val="20"/>
                <w:u w:val="none"/>
                <w:rtl w:val="0"/>
              </w:rPr>
              <w:t xml:space="preserve">Pooled common bin changes equal zero</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CC">
            <w:pPr>
              <w:keepNext/>
              <w:spacing w:after="0" w:before="0" w:line="245" w:lineRule="auto"/>
              <w:jc w:val="center"/>
              <w:rPr>
                <w:sz w:val="20"/>
                <w:szCs w:val="20"/>
              </w:rPr>
            </w:pPr>
            <w:r w:rsidDel="00000000" w:rsidR="00000000" w:rsidRPr="00000000">
              <w:rPr>
                <w:b w:val="0"/>
                <w:sz w:val="19"/>
                <w:szCs w:val="20"/>
                <w:u w:val="none"/>
                <w:rtl w:val="0"/>
              </w:rPr>
              <w:t xml:space="preserve">3</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CD">
            <w:pPr>
              <w:keepNext/>
              <w:spacing w:after="0" w:before="0" w:line="245" w:lineRule="auto"/>
              <w:jc w:val="center"/>
              <w:rPr>
                <w:sz w:val="20"/>
                <w:szCs w:val="20"/>
              </w:rPr>
            </w:pPr>
            <w:r w:rsidDel="00000000" w:rsidR="00000000" w:rsidRPr="00000000">
              <w:rPr>
                <w:b w:val="0"/>
                <w:sz w:val="19"/>
                <w:szCs w:val="20"/>
                <w:u w:val="none"/>
                <w:rtl w:val="0"/>
              </w:rPr>
              <w:t xml:space="preserve">0.711</w:t>
            </w:r>
          </w:p>
        </w:tc>
      </w:tr>
      <w:tr>
        <w:trPr>
          <w:tblHeader w:val="0"/>
          <w:cantSplit/>
        </w:trPr>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CE">
            <w:pPr>
              <w:keepNext/>
              <w:spacing w:after="0" w:before="0" w:line="245" w:lineRule="auto"/>
              <w:jc w:val="left"/>
              <w:rPr>
                <w:sz w:val="20"/>
                <w:szCs w:val="20"/>
              </w:rPr>
            </w:pPr>
            <w:r w:rsidDel="00000000" w:rsidR="00000000" w:rsidRPr="00000000">
              <w:rPr>
                <w:b w:val="0"/>
                <w:sz w:val="19"/>
                <w:szCs w:val="20"/>
                <w:u w:val="none"/>
                <w:rtl w:val="0"/>
              </w:rPr>
              <w:t xml:space="preserve">Event-weighted bin changes equal zero</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CF">
            <w:pPr>
              <w:keepNext/>
              <w:spacing w:after="0" w:before="0" w:line="245" w:lineRule="auto"/>
              <w:jc w:val="center"/>
              <w:rPr>
                <w:sz w:val="20"/>
                <w:szCs w:val="20"/>
              </w:rPr>
            </w:pPr>
            <w:r w:rsidDel="00000000" w:rsidR="00000000" w:rsidRPr="00000000">
              <w:rPr>
                <w:b w:val="0"/>
                <w:sz w:val="19"/>
                <w:szCs w:val="20"/>
                <w:u w:val="none"/>
                <w:rtl w:val="0"/>
              </w:rPr>
              <w:t xml:space="preserve">3</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D0">
            <w:pPr>
              <w:keepNext/>
              <w:spacing w:after="0" w:before="0" w:line="245" w:lineRule="auto"/>
              <w:jc w:val="center"/>
              <w:rPr>
                <w:sz w:val="20"/>
                <w:szCs w:val="20"/>
              </w:rPr>
            </w:pPr>
            <w:r w:rsidDel="00000000" w:rsidR="00000000" w:rsidRPr="00000000">
              <w:rPr>
                <w:b w:val="0"/>
                <w:sz w:val="19"/>
                <w:szCs w:val="20"/>
                <w:u w:val="none"/>
                <w:rtl w:val="0"/>
              </w:rPr>
              <w:t xml:space="preserve">0.719</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D1">
            <w:pPr>
              <w:keepNext w:val="0"/>
              <w:spacing w:after="0" w:before="0" w:line="245" w:lineRule="auto"/>
              <w:jc w:val="left"/>
              <w:rPr>
                <w:sz w:val="20"/>
                <w:szCs w:val="20"/>
              </w:rPr>
            </w:pPr>
            <w:r w:rsidDel="00000000" w:rsidR="00000000" w:rsidRPr="00000000">
              <w:rPr>
                <w:b w:val="0"/>
                <w:sz w:val="19"/>
                <w:szCs w:val="20"/>
                <w:u w:val="none"/>
                <w:rtl w:val="0"/>
              </w:rPr>
              <w:t xml:space="preserve">All review-specific bin changes equal zero</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D2">
            <w:pPr>
              <w:keepNext w:val="0"/>
              <w:spacing w:after="0" w:before="0" w:line="245" w:lineRule="auto"/>
              <w:jc w:val="center"/>
              <w:rPr>
                <w:sz w:val="20"/>
                <w:szCs w:val="20"/>
              </w:rPr>
            </w:pPr>
            <w:r w:rsidDel="00000000" w:rsidR="00000000" w:rsidRPr="00000000">
              <w:rPr>
                <w:b w:val="0"/>
                <w:sz w:val="19"/>
                <w:szCs w:val="20"/>
                <w:u w:val="none"/>
                <w:rtl w:val="0"/>
              </w:rPr>
              <w:t xml:space="preserve">18</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D3">
            <w:pPr>
              <w:keepNext w:val="0"/>
              <w:spacing w:after="0" w:before="0" w:line="245" w:lineRule="auto"/>
              <w:jc w:val="center"/>
              <w:rPr>
                <w:sz w:val="20"/>
                <w:szCs w:val="20"/>
              </w:rPr>
            </w:pPr>
            <w:r w:rsidDel="00000000" w:rsidR="00000000" w:rsidRPr="00000000">
              <w:rPr>
                <w:b w:val="0"/>
                <w:sz w:val="19"/>
                <w:szCs w:val="20"/>
                <w:u w:val="none"/>
                <w:rtl w:val="0"/>
              </w:rPr>
              <w:t xml:space="preserve">0.164</w:t>
            </w:r>
          </w:p>
        </w:tc>
      </w:tr>
    </w:tbl>
    <w:p w:rsidR="00000000" w:rsidDel="00000000" w:rsidP="00000000" w:rsidRDefault="00000000" w:rsidRPr="00000000" w14:paraId="000000D6">
      <w:pPr>
        <w:keepNext/>
        <w:pageBreakBefore w:val="0"/>
        <w:widowControl/>
        <w:spacing w:after="80" w:before="40" w:lineRule="auto" w:line="264"/>
        <w:jc w:val="center"/>
        <w:rPr/>
      </w:pPr>
      <w:r w:rsidDel="00000000" w:rsidR="00000000" w:rsidRPr="00000000">
        <w:rPr>
          <w:u w:val="none"/>
        </w:rPr>
        <w:drawing>
          <wp:inline distB="114300" distT="114300" distL="114300" distR="114300">
            <wp:extent cx="5403144" cy="1546741"/>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03144" cy="1546741"/>
                    </a:xfrm>
                    <a:prstGeom prst="rect"/>
                    <a:ln/>
                  </pic:spPr>
                </pic:pic>
              </a:graphicData>
            </a:graphic>
          </wp:inline>
        </w:drawing>
      </w:r>
      <w:r w:rsidDel="00000000" w:rsidR="00000000" w:rsidRPr="00000000">
        <w:rPr>
          <w:u w:val="none"/>
          <w:rtl w:val="0"/>
        </w:rPr>
      </w:r>
    </w:p>
    <w:p w:rsidR="00000000" w:rsidDel="00000000" w:rsidP="00000000" w:rsidRDefault="00000000" w:rsidRPr="00000000" w14:paraId="000000D7">
      <w:pPr>
        <w:keepNext w:val="0"/>
        <w:pageBreakBefore w:val="0"/>
        <w:widowControl/>
        <w:spacing w:after="100" w:before="0" w:lineRule="auto" w:line="264"/>
        <w:jc w:val="center"/>
        <w:rPr>
          <w:i w:val="1"/>
          <w:iCs w:val="1"/>
        </w:rPr>
      </w:pPr>
      <w:r>
        <w:rPr>
          <w:i w:val="1"/>
          <w:iCs w:val="1"/>
          <w:sz w:val="19"/>
          <w:u w:val="none"/>
          <w:rtl w:val="0"/>
        </w:rPr>
        <w:t>Figure 1. Conditional pre-trend estimates; pointwise 95% ticker-clustered intervals. Reference: −40:−31.</w:t>
      </w:r>
    </w:p>
    <w:p w:rsidR="00000000" w:rsidDel="00000000" w:rsidP="00000000" w:rsidRDefault="00000000" w:rsidRPr="00000000" w14:paraId="000000DC">
      <w:pPr>
        <w:pStyle w:val="Heading3"/>
        <w:keepNext/>
        <w:keepLines w:val="0"/>
        <w:pageBreakBefore w:val="0"/>
        <w:widowControl/>
        <w:spacing w:after="60" w:before="100" w:lineRule="auto" w:line="264"/>
        <w:ind w:left="0" w:firstLine="0"/>
        <w:rPr>
          <w:sz w:val="22"/>
          <w:szCs w:val="22"/>
          <w:u w:val="none"/>
        </w:rPr>
      </w:pPr>
      <w:r>
        <w:rPr>
          <w:b/>
          <w:color w:val="000000"/>
          <w:sz w:val="22"/>
          <w:szCs w:val="22"/>
          <w:u w:val="none"/>
          <w:rtl w:val="0"/>
        </w:rPr>
        <w:t>4.6.2 No anticipation in B</w:t>
      </w:r>
    </w:p>
    <w:p w:rsidR="00000000" w:rsidDel="00000000" w:rsidP="00000000" w:rsidRDefault="00000000" w:rsidRPr="00000000" w14:paraId="000000DE">
      <w:pPr>
        <w:pageBreakBefore w:val="0"/>
        <w:widowControl/>
        <w:spacing w:after="40" w:before="0" w:lineRule="auto" w:line="245"/>
        <w:jc w:val="both"/>
        <w:rPr/>
      </w:pPr>
      <w:r>
        <w:rPr>
          <w:u w:val="none"/>
          <w:rtl w:val="0"/>
        </w:rPr>
        <w:t>We assume inclusion expectations have not affected additions during B (−40:−21). PA (−20:0) allows positioning before announcement. B ends ten trading days before our matching reference date, reducing proximity to final selection. Excluding same-review index actions mitigates comparison shocks, but we also assume no material spillovers to controls. Neither baseline levels nor PA's imprecise estimate can verify no anticipation.</w:t>
      </w:r>
    </w:p>
    <w:p w:rsidR="00000000" w:rsidDel="00000000" w:rsidP="00000000" w:rsidRDefault="00000000" w:rsidRPr="00000000" w14:paraId="000000E1">
      <w:pPr>
        <w:pStyle w:val="Heading1"/>
        <w:keepNext/>
        <w:keepLines w:val="0"/>
        <w:pageBreakBefore w:val="0"/>
        <w:widowControl/>
        <w:pBdr>
          <w:top w:space="0" w:sz="0" w:val="nil"/>
          <w:left w:space="0" w:sz="0" w:val="nil"/>
          <w:bottom w:space="0" w:sz="0" w:val="nil"/>
          <w:right w:space="0" w:sz="0" w:val="nil"/>
          <w:between w:space="0" w:sz="0" w:val="nil"/>
        </w:pBdr>
        <w:shd w:fill="auto" w:val="clear"/>
        <w:spacing w:after="100" w:before="180" w:line="264" w:lineRule="auto"/>
        <w:ind w:left="0" w:right="0" w:firstLine="0"/>
        <w:jc w:val="both"/>
        <w:rPr>
          <w:b w:val="1"/>
          <w:bCs w:val="1"/>
          <w:sz w:val="30"/>
          <w:szCs w:val="30"/>
        </w:rPr>
      </w:pPr>
      <w:r>
        <w:rPr>
          <w:b/>
          <w:bCs w:val="1"/>
          <w:color w:val="000000"/>
          <w:sz w:val="30"/>
          <w:szCs w:val="30"/>
          <w:u w:val="none"/>
          <w:rtl w:val="0"/>
        </w:rPr>
        <w:t>5 Results and interpretation</w:t>
      </w:r>
    </w:p>
    <w:p w:rsidR="00000000" w:rsidDel="00000000" w:rsidP="00000000" w:rsidRDefault="00000000" w:rsidRPr="00000000" w14:paraId="000000E3">
      <w:pPr>
        <w:pStyle w:val="Heading2"/>
        <w:keepNext/>
        <w:keepLines w:val="0"/>
        <w:pageBreakBefore w:val="0"/>
        <w:widowControl/>
        <w:spacing w:after="60" w:before="100" w:lineRule="auto" w:line="264"/>
        <w:ind w:left="0" w:firstLine="0"/>
        <w:rPr>
          <w:sz w:val="22"/>
          <w:szCs w:val="22"/>
          <w:u w:val="single"/>
        </w:rPr>
      </w:pPr>
      <w:r>
        <w:rPr>
          <w:b/>
          <w:color w:val="000000"/>
          <w:sz w:val="24"/>
          <w:szCs w:val="22"/>
          <w:u w:val="none"/>
          <w:rtl w:val="0"/>
        </w:rPr>
        <w:t>5.1 Main stage effects</w:t>
      </w:r>
    </w:p>
    <w:p w:rsidR="00000000" w:rsidDel="00000000" w:rsidP="00000000" w:rsidRDefault="00000000" w:rsidRPr="00000000" w14:paraId="000000E5">
      <w:pPr>
        <w:keepNext/>
        <w:pageBreakBefore w:val="0"/>
        <w:widowControl/>
        <w:spacing w:after="100" w:before="0" w:lineRule="auto" w:line="264"/>
        <w:jc w:val="left"/>
        <w:rPr/>
      </w:pPr>
      <w:r>
        <w:rPr>
          <w:i w:val="0"/>
          <w:sz w:val="22"/>
          <w:u w:val="none"/>
          <w:rtl w:val="0"/>
        </w:rPr>
        <w:t>Table 5 reports the event-weighted conditional heterogeneous estimates. To express a log coefficient as a percentage change, we use:</w:t>
      </w:r>
    </w:p>
    <w:p w:rsidR="00000000" w:rsidDel="00000000" w:rsidP="00000000" w:rsidRDefault="00000000" w:rsidRPr="00000000" w14:paraId="000000E6">
      <w:pPr>
        <w:keepNext w:val="0"/>
        <w:pageBreakBefore w:val="0"/>
        <w:widowControl/>
        <w:spacing w:after="100" w:before="60" w:lineRule="auto" w:line="264"/>
        <w:jc w:val="center"/>
        <w:rPr/>
      </w:pPr>
      <w:r>
        <w:drawing>
          <wp:inline>
            <wp:extent cx="5669280" cy="295484"/>
            <wp:docPr id="18" name="Picture 18"/>
            <wp:cNvGraphicFramePr>
              <a:graphicFrameLocks noChangeAspect="1"/>
            </wp:cNvGraphicFramePr>
            <a:graphic>
              <a:graphicData uri="http://schemas.openxmlformats.org/drawingml/2006/picture">
                <pic:pic>
                  <pic:nvPicPr>
                    <pic:cNvPr id="0" name="effect.png"/>
                    <pic:cNvPicPr/>
                  </pic:nvPicPr>
                  <pic:blipFill>
                    <a:blip r:embed="rId55"/>
                    <a:stretch>
                      <a:fillRect/>
                    </a:stretch>
                  </pic:blipFill>
                  <pic:spPr>
                    <a:xfrm>
                      <a:off x="0" y="0"/>
                      <a:ext cx="5669280" cy="295484"/>
                    </a:xfrm>
                    <a:prstGeom prst="rect"/>
                  </pic:spPr>
                </pic:pic>
              </a:graphicData>
            </a:graphic>
          </wp:inline>
        </w:drawing>
      </w:r>
    </w:p>
    <w:p w:rsidR="00000000" w:rsidDel="00000000" w:rsidP="00000000" w:rsidRDefault="00000000" w:rsidRPr="00000000" w14:paraId="000000E7">
      <w:pPr>
        <w:pageBreakBefore w:val="0"/>
        <w:widowControl/>
        <w:spacing w:after="40" w:before="0" w:lineRule="auto" w:line="245"/>
        <w:jc w:val="both"/>
        <w:rPr/>
      </w:pPr>
      <w:r>
        <w:rPr>
          <w:u w:val="none"/>
          <w:rtl w:val="0"/>
        </w:rPr>
        <w:t>For example, AP's coefficient of −0.497 implies exp(−0.497) = 0.608: modelled illiquidity is 39.2% below its counterfactual. This is a ratio-of-ratios relative to B, rather than the percentage change in a raw group mean.</w:t>
      </w:r>
    </w:p>
    <w:p w:rsidR="00000000" w:rsidDel="00000000" w:rsidP="00000000" w:rsidRDefault="00000000" w:rsidRPr="00000000" w14:paraId="00000114">
      <w:pPr>
        <w:keepNext/>
        <w:pageBreakBefore w:val="0"/>
        <w:widowControl/>
        <w:spacing w:after="100" w:before="0" w:line="264" w:lineRule="auto"/>
        <w:jc w:val="center"/>
        <w:rPr>
          <w:i w:val="1"/>
          <w:iCs w:val="1"/>
        </w:rPr>
      </w:pPr>
      <w:r>
        <w:rPr>
          <w:i/>
          <w:iCs w:val="1"/>
          <w:sz w:val="19"/>
          <w:u w:val="none"/>
          <w:rtl w:val="0"/>
        </w:rPr>
        <w:t>Table 5. Main conditional heterogeneous effects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1128"/>
        <w:gridCol w:w="1113"/>
        <w:gridCol w:w="1321"/>
        <w:gridCol w:w="2331"/>
        <w:gridCol w:w="1069"/>
        <w:gridCol w:w="1128"/>
        <w:tblGridChange w:id="0">
          <w:tblGrid>
            <w:gridCol w:w="935.2092830501452"/>
            <w:gridCol w:w="1128.188976377953"/>
            <w:gridCol w:w="1113.344384583506"/>
            <w:gridCol w:w="1321.1686697057607"/>
            <w:gridCol w:w="2330.6009117281396"/>
            <w:gridCol w:w="1068.810609200166"/>
            <w:gridCol w:w="1128.188976377953"/>
          </w:tblGrid>
        </w:tblGridChange>
      </w:tblGrid>
      <w:tr>
        <w:trPr>
          <w:tblHeader w:val="0"/>
          <w:tblHeader/>
          <w:cantSplit/>
          <w:tblHeader/>
        </w:trPr>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EA">
            <w:pPr>
              <w:keepNext/>
              <w:spacing w:after="0" w:before="0" w:line="245" w:lineRule="auto"/>
              <w:jc w:val="left"/>
              <w:rPr>
                <w:b w:val="1"/>
                <w:bCs w:val="1"/>
                <w:sz w:val="20"/>
                <w:szCs w:val="20"/>
              </w:rPr>
            </w:pPr>
            <w:r w:rsidDel="00000000" w:rsidR="00000000" w:rsidRPr="00000000">
              <w:rPr>
                <w:b/>
                <w:bCs w:val="1"/>
                <w:sz w:val="19"/>
                <w:szCs w:val="20"/>
                <w:u w:val="none"/>
                <w:rtl w:val="0"/>
              </w:rPr>
              <w:t xml:space="preserve">Stage</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EB">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Log β</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EC">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SE</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ED">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Effect %</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EE">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95% CI %</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EF">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p</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0">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Holm p</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1">
            <w:pPr>
              <w:keepNext/>
              <w:spacing w:after="0" w:before="0" w:line="245" w:lineRule="auto"/>
              <w:jc w:val="left"/>
              <w:rPr>
                <w:sz w:val="20"/>
                <w:szCs w:val="20"/>
              </w:rPr>
            </w:pPr>
            <w:r w:rsidDel="00000000" w:rsidR="00000000" w:rsidRPr="00000000">
              <w:rPr>
                <w:b w:val="0"/>
                <w:sz w:val="19"/>
                <w:szCs w:val="20"/>
                <w:u w:val="none"/>
                <w:rtl w:val="0"/>
              </w:rPr>
              <w:t xml:space="preserve">EP</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2">
            <w:pPr>
              <w:keepNext/>
              <w:spacing w:after="0" w:before="0" w:line="245" w:lineRule="auto"/>
              <w:jc w:val="center"/>
              <w:rPr>
                <w:sz w:val="20"/>
                <w:szCs w:val="20"/>
              </w:rPr>
            </w:pPr>
            <w:r w:rsidDel="00000000" w:rsidR="00000000" w:rsidRPr="00000000">
              <w:rPr>
                <w:b w:val="0"/>
                <w:sz w:val="19"/>
                <w:szCs w:val="20"/>
                <w:u w:val="none"/>
                <w:rtl w:val="0"/>
              </w:rPr>
              <w:t xml:space="preserve">0.044</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3">
            <w:pPr>
              <w:keepNext/>
              <w:spacing w:after="0" w:before="0" w:line="245" w:lineRule="auto"/>
              <w:jc w:val="center"/>
              <w:rPr>
                <w:sz w:val="20"/>
                <w:szCs w:val="20"/>
              </w:rPr>
            </w:pPr>
            <w:r w:rsidDel="00000000" w:rsidR="00000000" w:rsidRPr="00000000">
              <w:rPr>
                <w:b w:val="0"/>
                <w:sz w:val="19"/>
                <w:szCs w:val="20"/>
                <w:u w:val="none"/>
                <w:rtl w:val="0"/>
              </w:rPr>
              <w:t xml:space="preserve">0.067</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4">
            <w:pPr>
              <w:keepNext/>
              <w:spacing w:after="0" w:before="0" w:line="245" w:lineRule="auto"/>
              <w:jc w:val="center"/>
              <w:rPr>
                <w:sz w:val="20"/>
                <w:szCs w:val="20"/>
              </w:rPr>
            </w:pPr>
            <w:r w:rsidDel="00000000" w:rsidR="00000000" w:rsidRPr="00000000">
              <w:rPr>
                <w:b w:val="0"/>
                <w:sz w:val="19"/>
                <w:szCs w:val="20"/>
                <w:u w:val="none"/>
                <w:rtl w:val="0"/>
              </w:rPr>
              <w:t xml:space="preserve">+4.5</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5">
            <w:pPr>
              <w:keepNext/>
              <w:spacing w:after="0" w:before="0" w:line="245" w:lineRule="auto"/>
              <w:jc w:val="center"/>
              <w:rPr>
                <w:sz w:val="20"/>
                <w:szCs w:val="20"/>
              </w:rPr>
            </w:pPr>
            <w:r>
              <w:rPr>
                <w:b w:val="0"/>
                <w:sz w:val="19"/>
                <w:szCs w:val="20"/>
                <w:u w:val="none"/>
                <w:rtl w:val="0"/>
              </w:rPr>
              <w:t>[−8.5, 19.3]</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6">
            <w:pPr>
              <w:keepNext/>
              <w:spacing w:after="0" w:before="0" w:line="245" w:lineRule="auto"/>
              <w:jc w:val="center"/>
              <w:rPr>
                <w:sz w:val="20"/>
                <w:szCs w:val="20"/>
              </w:rPr>
            </w:pPr>
            <w:r w:rsidDel="00000000" w:rsidR="00000000" w:rsidRPr="00000000">
              <w:rPr>
                <w:b w:val="0"/>
                <w:sz w:val="19"/>
                <w:szCs w:val="20"/>
                <w:u w:val="none"/>
                <w:rtl w:val="0"/>
              </w:rPr>
              <w:t xml:space="preserve">0.516</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7">
            <w:pPr>
              <w:keepNext/>
              <w:spacing w:after="0" w:before="0" w:line="245" w:lineRule="auto"/>
              <w:jc w:val="center"/>
              <w:rPr>
                <w:sz w:val="20"/>
                <w:szCs w:val="20"/>
              </w:rPr>
            </w:pPr>
            <w:r w:rsidDel="00000000" w:rsidR="00000000" w:rsidRPr="00000000">
              <w:rPr>
                <w:b w:val="0"/>
                <w:sz w:val="19"/>
                <w:szCs w:val="20"/>
                <w:u w:val="none"/>
                <w:rtl w:val="0"/>
              </w:rPr>
              <w:t xml:space="preserve">0.516</w:t>
            </w:r>
          </w:p>
        </w:tc>
      </w:tr>
      <w:tr>
        <w:trPr>
          <w:tblHeader w:val="0"/>
          <w:cantSplit/>
        </w:trPr>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8">
            <w:pPr>
              <w:keepNext/>
              <w:spacing w:after="0" w:before="0" w:line="245" w:lineRule="auto"/>
              <w:jc w:val="left"/>
              <w:rPr>
                <w:sz w:val="20"/>
                <w:szCs w:val="20"/>
              </w:rPr>
            </w:pPr>
            <w:r w:rsidDel="00000000" w:rsidR="00000000" w:rsidRPr="00000000">
              <w:rPr>
                <w:b w:val="0"/>
                <w:sz w:val="19"/>
                <w:szCs w:val="20"/>
                <w:u w:val="none"/>
                <w:rtl w:val="0"/>
              </w:rPr>
              <w:t xml:space="preserve">PA</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9">
            <w:pPr>
              <w:keepNext/>
              <w:spacing w:after="0" w:before="0" w:line="245" w:lineRule="auto"/>
              <w:jc w:val="center"/>
              <w:rPr>
                <w:sz w:val="20"/>
                <w:szCs w:val="20"/>
              </w:rPr>
            </w:pPr>
            <w:r>
              <w:rPr>
                <w:b w:val="0"/>
                <w:sz w:val="19"/>
                <w:szCs w:val="20"/>
                <w:u w:val="none"/>
                <w:rtl w:val="0"/>
              </w:rPr>
              <w:t>−0.087</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A">
            <w:pPr>
              <w:keepNext/>
              <w:spacing w:after="0" w:before="0" w:line="245" w:lineRule="auto"/>
              <w:jc w:val="center"/>
              <w:rPr>
                <w:sz w:val="20"/>
                <w:szCs w:val="20"/>
              </w:rPr>
            </w:pPr>
            <w:r w:rsidDel="00000000" w:rsidR="00000000" w:rsidRPr="00000000">
              <w:rPr>
                <w:b w:val="0"/>
                <w:sz w:val="19"/>
                <w:szCs w:val="20"/>
                <w:u w:val="none"/>
                <w:rtl w:val="0"/>
              </w:rPr>
              <w:t xml:space="preserve">0.071</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B">
            <w:pPr>
              <w:keepNext/>
              <w:spacing w:after="0" w:before="0" w:line="245" w:lineRule="auto"/>
              <w:jc w:val="center"/>
              <w:rPr>
                <w:sz w:val="20"/>
                <w:szCs w:val="20"/>
              </w:rPr>
            </w:pPr>
            <w:r>
              <w:rPr>
                <w:b w:val="0"/>
                <w:sz w:val="19"/>
                <w:szCs w:val="20"/>
                <w:u w:val="none"/>
                <w:rtl w:val="0"/>
              </w:rPr>
              <w:t>−8.3</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C">
            <w:pPr>
              <w:keepNext/>
              <w:spacing w:after="0" w:before="0" w:line="245" w:lineRule="auto"/>
              <w:jc w:val="center"/>
              <w:rPr>
                <w:sz w:val="20"/>
                <w:szCs w:val="20"/>
              </w:rPr>
            </w:pPr>
            <w:r>
              <w:rPr>
                <w:b w:val="0"/>
                <w:sz w:val="19"/>
                <w:szCs w:val="20"/>
                <w:u w:val="none"/>
                <w:rtl w:val="0"/>
              </w:rPr>
              <w:t>[−20.3, 5.5]</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D">
            <w:pPr>
              <w:keepNext/>
              <w:spacing w:after="0" w:before="0" w:line="245" w:lineRule="auto"/>
              <w:jc w:val="center"/>
              <w:rPr>
                <w:sz w:val="20"/>
                <w:szCs w:val="20"/>
              </w:rPr>
            </w:pPr>
            <w:r w:rsidDel="00000000" w:rsidR="00000000" w:rsidRPr="00000000">
              <w:rPr>
                <w:b w:val="0"/>
                <w:sz w:val="19"/>
                <w:szCs w:val="20"/>
                <w:u w:val="none"/>
                <w:rtl w:val="0"/>
              </w:rPr>
              <w:t xml:space="preserve">0.222</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E">
            <w:pPr>
              <w:keepNext/>
              <w:spacing w:after="0" w:before="0" w:line="245" w:lineRule="auto"/>
              <w:jc w:val="center"/>
              <w:rPr>
                <w:sz w:val="20"/>
                <w:szCs w:val="20"/>
              </w:rPr>
            </w:pPr>
            <w:r w:rsidDel="00000000" w:rsidR="00000000" w:rsidRPr="00000000">
              <w:rPr>
                <w:b w:val="0"/>
                <w:sz w:val="19"/>
                <w:szCs w:val="20"/>
                <w:u w:val="none"/>
                <w:rtl w:val="0"/>
              </w:rPr>
              <w:t xml:space="preserve">0.445</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0FF">
            <w:pPr>
              <w:keepNext/>
              <w:spacing w:after="0" w:before="0" w:line="245" w:lineRule="auto"/>
              <w:jc w:val="left"/>
              <w:rPr>
                <w:sz w:val="20"/>
                <w:szCs w:val="20"/>
              </w:rPr>
            </w:pPr>
            <w:r w:rsidDel="00000000" w:rsidR="00000000" w:rsidRPr="00000000">
              <w:rPr>
                <w:b w:val="0"/>
                <w:sz w:val="19"/>
                <w:szCs w:val="20"/>
                <w:u w:val="none"/>
                <w:rtl w:val="0"/>
              </w:rPr>
              <w:t xml:space="preserve">AP</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0">
            <w:pPr>
              <w:keepNext/>
              <w:spacing w:after="0" w:before="0" w:line="245" w:lineRule="auto"/>
              <w:jc w:val="center"/>
              <w:rPr>
                <w:sz w:val="20"/>
                <w:szCs w:val="20"/>
              </w:rPr>
            </w:pPr>
            <w:r>
              <w:rPr>
                <w:b w:val="0"/>
                <w:sz w:val="19"/>
                <w:szCs w:val="20"/>
                <w:u w:val="none"/>
                <w:rtl w:val="0"/>
              </w:rPr>
              <w:t>−0.497</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1">
            <w:pPr>
              <w:keepNext/>
              <w:spacing w:after="0" w:before="0" w:line="245" w:lineRule="auto"/>
              <w:jc w:val="center"/>
              <w:rPr>
                <w:sz w:val="20"/>
                <w:szCs w:val="20"/>
              </w:rPr>
            </w:pPr>
            <w:r w:rsidDel="00000000" w:rsidR="00000000" w:rsidRPr="00000000">
              <w:rPr>
                <w:b w:val="0"/>
                <w:sz w:val="19"/>
                <w:szCs w:val="20"/>
                <w:u w:val="none"/>
                <w:rtl w:val="0"/>
              </w:rPr>
              <w:t xml:space="preserve">0.093</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2">
            <w:pPr>
              <w:keepNext/>
              <w:spacing w:after="0" w:before="0" w:line="245" w:lineRule="auto"/>
              <w:jc w:val="center"/>
              <w:rPr>
                <w:sz w:val="20"/>
                <w:szCs w:val="20"/>
              </w:rPr>
            </w:pPr>
            <w:r>
              <w:rPr>
                <w:b w:val="0"/>
                <w:sz w:val="19"/>
                <w:szCs w:val="20"/>
                <w:u w:val="none"/>
                <w:rtl w:val="0"/>
              </w:rPr>
              <w:t>−39.2</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3">
            <w:pPr>
              <w:keepNext/>
              <w:spacing w:after="0" w:before="0" w:line="245" w:lineRule="auto"/>
              <w:jc w:val="center"/>
              <w:rPr>
                <w:sz w:val="20"/>
                <w:szCs w:val="20"/>
              </w:rPr>
            </w:pPr>
            <w:r>
              <w:rPr>
                <w:b w:val="0"/>
                <w:sz w:val="19"/>
                <w:szCs w:val="20"/>
                <w:u w:val="none"/>
                <w:rtl w:val="0"/>
              </w:rPr>
              <w:t>[−49.4, −27.0]</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4">
            <w:pPr>
              <w:keepNext/>
              <w:spacing w:after="0" w:before="0" w:line="245" w:lineRule="auto"/>
              <w:jc w:val="center"/>
              <w:rPr>
                <w:sz w:val="20"/>
                <w:szCs w:val="20"/>
              </w:rPr>
            </w:pPr>
            <w:r w:rsidDel="00000000" w:rsidR="00000000" w:rsidRPr="00000000">
              <w:rPr>
                <w:b w:val="0"/>
                <w:sz w:val="19"/>
                <w:szCs w:val="20"/>
                <w:u w:val="none"/>
                <w:rtl w:val="0"/>
              </w:rPr>
              <w:t xml:space="preserve">&lt;0.001</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5">
            <w:pPr>
              <w:keepNext/>
              <w:spacing w:after="0" w:before="0" w:line="245" w:lineRule="auto"/>
              <w:jc w:val="center"/>
              <w:rPr>
                <w:sz w:val="20"/>
                <w:szCs w:val="20"/>
              </w:rPr>
            </w:pPr>
            <w:r w:rsidDel="00000000" w:rsidR="00000000" w:rsidRPr="00000000">
              <w:rPr>
                <w:b w:val="0"/>
                <w:sz w:val="19"/>
                <w:szCs w:val="20"/>
                <w:u w:val="none"/>
                <w:rtl w:val="0"/>
              </w:rPr>
              <w:t xml:space="preserve">&lt;0.001</w:t>
            </w:r>
          </w:p>
        </w:tc>
      </w:tr>
      <w:tr>
        <w:trPr>
          <w:tblHeader w:val="0"/>
          <w:cantSplit/>
        </w:trPr>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6">
            <w:pPr>
              <w:keepNext/>
              <w:spacing w:after="0" w:before="0" w:line="245" w:lineRule="auto"/>
              <w:jc w:val="left"/>
              <w:rPr>
                <w:sz w:val="20"/>
                <w:szCs w:val="20"/>
              </w:rPr>
            </w:pPr>
            <w:r w:rsidDel="00000000" w:rsidR="00000000" w:rsidRPr="00000000">
              <w:rPr>
                <w:b w:val="0"/>
                <w:sz w:val="19"/>
                <w:szCs w:val="20"/>
                <w:u w:val="none"/>
                <w:rtl w:val="0"/>
              </w:rPr>
              <w:t xml:space="preserve">SP</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7">
            <w:pPr>
              <w:keepNext/>
              <w:spacing w:after="0" w:before="0" w:line="245" w:lineRule="auto"/>
              <w:jc w:val="center"/>
              <w:rPr>
                <w:sz w:val="20"/>
                <w:szCs w:val="20"/>
              </w:rPr>
            </w:pPr>
            <w:r>
              <w:rPr>
                <w:b w:val="0"/>
                <w:sz w:val="19"/>
                <w:szCs w:val="20"/>
                <w:u w:val="none"/>
                <w:rtl w:val="0"/>
              </w:rPr>
              <w:t>−0.387</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8">
            <w:pPr>
              <w:keepNext/>
              <w:spacing w:after="0" w:before="0" w:line="245" w:lineRule="auto"/>
              <w:jc w:val="center"/>
              <w:rPr>
                <w:sz w:val="20"/>
                <w:szCs w:val="20"/>
              </w:rPr>
            </w:pPr>
            <w:r w:rsidDel="00000000" w:rsidR="00000000" w:rsidRPr="00000000">
              <w:rPr>
                <w:b w:val="0"/>
                <w:sz w:val="19"/>
                <w:szCs w:val="20"/>
                <w:u w:val="none"/>
                <w:rtl w:val="0"/>
              </w:rPr>
              <w:t xml:space="preserve">0.086</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9">
            <w:pPr>
              <w:keepNext/>
              <w:spacing w:after="0" w:before="0" w:line="245" w:lineRule="auto"/>
              <w:jc w:val="center"/>
              <w:rPr>
                <w:sz w:val="20"/>
                <w:szCs w:val="20"/>
              </w:rPr>
            </w:pPr>
            <w:r>
              <w:rPr>
                <w:b w:val="0"/>
                <w:sz w:val="19"/>
                <w:szCs w:val="20"/>
                <w:u w:val="none"/>
                <w:rtl w:val="0"/>
              </w:rPr>
              <w:t>−32.1</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A">
            <w:pPr>
              <w:keepNext/>
              <w:spacing w:after="0" w:before="0" w:line="245" w:lineRule="auto"/>
              <w:jc w:val="center"/>
              <w:rPr>
                <w:sz w:val="20"/>
                <w:szCs w:val="20"/>
              </w:rPr>
            </w:pPr>
            <w:r>
              <w:rPr>
                <w:b w:val="0"/>
                <w:sz w:val="19"/>
                <w:szCs w:val="20"/>
                <w:u w:val="none"/>
                <w:rtl w:val="0"/>
              </w:rPr>
              <w:t>[−42.6, −19.6]</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B">
            <w:pPr>
              <w:keepNext/>
              <w:spacing w:after="0" w:before="0" w:line="245" w:lineRule="auto"/>
              <w:jc w:val="center"/>
              <w:rPr>
                <w:sz w:val="20"/>
                <w:szCs w:val="20"/>
              </w:rPr>
            </w:pPr>
            <w:r w:rsidDel="00000000" w:rsidR="00000000" w:rsidRPr="00000000">
              <w:rPr>
                <w:b w:val="0"/>
                <w:sz w:val="19"/>
                <w:szCs w:val="20"/>
                <w:u w:val="none"/>
                <w:rtl w:val="0"/>
              </w:rPr>
              <w:t xml:space="preserve">&lt;0.001</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C">
            <w:pPr>
              <w:keepNext/>
              <w:spacing w:after="0" w:before="0" w:line="245" w:lineRule="auto"/>
              <w:jc w:val="center"/>
              <w:rPr>
                <w:sz w:val="20"/>
                <w:szCs w:val="20"/>
              </w:rPr>
            </w:pPr>
            <w:r w:rsidDel="00000000" w:rsidR="00000000" w:rsidRPr="00000000">
              <w:rPr>
                <w:b w:val="0"/>
                <w:sz w:val="19"/>
                <w:szCs w:val="20"/>
                <w:u w:val="none"/>
                <w:rtl w:val="0"/>
              </w:rPr>
              <w:t xml:space="preserve">&lt;0.001</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D">
            <w:pPr>
              <w:keepNext w:val="0"/>
              <w:spacing w:after="0" w:before="0" w:line="245" w:lineRule="auto"/>
              <w:jc w:val="left"/>
              <w:rPr>
                <w:sz w:val="20"/>
                <w:szCs w:val="20"/>
              </w:rPr>
            </w:pPr>
            <w:r w:rsidDel="00000000" w:rsidR="00000000" w:rsidRPr="00000000">
              <w:rPr>
                <w:b w:val="0"/>
                <w:sz w:val="19"/>
                <w:szCs w:val="20"/>
                <w:u w:val="none"/>
                <w:rtl w:val="0"/>
              </w:rPr>
              <w:t xml:space="preserve">LP</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E">
            <w:pPr>
              <w:keepNext w:val="0"/>
              <w:spacing w:after="0" w:before="0" w:line="245" w:lineRule="auto"/>
              <w:jc w:val="center"/>
              <w:rPr>
                <w:sz w:val="20"/>
                <w:szCs w:val="20"/>
              </w:rPr>
            </w:pPr>
            <w:r>
              <w:rPr>
                <w:b w:val="0"/>
                <w:sz w:val="19"/>
                <w:szCs w:val="20"/>
                <w:u w:val="none"/>
                <w:rtl w:val="0"/>
              </w:rPr>
              <w:t>−0.256</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0F">
            <w:pPr>
              <w:keepNext w:val="0"/>
              <w:spacing w:after="0" w:before="0" w:line="245" w:lineRule="auto"/>
              <w:jc w:val="center"/>
              <w:rPr>
                <w:sz w:val="20"/>
                <w:szCs w:val="20"/>
              </w:rPr>
            </w:pPr>
            <w:r w:rsidDel="00000000" w:rsidR="00000000" w:rsidRPr="00000000">
              <w:rPr>
                <w:b w:val="0"/>
                <w:sz w:val="19"/>
                <w:szCs w:val="20"/>
                <w:u w:val="none"/>
                <w:rtl w:val="0"/>
              </w:rPr>
              <w:t xml:space="preserve">0.094</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10">
            <w:pPr>
              <w:keepNext w:val="0"/>
              <w:spacing w:after="0" w:before="0" w:line="245" w:lineRule="auto"/>
              <w:jc w:val="center"/>
              <w:rPr>
                <w:sz w:val="20"/>
                <w:szCs w:val="20"/>
              </w:rPr>
            </w:pPr>
            <w:r>
              <w:rPr>
                <w:b w:val="0"/>
                <w:sz w:val="19"/>
                <w:szCs w:val="20"/>
                <w:u w:val="none"/>
                <w:rtl w:val="0"/>
              </w:rPr>
              <w:t>−22.6</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11">
            <w:pPr>
              <w:keepNext w:val="0"/>
              <w:spacing w:after="0" w:before="0" w:line="245" w:lineRule="auto"/>
              <w:jc w:val="center"/>
              <w:rPr>
                <w:sz w:val="20"/>
                <w:szCs w:val="20"/>
              </w:rPr>
            </w:pPr>
            <w:r>
              <w:rPr>
                <w:b w:val="0"/>
                <w:sz w:val="19"/>
                <w:szCs w:val="20"/>
                <w:u w:val="none"/>
                <w:rtl w:val="0"/>
              </w:rPr>
              <w:t>[−35.7, −6.8]</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12">
            <w:pPr>
              <w:keepNext w:val="0"/>
              <w:spacing w:after="0" w:before="0" w:line="245" w:lineRule="auto"/>
              <w:jc w:val="center"/>
              <w:rPr>
                <w:sz w:val="20"/>
                <w:szCs w:val="20"/>
              </w:rPr>
            </w:pPr>
            <w:r w:rsidDel="00000000" w:rsidR="00000000" w:rsidRPr="00000000">
              <w:rPr>
                <w:b w:val="0"/>
                <w:sz w:val="19"/>
                <w:szCs w:val="20"/>
                <w:u w:val="none"/>
                <w:rtl w:val="0"/>
              </w:rPr>
              <w:t xml:space="preserve">0.007</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13">
            <w:pPr>
              <w:keepNext w:val="0"/>
              <w:spacing w:after="0" w:before="0" w:line="245" w:lineRule="auto"/>
              <w:jc w:val="center"/>
              <w:rPr>
                <w:sz w:val="20"/>
                <w:szCs w:val="20"/>
              </w:rPr>
            </w:pPr>
            <w:r w:rsidDel="00000000" w:rsidR="00000000" w:rsidRPr="00000000">
              <w:rPr>
                <w:b w:val="0"/>
                <w:sz w:val="19"/>
                <w:szCs w:val="20"/>
                <w:u w:val="none"/>
                <w:rtl w:val="0"/>
              </w:rPr>
              <w:t xml:space="preserve">0.021</w:t>
            </w:r>
          </w:p>
        </w:tc>
      </w:tr>
    </w:tbl>
    <w:p w:rsidR="00000000" w:rsidDel="00000000" w:rsidP="00000000" w:rsidRDefault="00000000" w:rsidRPr="00000000" w14:paraId="00000116">
      <w:pPr>
        <w:keepNext/>
        <w:pageBreakBefore w:val="0"/>
        <w:widowControl/>
        <w:spacing w:after="80" w:before="40" w:lineRule="auto" w:line="264"/>
        <w:jc w:val="center"/>
        <w:rPr/>
      </w:pPr>
      <w:r w:rsidDel="00000000" w:rsidR="00000000" w:rsidRPr="00000000">
        <w:rPr>
          <w:u w:val="none"/>
        </w:rPr>
        <w:drawing>
          <wp:inline distB="114300" distT="114300" distL="114300" distR="114300">
            <wp:extent cx="4457700" cy="1435100"/>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457700" cy="1435100"/>
                    </a:xfrm>
                    <a:prstGeom prst="rect"/>
                    <a:ln/>
                  </pic:spPr>
                </pic:pic>
              </a:graphicData>
            </a:graphic>
          </wp:inline>
        </w:drawing>
      </w:r>
      <w:r w:rsidDel="00000000" w:rsidR="00000000" w:rsidRPr="00000000">
        <w:rPr>
          <w:u w:val="none"/>
          <w:rtl w:val="0"/>
        </w:rPr>
      </w:r>
    </w:p>
    <w:p w:rsidR="00000000" w:rsidDel="00000000" w:rsidP="00000000" w:rsidRDefault="00000000" w:rsidRPr="00000000" w14:paraId="00000117">
      <w:pPr>
        <w:keepNext w:val="0"/>
        <w:pageBreakBefore w:val="0"/>
        <w:widowControl/>
        <w:spacing w:after="100" w:before="0" w:lineRule="auto" w:line="264"/>
        <w:jc w:val="center"/>
        <w:rPr>
          <w:i w:val="1"/>
          <w:iCs w:val="1"/>
        </w:rPr>
      </w:pPr>
      <w:r>
        <w:rPr>
          <w:i w:val="1"/>
          <w:iCs w:val="1"/>
          <w:sz w:val="19"/>
          <w:u w:val="none"/>
          <w:rtl w:val="0"/>
        </w:rPr>
        <w:t>Figure 2. Event-weighted effects relative to B; pointwise 95% ticker-clustered intervals.</w:t>
      </w:r>
    </w:p>
    <w:p w:rsidR="00000000" w:rsidDel="00000000" w:rsidP="00000000" w:rsidRDefault="00000000" w:rsidRPr="00000000" w14:paraId="00000119">
      <w:pPr>
        <w:pageBreakBefore w:val="0"/>
        <w:widowControl/>
        <w:spacing w:after="40" w:before="0" w:lineRule="auto" w:line="245"/>
        <w:jc w:val="both"/>
        <w:rPr/>
      </w:pPr>
      <w:r>
        <w:rPr>
          <w:u w:val="none"/>
          <w:rtl w:val="0"/>
        </w:rPr>
        <w:t>Illiquidity is 39.2% below its counterfactual in AP (95% CI [−49.4%, −27.0%]), 32.1% below in SP and 22.6% below in LP; all survive Holm correction. EP (+4.5%) and PA (−8.3%) are imprecise. The AP decline coincides with sharply higher turnover (Table 8), consistent with portfolio adjustment. Increased traded value mechanically lowers Amihud at a given return; the ratio alone cannot establish lower execution costs. Persistence into SP/LP is compatible with broader investor attention, without identifying that mechanism.</w:t>
      </w:r>
    </w:p>
    <w:p w:rsidR="00000000" w:rsidDel="00000000" w:rsidP="00000000" w:rsidRDefault="00000000" w:rsidRPr="00000000" w14:paraId="0000011D">
      <w:pPr>
        <w:pStyle w:val="Heading2"/>
        <w:keepNext/>
        <w:keepLines w:val="0"/>
        <w:pageBreakBefore w:val="0"/>
        <w:widowControl/>
        <w:spacing w:after="60" w:before="100" w:lineRule="auto" w:line="264"/>
        <w:ind w:left="0" w:firstLine="0"/>
        <w:rPr>
          <w:sz w:val="22"/>
          <w:szCs w:val="22"/>
          <w:u w:val="single"/>
        </w:rPr>
      </w:pPr>
      <w:r>
        <w:rPr>
          <w:b/>
          <w:color w:val="000000"/>
          <w:sz w:val="24"/>
          <w:szCs w:val="22"/>
          <w:u w:val="none"/>
          <w:rtl w:val="0"/>
        </w:rPr>
        <w:t>5.2 Reversion across post stages</w:t>
      </w:r>
    </w:p>
    <w:p w:rsidR="00000000" w:rsidDel="00000000" w:rsidP="00000000" w:rsidRDefault="00000000" w:rsidRPr="00000000" w14:paraId="0000011F">
      <w:pPr>
        <w:keepNext/>
        <w:pageBreakBefore w:val="0"/>
        <w:widowControl/>
        <w:spacing w:after="40" w:before="0" w:lineRule="auto" w:line="245"/>
        <w:jc w:val="both"/>
        <w:rPr/>
      </w:pPr>
      <w:r>
        <w:rPr>
          <w:u w:val="none"/>
          <w:rtl w:val="0"/>
        </w:rPr>
        <w:t>We test reversion directly by subtracting the earlier aggregate log effect from the later effect, then converting the difference into a proportional change:</w:t>
      </w:r>
    </w:p>
    <w:p w:rsidR="00000000" w:rsidDel="00000000" w:rsidP="00000000" w:rsidRDefault="00000000" w:rsidRPr="00000000" w14:paraId="00000120">
      <w:pPr>
        <w:keepNext w:val="0"/>
        <w:pageBreakBefore w:val="0"/>
        <w:widowControl/>
        <w:spacing w:after="100" w:before="60" w:lineRule="auto" w:line="264"/>
        <w:jc w:val="center"/>
        <w:rPr/>
      </w:pPr>
      <w:r>
        <w:drawing>
          <wp:inline>
            <wp:extent cx="5669280" cy="230377"/>
            <wp:docPr id="19" name="Picture 19"/>
            <wp:cNvGraphicFramePr>
              <a:graphicFrameLocks noChangeAspect="1"/>
            </wp:cNvGraphicFramePr>
            <a:graphic>
              <a:graphicData uri="http://schemas.openxmlformats.org/drawingml/2006/picture">
                <pic:pic>
                  <pic:nvPicPr>
                    <pic:cNvPr id="0" name="contrast.png"/>
                    <pic:cNvPicPr/>
                  </pic:nvPicPr>
                  <pic:blipFill>
                    <a:blip r:embed="rId56"/>
                    <a:stretch>
                      <a:fillRect/>
                    </a:stretch>
                  </pic:blipFill>
                  <pic:spPr>
                    <a:xfrm>
                      <a:off x="0" y="0"/>
                      <a:ext cx="5669280" cy="230377"/>
                    </a:xfrm>
                    <a:prstGeom prst="rect"/>
                  </pic:spPr>
                </pic:pic>
              </a:graphicData>
            </a:graphic>
          </wp:inline>
        </w:drawing>
      </w:r>
    </w:p>
    <w:p w:rsidR="00000000" w:rsidDel="00000000" w:rsidP="00000000" w:rsidRDefault="00000000" w:rsidRPr="00000000" w14:paraId="0000013A">
      <w:pPr>
        <w:keepNext/>
        <w:pageBreakBefore w:val="0"/>
        <w:widowControl/>
        <w:spacing w:after="100" w:before="0" w:line="264" w:lineRule="auto"/>
        <w:jc w:val="center"/>
        <w:rPr>
          <w:i w:val="1"/>
          <w:iCs w:val="1"/>
        </w:rPr>
      </w:pPr>
      <w:r>
        <w:rPr>
          <w:i/>
          <w:iCs w:val="1"/>
          <w:sz w:val="19"/>
          <w:u w:val="none"/>
          <w:rtl w:val="0"/>
        </w:rPr>
        <w:t>Table 6. Later-stage minus earlier-stage contrasts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8"/>
        <w:gridCol w:w="1438"/>
        <w:gridCol w:w="1660"/>
        <w:gridCol w:w="2238"/>
        <w:gridCol w:w="1037"/>
        <w:gridCol w:w="1215"/>
        <w:tblGridChange w:id="0">
          <w:tblGrid>
            <w:gridCol w:w="1437.5609945308563"/>
            <w:gridCol w:w="1437.5609945308563"/>
            <w:gridCol w:w="1659.8642411077926"/>
            <w:gridCol w:w="2237.8526822078275"/>
            <w:gridCol w:w="1037.4151506923706"/>
            <w:gridCol w:w="1215.2577479539198"/>
          </w:tblGrid>
        </w:tblGridChange>
      </w:tblGrid>
      <w:tr>
        <w:trPr>
          <w:tblHeader w:val="0"/>
          <w:tblHeader/>
          <w:cantSplit/>
          <w:tblHeader/>
        </w:trPr>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2">
            <w:pPr>
              <w:keepNext/>
              <w:spacing w:after="0" w:before="0" w:line="245" w:lineRule="auto"/>
              <w:jc w:val="left"/>
              <w:rPr>
                <w:b w:val="1"/>
                <w:bCs w:val="1"/>
                <w:sz w:val="20"/>
                <w:szCs w:val="20"/>
              </w:rPr>
            </w:pPr>
            <w:r w:rsidDel="00000000" w:rsidR="00000000" w:rsidRPr="00000000">
              <w:rPr>
                <w:b/>
                <w:bCs w:val="1"/>
                <w:sz w:val="19"/>
                <w:szCs w:val="20"/>
                <w:u w:val="none"/>
                <w:rtl w:val="0"/>
              </w:rPr>
              <w:t xml:space="preserve">Contrast</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3">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Log contrast</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4">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Ratio change %</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5">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95% CI %</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6">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p</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7">
            <w:pPr>
              <w:keepNext/>
              <w:spacing w:after="0" w:before="0" w:line="245" w:lineRule="auto"/>
              <w:jc w:val="center"/>
              <w:rPr>
                <w:b w:val="1"/>
                <w:bCs w:val="1"/>
                <w:sz w:val="20"/>
                <w:szCs w:val="20"/>
              </w:rPr>
            </w:pPr>
            <w:r w:rsidDel="00000000" w:rsidR="00000000" w:rsidRPr="00000000">
              <w:rPr>
                <w:b/>
                <w:bCs w:val="1"/>
                <w:sz w:val="19"/>
                <w:szCs w:val="20"/>
                <w:u w:val="none"/>
                <w:rtl w:val="0"/>
              </w:rPr>
              <w:t xml:space="preserve">Holm p</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8">
            <w:pPr>
              <w:keepNext/>
              <w:spacing w:after="0" w:before="0" w:line="245" w:lineRule="auto"/>
              <w:jc w:val="left"/>
              <w:rPr>
                <w:sz w:val="20"/>
                <w:szCs w:val="20"/>
              </w:rPr>
            </w:pPr>
            <w:r w:rsidDel="00000000" w:rsidR="00000000" w:rsidRPr="00000000">
              <w:rPr>
                <w:b w:val="0"/>
                <w:sz w:val="19"/>
                <w:szCs w:val="20"/>
                <w:u w:val="none"/>
                <w:rtl w:val="0"/>
              </w:rPr>
              <w:t xml:space="preserve">SP - AP</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9">
            <w:pPr>
              <w:keepNext/>
              <w:spacing w:after="0" w:before="0" w:line="245" w:lineRule="auto"/>
              <w:jc w:val="center"/>
              <w:rPr>
                <w:sz w:val="20"/>
                <w:szCs w:val="20"/>
              </w:rPr>
            </w:pPr>
            <w:r w:rsidDel="00000000" w:rsidR="00000000" w:rsidRPr="00000000">
              <w:rPr>
                <w:b w:val="0"/>
                <w:sz w:val="19"/>
                <w:szCs w:val="20"/>
                <w:u w:val="none"/>
                <w:rtl w:val="0"/>
              </w:rPr>
              <w:t xml:space="preserve">0.110</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A">
            <w:pPr>
              <w:keepNext/>
              <w:spacing w:after="0" w:before="0" w:line="245" w:lineRule="auto"/>
              <w:jc w:val="center"/>
              <w:rPr>
                <w:sz w:val="20"/>
                <w:szCs w:val="20"/>
              </w:rPr>
            </w:pPr>
            <w:r w:rsidDel="00000000" w:rsidR="00000000" w:rsidRPr="00000000">
              <w:rPr>
                <w:b w:val="0"/>
                <w:sz w:val="19"/>
                <w:szCs w:val="20"/>
                <w:u w:val="none"/>
                <w:rtl w:val="0"/>
              </w:rPr>
              <w:t xml:space="preserve">+11.7</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B">
            <w:pPr>
              <w:keepNext/>
              <w:spacing w:after="0" w:before="0" w:line="245" w:lineRule="auto"/>
              <w:jc w:val="center"/>
              <w:rPr>
                <w:sz w:val="20"/>
                <w:szCs w:val="20"/>
              </w:rPr>
            </w:pPr>
            <w:r>
              <w:rPr>
                <w:b w:val="0"/>
                <w:sz w:val="19"/>
                <w:szCs w:val="20"/>
                <w:u w:val="none"/>
                <w:rtl w:val="0"/>
              </w:rPr>
              <w:t>[−3.0, 28.5]</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C">
            <w:pPr>
              <w:keepNext/>
              <w:spacing w:after="0" w:before="0" w:line="245" w:lineRule="auto"/>
              <w:jc w:val="center"/>
              <w:rPr>
                <w:sz w:val="20"/>
                <w:szCs w:val="20"/>
              </w:rPr>
            </w:pPr>
            <w:r w:rsidDel="00000000" w:rsidR="00000000" w:rsidRPr="00000000">
              <w:rPr>
                <w:b w:val="0"/>
                <w:sz w:val="19"/>
                <w:szCs w:val="20"/>
                <w:u w:val="none"/>
                <w:rtl w:val="0"/>
              </w:rPr>
              <w:t xml:space="preserve">0.123</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D">
            <w:pPr>
              <w:keepNext/>
              <w:spacing w:after="0" w:before="0" w:line="245" w:lineRule="auto"/>
              <w:jc w:val="center"/>
              <w:rPr>
                <w:sz w:val="20"/>
                <w:szCs w:val="20"/>
              </w:rPr>
            </w:pPr>
            <w:r w:rsidDel="00000000" w:rsidR="00000000" w:rsidRPr="00000000">
              <w:rPr>
                <w:b w:val="0"/>
                <w:sz w:val="19"/>
                <w:szCs w:val="20"/>
                <w:u w:val="none"/>
                <w:rtl w:val="0"/>
              </w:rPr>
              <w:t xml:space="preserve">0.123</w:t>
            </w:r>
          </w:p>
        </w:tc>
      </w:tr>
      <w:tr>
        <w:trPr>
          <w:tblHeader w:val="0"/>
          <w:cantSplit/>
        </w:trPr>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E">
            <w:pPr>
              <w:keepNext/>
              <w:spacing w:after="0" w:before="0" w:line="245" w:lineRule="auto"/>
              <w:jc w:val="left"/>
              <w:rPr>
                <w:sz w:val="20"/>
                <w:szCs w:val="20"/>
              </w:rPr>
            </w:pPr>
            <w:r w:rsidDel="00000000" w:rsidR="00000000" w:rsidRPr="00000000">
              <w:rPr>
                <w:b w:val="0"/>
                <w:sz w:val="19"/>
                <w:szCs w:val="20"/>
                <w:u w:val="none"/>
                <w:rtl w:val="0"/>
              </w:rPr>
              <w:t xml:space="preserve">LP - SP</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2F">
            <w:pPr>
              <w:keepNext/>
              <w:spacing w:after="0" w:before="0" w:line="245" w:lineRule="auto"/>
              <w:jc w:val="center"/>
              <w:rPr>
                <w:sz w:val="20"/>
                <w:szCs w:val="20"/>
              </w:rPr>
            </w:pPr>
            <w:r w:rsidDel="00000000" w:rsidR="00000000" w:rsidRPr="00000000">
              <w:rPr>
                <w:b w:val="0"/>
                <w:sz w:val="19"/>
                <w:szCs w:val="20"/>
                <w:u w:val="none"/>
                <w:rtl w:val="0"/>
              </w:rPr>
              <w:t xml:space="preserve">0.131</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30">
            <w:pPr>
              <w:keepNext/>
              <w:spacing w:after="0" w:before="0" w:line="245" w:lineRule="auto"/>
              <w:jc w:val="center"/>
              <w:rPr>
                <w:sz w:val="20"/>
                <w:szCs w:val="20"/>
              </w:rPr>
            </w:pPr>
            <w:r w:rsidDel="00000000" w:rsidR="00000000" w:rsidRPr="00000000">
              <w:rPr>
                <w:b w:val="0"/>
                <w:sz w:val="19"/>
                <w:szCs w:val="20"/>
                <w:u w:val="none"/>
                <w:rtl w:val="0"/>
              </w:rPr>
              <w:t xml:space="preserve">+14.0</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31">
            <w:pPr>
              <w:keepNext/>
              <w:spacing w:after="0" w:before="0" w:line="245" w:lineRule="auto"/>
              <w:jc w:val="center"/>
              <w:rPr>
                <w:sz w:val="20"/>
                <w:szCs w:val="20"/>
              </w:rPr>
            </w:pPr>
            <w:r w:rsidDel="00000000" w:rsidR="00000000" w:rsidRPr="00000000">
              <w:rPr>
                <w:b w:val="0"/>
                <w:sz w:val="19"/>
                <w:szCs w:val="20"/>
                <w:u w:val="none"/>
                <w:rtl w:val="0"/>
              </w:rPr>
              <w:t xml:space="preserve">[0.5, 29.4]</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32">
            <w:pPr>
              <w:keepNext/>
              <w:spacing w:after="0" w:before="0" w:line="245" w:lineRule="auto"/>
              <w:jc w:val="center"/>
              <w:rPr>
                <w:sz w:val="20"/>
                <w:szCs w:val="20"/>
              </w:rPr>
            </w:pPr>
            <w:r w:rsidDel="00000000" w:rsidR="00000000" w:rsidRPr="00000000">
              <w:rPr>
                <w:b w:val="0"/>
                <w:sz w:val="19"/>
                <w:szCs w:val="20"/>
                <w:u w:val="none"/>
                <w:rtl w:val="0"/>
              </w:rPr>
              <w:t xml:space="preserve">0.042</w:t>
            </w:r>
          </w:p>
        </w:tc>
        <w:tc>
          <w:tcPr>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33">
            <w:pPr>
              <w:keepNext/>
              <w:spacing w:after="0" w:before="0" w:line="245" w:lineRule="auto"/>
              <w:jc w:val="center"/>
              <w:rPr>
                <w:sz w:val="20"/>
                <w:szCs w:val="20"/>
              </w:rPr>
            </w:pPr>
            <w:r w:rsidDel="00000000" w:rsidR="00000000" w:rsidRPr="00000000">
              <w:rPr>
                <w:b w:val="0"/>
                <w:sz w:val="19"/>
                <w:szCs w:val="20"/>
                <w:u w:val="none"/>
                <w:rtl w:val="0"/>
              </w:rPr>
              <w:t xml:space="preserve">0.084</w:t>
            </w:r>
          </w:p>
        </w:tc>
      </w:tr>
      <w:tr>
        <w:trPr>
          <w:tblHeader w:val="0"/>
          <w:cantSplit/>
        </w:trPr>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34">
            <w:pPr>
              <w:keepNext w:val="0"/>
              <w:spacing w:after="0" w:before="0" w:line="245" w:lineRule="auto"/>
              <w:jc w:val="left"/>
              <w:rPr>
                <w:sz w:val="20"/>
                <w:szCs w:val="20"/>
              </w:rPr>
            </w:pPr>
            <w:r w:rsidDel="00000000" w:rsidR="00000000" w:rsidRPr="00000000">
              <w:rPr>
                <w:b w:val="0"/>
                <w:sz w:val="19"/>
                <w:szCs w:val="20"/>
                <w:u w:val="none"/>
                <w:rtl w:val="0"/>
              </w:rPr>
              <w:t xml:space="preserve">LP - AP</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35">
            <w:pPr>
              <w:keepNext w:val="0"/>
              <w:spacing w:after="0" w:before="0" w:line="245" w:lineRule="auto"/>
              <w:jc w:val="center"/>
              <w:rPr>
                <w:sz w:val="20"/>
                <w:szCs w:val="20"/>
              </w:rPr>
            </w:pPr>
            <w:r w:rsidDel="00000000" w:rsidR="00000000" w:rsidRPr="00000000">
              <w:rPr>
                <w:b w:val="0"/>
                <w:sz w:val="19"/>
                <w:szCs w:val="20"/>
                <w:u w:val="none"/>
                <w:rtl w:val="0"/>
              </w:rPr>
              <w:t xml:space="preserve">0.241</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36">
            <w:pPr>
              <w:keepNext w:val="0"/>
              <w:spacing w:after="0" w:before="0" w:line="245" w:lineRule="auto"/>
              <w:jc w:val="center"/>
              <w:rPr>
                <w:sz w:val="20"/>
                <w:szCs w:val="20"/>
              </w:rPr>
            </w:pPr>
            <w:r w:rsidDel="00000000" w:rsidR="00000000" w:rsidRPr="00000000">
              <w:rPr>
                <w:b w:val="0"/>
                <w:sz w:val="19"/>
                <w:szCs w:val="20"/>
                <w:u w:val="none"/>
                <w:rtl w:val="0"/>
              </w:rPr>
              <w:t xml:space="preserve">+27.3</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37">
            <w:pPr>
              <w:keepNext w:val="0"/>
              <w:spacing w:after="0" w:before="0" w:line="245" w:lineRule="auto"/>
              <w:jc w:val="center"/>
              <w:rPr>
                <w:sz w:val="20"/>
                <w:szCs w:val="20"/>
              </w:rPr>
            </w:pPr>
            <w:r w:rsidDel="00000000" w:rsidR="00000000" w:rsidRPr="00000000">
              <w:rPr>
                <w:b w:val="0"/>
                <w:sz w:val="19"/>
                <w:szCs w:val="20"/>
                <w:u w:val="none"/>
                <w:rtl w:val="0"/>
              </w:rPr>
              <w:t xml:space="preserve">[7.8, 50.3]</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38">
            <w:pPr>
              <w:keepNext w:val="0"/>
              <w:spacing w:after="0" w:before="0" w:line="245" w:lineRule="auto"/>
              <w:jc w:val="center"/>
              <w:rPr>
                <w:sz w:val="20"/>
                <w:szCs w:val="20"/>
              </w:rPr>
            </w:pPr>
            <w:r w:rsidDel="00000000" w:rsidR="00000000" w:rsidRPr="00000000">
              <w:rPr>
                <w:b w:val="0"/>
                <w:sz w:val="19"/>
                <w:szCs w:val="20"/>
                <w:u w:val="none"/>
                <w:rtl w:val="0"/>
              </w:rPr>
              <w:t xml:space="preserve">0.005</w:t>
            </w:r>
          </w:p>
        </w:tc>
        <w:tc>
          <w:tcPr>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39">
            <w:pPr>
              <w:keepNext w:val="0"/>
              <w:spacing w:after="0" w:before="0" w:line="245" w:lineRule="auto"/>
              <w:jc w:val="center"/>
              <w:rPr>
                <w:sz w:val="20"/>
                <w:szCs w:val="20"/>
              </w:rPr>
            </w:pPr>
            <w:r w:rsidDel="00000000" w:rsidR="00000000" w:rsidRPr="00000000">
              <w:rPr>
                <w:b w:val="0"/>
                <w:sz w:val="19"/>
                <w:szCs w:val="20"/>
                <w:u w:val="none"/>
                <w:rtl w:val="0"/>
              </w:rPr>
              <w:t xml:space="preserve">0.014</w:t>
            </w:r>
          </w:p>
        </w:tc>
      </w:tr>
    </w:tbl>
    <w:p w:rsidR="00000000" w:rsidDel="00000000" w:rsidP="00000000" w:rsidRDefault="00000000" w:rsidRPr="00000000" w14:paraId="0000013C">
      <w:pPr>
        <w:pageBreakBefore w:val="0"/>
        <w:widowControl/>
        <w:spacing w:after="40" w:before="0" w:lineRule="auto" w:line="245"/>
        <w:jc w:val="both"/>
        <w:rPr/>
      </w:pPr>
      <w:r>
        <w:rPr>
          <w:u w:val="none"/>
          <w:rtl w:val="0"/>
        </w:rPr>
        <w:t>The treated-to-counterfactual ratio rises 27.3% from AP to LP (95% CI [7.8%, 50.3%]; Holm p = 0.014). This unwinds about 49% of the initial log decline, a point-estimate description rather than a separately tested fraction. Evidence is concentrated in the full AP→LP change: the adjacent 11.7% and 14.0% increases are imprecise after Holm correction. These are proportional ratio changes, not percentage-point differences. LP remains 22.6% below its counterfactual.</w:t>
      </w:r>
    </w:p>
    <w:p w:rsidR="00000000" w:rsidDel="00000000" w:rsidP="00000000" w:rsidRDefault="00000000" w:rsidRPr="00000000" w14:paraId="0000013E">
      <w:pPr>
        <w:pStyle w:val="Heading2"/>
        <w:keepNext/>
        <w:keepLines w:val="0"/>
        <w:pageBreakBefore w:val="0"/>
        <w:widowControl/>
        <w:spacing w:after="60" w:before="100" w:lineRule="auto" w:line="264"/>
        <w:ind w:left="0" w:firstLine="0"/>
        <w:rPr>
          <w:sz w:val="22"/>
          <w:szCs w:val="22"/>
          <w:u w:val="single"/>
        </w:rPr>
      </w:pPr>
      <w:r>
        <w:rPr>
          <w:b/>
          <w:color w:val="000000"/>
          <w:sz w:val="24"/>
          <w:szCs w:val="22"/>
          <w:u w:val="none"/>
          <w:rtl w:val="0"/>
        </w:rPr>
        <w:t>5.3 Differences across reviews</w:t>
      </w:r>
    </w:p>
    <w:p w:rsidR="00000000" w:rsidDel="00000000" w:rsidP="00000000" w:rsidRDefault="00000000" w:rsidRPr="00000000" w14:paraId="00000140">
      <w:pPr>
        <w:keepNext/>
        <w:pageBreakBefore w:val="0"/>
        <w:widowControl/>
        <w:spacing w:after="80" w:before="40" w:lineRule="auto" w:line="264"/>
        <w:jc w:val="center"/>
        <w:rPr>
          <w:b w:val="1"/>
          <w:bCs w:val="1"/>
          <w:sz w:val="46"/>
          <w:szCs w:val="46"/>
        </w:rPr>
      </w:pPr>
      <w:r>
        <w:drawing>
          <wp:inline>
            <wp:extent cx="5486400" cy="1772529"/>
            <wp:docPr id="12" name="Picture 12"/>
            <wp:cNvGraphicFramePr>
              <a:graphicFrameLocks noChangeAspect="1"/>
            </wp:cNvGraphicFramePr>
            <a:graphic>
              <a:graphicData uri="http://schemas.openxmlformats.org/drawingml/2006/picture">
                <pic:pic>
                  <pic:nvPicPr>
                    <pic:cNvPr id="0" name="reviews_padded.png"/>
                    <pic:cNvPicPr/>
                  </pic:nvPicPr>
                  <pic:blipFill>
                    <a:blip r:embed="rId2"/>
                    <a:stretch>
                      <a:fillRect/>
                    </a:stretch>
                  </pic:blipFill>
                  <pic:spPr>
                    <a:xfrm>
                      <a:off x="0" y="0"/>
                      <a:ext cx="5486400" cy="1772529"/>
                    </a:xfrm>
                    <a:prstGeom prst="rect"/>
                  </pic:spPr>
                </pic:pic>
              </a:graphicData>
            </a:graphic>
          </wp:inline>
        </w:drawing>
      </w:r>
    </w:p>
    <w:p w:rsidR="00000000" w:rsidDel="00000000" w:rsidP="00000000" w:rsidRDefault="00000000" w:rsidRPr="00000000" w14:paraId="00000141">
      <w:pPr>
        <w:keepNext w:val="0"/>
        <w:pageBreakBefore w:val="0"/>
        <w:widowControl/>
        <w:spacing w:after="100" w:before="0" w:lineRule="auto" w:line="264"/>
        <w:jc w:val="center"/>
        <w:rPr>
          <w:i w:val="1"/>
          <w:iCs w:val="1"/>
        </w:rPr>
      </w:pPr>
      <w:r>
        <w:rPr>
          <w:i w:val="1"/>
          <w:iCs w:val="1"/>
          <w:sz w:val="19"/>
          <w:u w:val="none"/>
          <w:rtl w:val="0"/>
        </w:rPr>
        <w:t>Figure 3. Review-specific log effects relative to B; intervals omitted for readability.</w:t>
      </w:r>
    </w:p>
    <w:p w:rsidR="00000000" w:rsidDel="00000000" w:rsidP="00000000" w:rsidRDefault="00000000" w:rsidRPr="00000000" w14:paraId="00000143">
      <w:pPr>
        <w:pageBreakBefore w:val="0"/>
        <w:widowControl/>
        <w:spacing w:after="40" w:before="0" w:lineRule="auto" w:line="245"/>
        <w:jc w:val="both"/>
        <w:rPr/>
      </w:pPr>
      <w:r>
        <w:rPr>
          <w:u w:val="none"/>
          <w:rtl w:val="0"/>
        </w:rPr>
        <w:t>All six AP estimates are negative, but R01 returns near zero in SP/LP (Figure 3). Post-stage equality gives F(15,186) = 1.643, p = 0.066; equality across all five non-baseline stages gives F(25,186) = 1.764, p = 0.018. Stage-by-stage tests of review equality are individually insignificant at 5%, so we cannot attribute the all-stage rejection to the pre-event stages.</w:t>
      </w:r>
    </w:p>
    <w:p w:rsidR="00000000" w:rsidDel="00000000" w:rsidP="00000000" w:rsidRDefault="00000000" w:rsidRPr="00000000" w14:paraId="00000145">
      <w:pPr>
        <w:pageBreakBefore w:val="0"/>
        <w:widowControl/>
        <w:spacing w:after="40" w:before="0" w:lineRule="auto" w:line="245"/>
        <w:jc w:val="both"/>
        <w:rPr/>
      </w:pPr>
      <w:r>
        <w:rPr>
          <w:u w:val="none"/>
          <w:rtl w:val="0"/>
        </w:rPr>
        <w:t>The main heterogeneous model preserves review variation and explicit addition-count weights. Its post averages closely match the homogeneous benchmark (−38.9%, −32.3%, −22.6%). Non-rejection of post-only equality does not establish equality; leave-one-review-out estimates assess sensitivity to individual events separately.</w:t>
      </w:r>
    </w:p>
    <w:p w:rsidR="00000000" w:rsidDel="00000000" w:rsidP="00000000" w:rsidRDefault="00000000" w:rsidRPr="00000000" w14:paraId="00000148">
      <w:pPr>
        <w:pStyle w:val="Heading1"/>
        <w:keepNext/>
        <w:keepLines w:val="0"/>
        <w:pageBreakBefore w:val="0"/>
        <w:widowControl/>
        <w:spacing w:after="100" w:before="180" w:lineRule="auto" w:line="264"/>
        <w:ind w:left="0" w:firstLine="0"/>
        <w:rPr>
          <w:b w:val="1"/>
          <w:bCs w:val="1"/>
          <w:sz w:val="30"/>
          <w:szCs w:val="30"/>
        </w:rPr>
      </w:pPr>
      <w:r>
        <w:rPr>
          <w:b/>
          <w:bCs w:val="1"/>
          <w:color w:val="000000"/>
          <w:sz w:val="30"/>
          <w:szCs w:val="30"/>
          <w:u w:val="none"/>
          <w:rtl w:val="0"/>
        </w:rPr>
        <w:t>6 Robustness checks</w:t>
      </w:r>
    </w:p>
    <w:p>
      <w:pPr>
        <w:pStyle w:val="Heading2"/>
        <w:keepNext/>
        <w:widowControl/>
        <w:spacing w:before="100" w:after="60"/>
      </w:pPr>
      <w:r>
        <w:rPr>
          <w:b/>
          <w:color w:val="000000"/>
          <w:sz w:val="24"/>
        </w:rPr>
        <w:t>6.1 Specification and sample sensitivity</w:t>
      </w:r>
    </w:p>
    <w:p w:rsidR="00000000" w:rsidDel="00000000" w:rsidP="00000000" w:rsidRDefault="00000000" w:rsidRPr="00000000" w14:paraId="00000162">
      <w:pPr>
        <w:keepNext/>
        <w:pageBreakBefore w:val="0"/>
        <w:widowControl/>
        <w:spacing w:after="100" w:before="0" w:line="264" w:lineRule="auto"/>
        <w:jc w:val="center"/>
        <w:rPr>
          <w:i w:val="1"/>
          <w:iCs w:val="1"/>
        </w:rPr>
      </w:pPr>
      <w:r>
        <w:rPr>
          <w:i/>
          <w:iCs w:val="1"/>
          <w:sz w:val="19"/>
          <w:u w:val="none"/>
          <w:rtl w:val="0"/>
        </w:rPr>
        <w:t>Table 7. Proportional effects and reversion under alternative specifications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7"/>
        <w:gridCol w:w="1541"/>
        <w:gridCol w:w="1541"/>
        <w:gridCol w:w="1541"/>
        <w:tblGridChange w:id="0">
          <w:tblGrid>
            <w:gridCol w:w="3375.273774468472"/>
            <w:gridCol w:w="1888.3690280065898"/>
            <w:gridCol w:w="1888.3690280065898"/>
            <w:gridCol w:w="1873.4999805419711"/>
          </w:tblGrid>
        </w:tblGridChange>
        <w:gridCol w:w="1685"/>
      </w:tblGrid>
      <w:tr>
        <w:trPr>
          <w:tblHeader w:val="0"/>
          <w:tblHeader/>
          <w:cantSplit/>
          <w:tblHeader/>
        </w:trPr>
        <w:tc>
          <w:tcPr>
            <w:vAlign w:val="center"/>
            <w:tcW w:type="dxa" w:w="2707"/>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4A">
            <w:pPr>
              <w:keepNext/>
              <w:spacing w:after="0" w:before="0" w:line="245" w:lineRule="auto"/>
              <w:jc w:val="left"/>
              <w:rPr>
                <w:b w:val="1"/>
                <w:bCs w:val="1"/>
                <w:sz w:val="19"/>
                <w:szCs w:val="19"/>
              </w:rPr>
            </w:pPr>
            <w:r w:rsidDel="00000000" w:rsidR="00000000" w:rsidRPr="00000000">
              <w:rPr>
                <w:b/>
                <w:bCs w:val="1"/>
                <w:sz w:val="19"/>
                <w:szCs w:val="19"/>
                <w:u w:val="none"/>
                <w:rtl w:val="0"/>
              </w:rPr>
              <w:t xml:space="preserve">Specification</w:t>
            </w:r>
          </w:p>
        </w:tc>
        <w:tc>
          <w:tcPr>
            <w:vAlign w:val="center"/>
            <w:tcW w:type="dxa" w:w="1541"/>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4B">
            <w:pPr>
              <w:keepNext/>
              <w:spacing w:after="0" w:before="0" w:line="245" w:lineRule="auto"/>
              <w:jc w:val="center"/>
              <w:rPr>
                <w:b w:val="1"/>
                <w:bCs w:val="1"/>
                <w:sz w:val="19"/>
                <w:szCs w:val="19"/>
              </w:rPr>
            </w:pPr>
            <w:r w:rsidDel="00000000" w:rsidR="00000000" w:rsidRPr="00000000">
              <w:rPr>
                <w:b/>
                <w:bCs w:val="1"/>
                <w:sz w:val="19"/>
                <w:szCs w:val="19"/>
                <w:u w:val="none"/>
                <w:rtl w:val="0"/>
              </w:rPr>
              <w:t xml:space="preserve">AP</w:t>
            </w:r>
          </w:p>
        </w:tc>
        <w:tc>
          <w:tcPr>
            <w:vAlign w:val="center"/>
            <w:tcW w:type="dxa" w:w="1541"/>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4C">
            <w:pPr>
              <w:keepNext/>
              <w:spacing w:after="0" w:before="0" w:line="245" w:lineRule="auto"/>
              <w:jc w:val="center"/>
              <w:rPr>
                <w:b w:val="1"/>
                <w:bCs w:val="1"/>
                <w:sz w:val="19"/>
                <w:szCs w:val="19"/>
              </w:rPr>
            </w:pPr>
            <w:r w:rsidDel="00000000" w:rsidR="00000000" w:rsidRPr="00000000">
              <w:rPr>
                <w:b/>
                <w:bCs w:val="1"/>
                <w:sz w:val="19"/>
                <w:szCs w:val="19"/>
                <w:u w:val="none"/>
                <w:rtl w:val="0"/>
              </w:rPr>
              <w:t xml:space="preserve">SP</w:t>
            </w:r>
          </w:p>
        </w:tc>
        <w:tc>
          <w:tcPr>
            <w:vAlign w:val="center"/>
            <w:tcW w:type="dxa" w:w="1541"/>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4D">
            <w:pPr>
              <w:keepNext/>
              <w:spacing w:after="0" w:before="0" w:line="245" w:lineRule="auto"/>
              <w:jc w:val="center"/>
              <w:rPr>
                <w:b w:val="1"/>
                <w:bCs w:val="1"/>
                <w:sz w:val="19"/>
                <w:szCs w:val="19"/>
              </w:rPr>
            </w:pPr>
            <w:r w:rsidDel="00000000" w:rsidR="00000000" w:rsidRPr="00000000">
              <w:rPr>
                <w:b/>
                <w:bCs w:val="1"/>
                <w:sz w:val="19"/>
                <w:szCs w:val="19"/>
                <w:u w:val="none"/>
                <w:rtl w:val="0"/>
              </w:rPr>
              <w:t xml:space="preserve">LP</w:t>
            </w:r>
          </w:p>
        </w:tc>
        <w:tc>
          <w:tcPr>
            <w:tcW w:type="dxa" w:w="1685"/>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spacing w:after="0" w:before="0" w:line="245" w:lineRule="auto"/>
              <w:jc w:val="center"/>
            </w:pPr>
            <w:r>
              <w:rPr>
                <w:b/>
                <w:sz w:val="19"/>
                <w:u w:val="none"/>
              </w:rPr>
              <w:t>LP−AP</w:t>
            </w:r>
          </w:p>
        </w:tc>
      </w:tr>
      <w:tr>
        <w:trPr>
          <w:tblHeader w:val="0"/>
          <w:cantSplit/>
        </w:trPr>
        <w:tc>
          <w:tcPr>
            <w:vAlign w:val="center"/>
            <w:tcW w:type="dxa" w:w="2707"/>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4E">
            <w:pPr>
              <w:keepNext/>
              <w:spacing w:after="0" w:before="0" w:line="245" w:lineRule="auto"/>
              <w:jc w:val="left"/>
              <w:rPr>
                <w:sz w:val="19"/>
                <w:szCs w:val="19"/>
              </w:rPr>
            </w:pPr>
            <w:r>
              <w:rPr>
                <w:b w:val="0"/>
                <w:sz w:val="19"/>
                <w:szCs w:val="19"/>
                <w:u w:val="none"/>
                <w:rtl w:val="0"/>
              </w:rPr>
              <w:t>Conditional heterogeneous (main)</w:t>
            </w:r>
          </w:p>
        </w:tc>
        <w:tc>
          <w:tcPr>
            <w:vAlign w:val="center"/>
            <w:tcW w:type="dxa" w:w="1541"/>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4F">
            <w:pPr>
              <w:keepNext/>
              <w:spacing w:after="0" w:before="0" w:line="245" w:lineRule="auto"/>
              <w:jc w:val="center"/>
              <w:rPr>
                <w:sz w:val="19"/>
                <w:szCs w:val="19"/>
              </w:rPr>
            </w:pPr>
            <w:r>
              <w:rPr>
                <w:b w:val="0"/>
                <w:sz w:val="19"/>
                <w:szCs w:val="19"/>
                <w:u w:val="none"/>
                <w:rtl w:val="0"/>
              </w:rPr>
              <w:t>−39.2% (&lt;0.001)</w:t>
            </w:r>
          </w:p>
        </w:tc>
        <w:tc>
          <w:tcPr>
            <w:vAlign w:val="center"/>
            <w:tcW w:type="dxa" w:w="1541"/>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0">
            <w:pPr>
              <w:keepNext/>
              <w:spacing w:after="0" w:before="0" w:line="245" w:lineRule="auto"/>
              <w:jc w:val="center"/>
              <w:rPr>
                <w:sz w:val="19"/>
                <w:szCs w:val="19"/>
              </w:rPr>
            </w:pPr>
            <w:r>
              <w:rPr>
                <w:b w:val="0"/>
                <w:sz w:val="19"/>
                <w:szCs w:val="19"/>
                <w:u w:val="none"/>
                <w:rtl w:val="0"/>
              </w:rPr>
              <w:t>−32.1% (&lt;0.001)</w:t>
            </w:r>
          </w:p>
        </w:tc>
        <w:tc>
          <w:tcPr>
            <w:vAlign w:val="center"/>
            <w:tcW w:type="dxa" w:w="1541"/>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1">
            <w:pPr>
              <w:keepNext/>
              <w:spacing w:after="0" w:before="0" w:line="245" w:lineRule="auto"/>
              <w:jc w:val="center"/>
              <w:rPr>
                <w:sz w:val="19"/>
                <w:szCs w:val="19"/>
              </w:rPr>
            </w:pPr>
            <w:r>
              <w:rPr>
                <w:b w:val="0"/>
                <w:sz w:val="19"/>
                <w:szCs w:val="19"/>
                <w:u w:val="none"/>
                <w:rtl w:val="0"/>
              </w:rPr>
              <w:t>−22.6% (0.021)</w:t>
            </w:r>
          </w:p>
        </w:tc>
        <w:tc>
          <w:tcPr>
            <w:tcW w:type="dxa" w:w="1685"/>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spacing w:after="0" w:before="0" w:line="245" w:lineRule="auto"/>
              <w:jc w:val="center"/>
            </w:pPr>
            <w:r>
              <w:rPr>
                <w:b w:val="0"/>
                <w:sz w:val="19"/>
                <w:u w:val="none"/>
              </w:rPr>
              <w:t>+27.3% (0.014)</w:t>
            </w:r>
          </w:p>
        </w:tc>
      </w:tr>
      <w:tr>
        <w:trPr>
          <w:tblHeader w:val="0"/>
          <w:cantSplit/>
        </w:trPr>
        <w:tc>
          <w:tcPr>
            <w:vAlign w:val="center"/>
            <w:tcW w:type="dxa" w:w="2707"/>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2">
            <w:pPr>
              <w:keepNext/>
              <w:spacing w:after="0" w:before="0" w:line="245" w:lineRule="auto"/>
              <w:jc w:val="left"/>
              <w:rPr>
                <w:sz w:val="19"/>
                <w:szCs w:val="19"/>
              </w:rPr>
            </w:pPr>
            <w:r w:rsidDel="00000000" w:rsidR="00000000" w:rsidRPr="00000000">
              <w:rPr>
                <w:b w:val="0"/>
                <w:sz w:val="19"/>
                <w:szCs w:val="19"/>
                <w:u w:val="none"/>
                <w:rtl w:val="0"/>
              </w:rPr>
              <w:t xml:space="preserve">P99 daily cap then log</w:t>
            </w:r>
          </w:p>
        </w:tc>
        <w:tc>
          <w:tcPr>
            <w:vAlign w:val="center"/>
            <w:tcW w:type="dxa" w:w="1541"/>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3">
            <w:pPr>
              <w:keepNext/>
              <w:spacing w:after="0" w:before="0" w:line="245" w:lineRule="auto"/>
              <w:jc w:val="center"/>
              <w:rPr>
                <w:sz w:val="19"/>
                <w:szCs w:val="19"/>
              </w:rPr>
            </w:pPr>
            <w:r>
              <w:rPr>
                <w:b w:val="0"/>
                <w:sz w:val="19"/>
                <w:szCs w:val="19"/>
                <w:u w:val="none"/>
                <w:rtl w:val="0"/>
              </w:rPr>
              <w:t>−35.6% (&lt;0.001)</w:t>
            </w:r>
          </w:p>
        </w:tc>
        <w:tc>
          <w:tcPr>
            <w:vAlign w:val="center"/>
            <w:tcW w:type="dxa" w:w="1541"/>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4">
            <w:pPr>
              <w:keepNext/>
              <w:spacing w:after="0" w:before="0" w:line="245" w:lineRule="auto"/>
              <w:jc w:val="center"/>
              <w:rPr>
                <w:sz w:val="19"/>
                <w:szCs w:val="19"/>
              </w:rPr>
            </w:pPr>
            <w:r>
              <w:rPr>
                <w:b w:val="0"/>
                <w:sz w:val="19"/>
                <w:szCs w:val="19"/>
                <w:u w:val="none"/>
                <w:rtl w:val="0"/>
              </w:rPr>
              <w:t>−28.8% (&lt;0.001)</w:t>
            </w:r>
          </w:p>
        </w:tc>
        <w:tc>
          <w:tcPr>
            <w:vAlign w:val="center"/>
            <w:tcW w:type="dxa" w:w="1541"/>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5">
            <w:pPr>
              <w:keepNext/>
              <w:spacing w:after="0" w:before="0" w:line="245" w:lineRule="auto"/>
              <w:jc w:val="center"/>
              <w:rPr>
                <w:sz w:val="19"/>
                <w:szCs w:val="19"/>
              </w:rPr>
            </w:pPr>
            <w:r>
              <w:rPr>
                <w:b w:val="0"/>
                <w:sz w:val="19"/>
                <w:szCs w:val="19"/>
                <w:u w:val="none"/>
                <w:rtl w:val="0"/>
              </w:rPr>
              <w:t>−16.8% (0.077)</w:t>
            </w:r>
          </w:p>
        </w:tc>
        <w:tc>
          <w:tcPr>
            <w:tcW w:type="dxa" w:w="1685"/>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spacing w:after="0" w:before="0" w:line="245" w:lineRule="auto"/>
              <w:jc w:val="center"/>
            </w:pPr>
            <w:r>
              <w:rPr>
                <w:b w:val="0"/>
                <w:sz w:val="19"/>
                <w:u w:val="none"/>
              </w:rPr>
              <w:t>+29.2% (0.007)</w:t>
            </w:r>
          </w:p>
        </w:tc>
      </w:tr>
      <w:tr>
        <w:trPr>
          <w:tblHeader w:val="0"/>
          <w:cantSplit/>
        </w:trPr>
        <w:tc>
          <w:tcPr>
            <w:vAlign w:val="center"/>
            <w:tcW w:type="dxa" w:w="2707"/>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6">
            <w:pPr>
              <w:keepNext/>
              <w:spacing w:after="0" w:before="0" w:line="245" w:lineRule="auto"/>
              <w:jc w:val="left"/>
              <w:rPr>
                <w:sz w:val="19"/>
                <w:szCs w:val="19"/>
              </w:rPr>
            </w:pPr>
            <w:r w:rsidDel="00000000" w:rsidR="00000000" w:rsidRPr="00000000">
              <w:rPr>
                <w:b w:val="0"/>
                <w:sz w:val="19"/>
                <w:szCs w:val="19"/>
                <w:u w:val="none"/>
                <w:rtl w:val="0"/>
              </w:rPr>
              <w:t xml:space="preserve">Conditional homogeneous</w:t>
            </w:r>
          </w:p>
        </w:tc>
        <w:tc>
          <w:tcPr>
            <w:vAlign w:val="center"/>
            <w:tcW w:type="dxa" w:w="1541"/>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7">
            <w:pPr>
              <w:keepNext/>
              <w:spacing w:after="0" w:before="0" w:line="245" w:lineRule="auto"/>
              <w:jc w:val="center"/>
              <w:rPr>
                <w:sz w:val="19"/>
                <w:szCs w:val="19"/>
              </w:rPr>
            </w:pPr>
            <w:r>
              <w:rPr>
                <w:b w:val="0"/>
                <w:sz w:val="19"/>
                <w:szCs w:val="19"/>
                <w:u w:val="none"/>
                <w:rtl w:val="0"/>
              </w:rPr>
              <w:t>−38.9% (&lt;0.001)</w:t>
            </w:r>
          </w:p>
        </w:tc>
        <w:tc>
          <w:tcPr>
            <w:vAlign w:val="center"/>
            <w:tcW w:type="dxa" w:w="1541"/>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8">
            <w:pPr>
              <w:keepNext/>
              <w:spacing w:after="0" w:before="0" w:line="245" w:lineRule="auto"/>
              <w:jc w:val="center"/>
              <w:rPr>
                <w:sz w:val="19"/>
                <w:szCs w:val="19"/>
              </w:rPr>
            </w:pPr>
            <w:r>
              <w:rPr>
                <w:b w:val="0"/>
                <w:sz w:val="19"/>
                <w:szCs w:val="19"/>
                <w:u w:val="none"/>
                <w:rtl w:val="0"/>
              </w:rPr>
              <w:t>−32.3% (&lt;0.001)</w:t>
            </w:r>
          </w:p>
        </w:tc>
        <w:tc>
          <w:tcPr>
            <w:vAlign w:val="center"/>
            <w:tcW w:type="dxa" w:w="1541"/>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9">
            <w:pPr>
              <w:keepNext/>
              <w:spacing w:after="0" w:before="0" w:line="245" w:lineRule="auto"/>
              <w:jc w:val="center"/>
              <w:rPr>
                <w:sz w:val="19"/>
                <w:szCs w:val="19"/>
              </w:rPr>
            </w:pPr>
            <w:r>
              <w:rPr>
                <w:b w:val="0"/>
                <w:sz w:val="19"/>
                <w:szCs w:val="19"/>
                <w:u w:val="none"/>
                <w:rtl w:val="0"/>
              </w:rPr>
              <w:t>−22.6% (0.023)</w:t>
            </w:r>
          </w:p>
        </w:tc>
        <w:tc>
          <w:tcPr>
            <w:tcW w:type="dxa" w:w="1685"/>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spacing w:after="0" w:before="0" w:line="245" w:lineRule="auto"/>
              <w:jc w:val="center"/>
            </w:pPr>
            <w:r>
              <w:rPr>
                <w:b w:val="0"/>
                <w:sz w:val="19"/>
                <w:u w:val="none"/>
              </w:rPr>
              <w:t>+26.6% (0.020)</w:t>
            </w:r>
          </w:p>
        </w:tc>
      </w:tr>
      <w:tr>
        <w:trPr>
          <w:tblHeader w:val="0"/>
          <w:cantSplit/>
        </w:trPr>
        <w:tc>
          <w:tcPr>
            <w:vAlign w:val="center"/>
            <w:tcW w:type="dxa" w:w="2707"/>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A">
            <w:pPr>
              <w:keepNext/>
              <w:spacing w:after="0" w:before="0" w:line="245" w:lineRule="auto"/>
              <w:jc w:val="left"/>
              <w:rPr>
                <w:sz w:val="19"/>
                <w:szCs w:val="19"/>
              </w:rPr>
            </w:pPr>
            <w:r w:rsidDel="00000000" w:rsidR="00000000" w:rsidRPr="00000000">
              <w:rPr>
                <w:b w:val="0"/>
                <w:sz w:val="19"/>
                <w:szCs w:val="19"/>
                <w:u w:val="none"/>
                <w:rtl w:val="0"/>
              </w:rPr>
              <w:t xml:space="preserve">Reference-date cap</w:t>
            </w:r>
          </w:p>
        </w:tc>
        <w:tc>
          <w:tcPr>
            <w:vAlign w:val="center"/>
            <w:tcW w:type="dxa" w:w="1541"/>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B">
            <w:pPr>
              <w:keepNext/>
              <w:spacing w:after="0" w:before="0" w:line="245" w:lineRule="auto"/>
              <w:jc w:val="center"/>
              <w:rPr>
                <w:sz w:val="19"/>
                <w:szCs w:val="19"/>
              </w:rPr>
            </w:pPr>
            <w:r>
              <w:rPr>
                <w:b w:val="0"/>
                <w:sz w:val="19"/>
                <w:szCs w:val="19"/>
                <w:u w:val="none"/>
                <w:rtl w:val="0"/>
              </w:rPr>
              <w:t>−44.1% (&lt;0.001)</w:t>
            </w:r>
          </w:p>
        </w:tc>
        <w:tc>
          <w:tcPr>
            <w:vAlign w:val="center"/>
            <w:tcW w:type="dxa" w:w="1541"/>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C">
            <w:pPr>
              <w:keepNext/>
              <w:spacing w:after="0" w:before="0" w:line="245" w:lineRule="auto"/>
              <w:jc w:val="center"/>
              <w:rPr>
                <w:sz w:val="19"/>
                <w:szCs w:val="19"/>
              </w:rPr>
            </w:pPr>
            <w:r>
              <w:rPr>
                <w:b w:val="0"/>
                <w:sz w:val="19"/>
                <w:szCs w:val="19"/>
                <w:u w:val="none"/>
                <w:rtl w:val="0"/>
              </w:rPr>
              <w:t>−36.4% (&lt;0.001)</w:t>
            </w:r>
          </w:p>
        </w:tc>
        <w:tc>
          <w:tcPr>
            <w:vAlign w:val="center"/>
            <w:tcW w:type="dxa" w:w="1541"/>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D">
            <w:pPr>
              <w:keepNext/>
              <w:spacing w:after="0" w:before="0" w:line="245" w:lineRule="auto"/>
              <w:jc w:val="center"/>
              <w:rPr>
                <w:sz w:val="19"/>
                <w:szCs w:val="19"/>
              </w:rPr>
            </w:pPr>
            <w:r>
              <w:rPr>
                <w:b w:val="0"/>
                <w:sz w:val="19"/>
                <w:szCs w:val="19"/>
                <w:u w:val="none"/>
                <w:rtl w:val="0"/>
              </w:rPr>
              <w:t>−26.6% (0.003)</w:t>
            </w:r>
          </w:p>
        </w:tc>
        <w:tc>
          <w:tcPr>
            <w:tcW w:type="dxa" w:w="1685"/>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spacing w:after="0" w:before="0" w:line="245" w:lineRule="auto"/>
              <w:jc w:val="center"/>
            </w:pPr>
            <w:r>
              <w:rPr>
                <w:b w:val="0"/>
                <w:sz w:val="19"/>
                <w:u w:val="none"/>
              </w:rPr>
              <w:t>+31.3% (0.002)</w:t>
            </w:r>
          </w:p>
        </w:tc>
      </w:tr>
      <w:tr>
        <w:trPr>
          <w:tblHeader w:val="0"/>
          <w:cantSplit/>
        </w:trPr>
        <w:tc>
          <w:tcPr>
            <w:vAlign w:val="center"/>
            <w:tcW w:type="dxa" w:w="2707"/>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E">
            <w:pPr>
              <w:keepNext/>
              <w:spacing w:after="0" w:before="0" w:line="245" w:lineRule="auto"/>
              <w:jc w:val="left"/>
              <w:rPr>
                <w:sz w:val="19"/>
                <w:szCs w:val="19"/>
              </w:rPr>
            </w:pPr>
            <w:r w:rsidDel="00000000" w:rsidR="00000000" w:rsidRPr="00000000">
              <w:rPr>
                <w:b w:val="0"/>
                <w:sz w:val="19"/>
                <w:szCs w:val="19"/>
                <w:u w:val="none"/>
                <w:rtl w:val="0"/>
              </w:rPr>
              <w:t xml:space="preserve">Stricter 80% coverage</w:t>
            </w:r>
          </w:p>
        </w:tc>
        <w:tc>
          <w:tcPr>
            <w:vAlign w:val="center"/>
            <w:tcW w:type="dxa" w:w="1541"/>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5F">
            <w:pPr>
              <w:keepNext/>
              <w:spacing w:after="0" w:before="0" w:line="245" w:lineRule="auto"/>
              <w:jc w:val="center"/>
              <w:rPr>
                <w:sz w:val="19"/>
                <w:szCs w:val="19"/>
              </w:rPr>
            </w:pPr>
            <w:r>
              <w:rPr>
                <w:b w:val="0"/>
                <w:sz w:val="19"/>
                <w:szCs w:val="19"/>
                <w:u w:val="none"/>
                <w:rtl w:val="0"/>
              </w:rPr>
              <w:t>−39.5% (&lt;0.001)</w:t>
            </w:r>
          </w:p>
        </w:tc>
        <w:tc>
          <w:tcPr>
            <w:vAlign w:val="center"/>
            <w:tcW w:type="dxa" w:w="1541"/>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60">
            <w:pPr>
              <w:keepNext/>
              <w:spacing w:after="0" w:before="0" w:line="245" w:lineRule="auto"/>
              <w:jc w:val="center"/>
              <w:rPr>
                <w:sz w:val="19"/>
                <w:szCs w:val="19"/>
              </w:rPr>
            </w:pPr>
            <w:r>
              <w:rPr>
                <w:b w:val="0"/>
                <w:sz w:val="19"/>
                <w:szCs w:val="19"/>
                <w:u w:val="none"/>
                <w:rtl w:val="0"/>
              </w:rPr>
              <w:t>−31.9% (&lt;0.001)</w:t>
            </w:r>
          </w:p>
        </w:tc>
        <w:tc>
          <w:tcPr>
            <w:vAlign w:val="center"/>
            <w:tcW w:type="dxa" w:w="1541"/>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rsidR="00000000" w:rsidDel="00000000" w:rsidP="00000000" w:rsidRDefault="00000000" w:rsidRPr="00000000" w14:paraId="00000161">
            <w:pPr>
              <w:keepNext/>
              <w:spacing w:after="0" w:before="0" w:line="245" w:lineRule="auto"/>
              <w:jc w:val="center"/>
              <w:rPr>
                <w:sz w:val="19"/>
                <w:szCs w:val="19"/>
              </w:rPr>
            </w:pPr>
            <w:r>
              <w:rPr>
                <w:b w:val="0"/>
                <w:sz w:val="19"/>
                <w:szCs w:val="19"/>
                <w:u w:val="none"/>
                <w:rtl w:val="0"/>
              </w:rPr>
              <w:t>−22.5% (0.031)</w:t>
            </w:r>
          </w:p>
        </w:tc>
        <w:tc>
          <w:tcPr>
            <w:tcW w:type="dxa" w:w="1685"/>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spacing w:after="0" w:before="0" w:line="245" w:lineRule="auto"/>
              <w:jc w:val="center"/>
            </w:pPr>
            <w:r>
              <w:rPr>
                <w:b w:val="0"/>
                <w:sz w:val="19"/>
                <w:u w:val="none"/>
              </w:rPr>
              <w:t>+28.1% (0.017)</w:t>
            </w:r>
          </w:p>
        </w:tc>
      </w:tr>
      <w:tr>
        <w:trPr>
          <w:cantSplit/>
        </w:trPr>
        <w:tc>
          <w:tcPr>
            <w:tcW w:type="dxa" w:w="2707"/>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val="0"/>
              <w:spacing w:after="0" w:before="0" w:line="245" w:lineRule="auto"/>
              <w:jc w:val="left"/>
            </w:pPr>
            <w:r>
              <w:rPr>
                <w:b w:val="0"/>
                <w:sz w:val="19"/>
                <w:u w:val="none"/>
              </w:rPr>
              <w:t>Exclude rebalance day</w:t>
            </w:r>
          </w:p>
        </w:tc>
        <w:tc>
          <w:tcPr>
            <w:tcW w:type="dxa" w:w="1541"/>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val="0"/>
              <w:spacing w:after="0" w:before="0" w:line="245" w:lineRule="auto"/>
              <w:jc w:val="center"/>
            </w:pPr>
            <w:r>
              <w:rPr>
                <w:b w:val="0"/>
                <w:sz w:val="19"/>
                <w:u w:val="none"/>
              </w:rPr>
              <w:t>−35.7% (&lt;0.001)</w:t>
            </w:r>
          </w:p>
        </w:tc>
        <w:tc>
          <w:tcPr>
            <w:tcW w:type="dxa" w:w="1541"/>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val="0"/>
              <w:spacing w:after="0" w:before="0" w:line="245" w:lineRule="auto"/>
              <w:jc w:val="center"/>
            </w:pPr>
            <w:r>
              <w:rPr>
                <w:b w:val="0"/>
                <w:sz w:val="19"/>
                <w:u w:val="none"/>
              </w:rPr>
              <w:t>−32.1% (&lt;0.001)</w:t>
            </w:r>
          </w:p>
        </w:tc>
        <w:tc>
          <w:tcPr>
            <w:tcW w:type="dxa" w:w="1541"/>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val="0"/>
              <w:spacing w:after="0" w:before="0" w:line="245" w:lineRule="auto"/>
              <w:jc w:val="center"/>
            </w:pPr>
            <w:r>
              <w:rPr>
                <w:b w:val="0"/>
                <w:sz w:val="19"/>
                <w:u w:val="none"/>
              </w:rPr>
              <w:t>−22.6% (0.021)</w:t>
            </w:r>
          </w:p>
        </w:tc>
        <w:tc>
          <w:tcPr>
            <w:tcW w:type="dxa" w:w="1685"/>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val="0"/>
              <w:spacing w:after="0" w:before="0" w:line="245" w:lineRule="auto"/>
              <w:jc w:val="center"/>
            </w:pPr>
            <w:r>
              <w:rPr>
                <w:b w:val="0"/>
                <w:sz w:val="19"/>
                <w:u w:val="none"/>
              </w:rPr>
              <w:t>+20.4% (0.095)</w:t>
            </w:r>
          </w:p>
        </w:tc>
      </w:tr>
    </w:tbl>
    <w:p w:rsidR="00000000" w:rsidDel="00000000" w:rsidP="00000000" w:rsidRDefault="00000000" w:rsidRPr="00000000" w14:paraId="00000164">
      <w:pPr>
        <w:pageBreakBefore w:val="0"/>
        <w:widowControl/>
        <w:spacing w:after="100" w:before="0" w:lineRule="auto" w:line="264"/>
        <w:jc w:val="both"/>
        <w:rPr/>
      </w:pPr>
      <w:r>
        <w:rPr>
          <w:sz w:val="19"/>
          <w:u w:val="none"/>
          <w:rtl w:val="0"/>
        </w:rPr>
        <w:t>Notes: Percentage effects; parentheses give Holm p-values across five stage effects, or separately three contrasts for LP−AP. All specifications retain 77 groups except 80% coverage (72). Excluding day +10 changes AP to +1:+9; all groups still pass 60% coverage.</w:t>
      </w:r>
    </w:p>
    <w:p w:rsidR="00000000" w:rsidDel="00000000" w:rsidP="00000000" w:rsidRDefault="00000000" w:rsidRPr="00000000" w14:paraId="00000166">
      <w:pPr>
        <w:pageBreakBefore w:val="0"/>
        <w:widowControl/>
        <w:spacing w:after="40" w:before="0" w:lineRule="auto" w:line="245"/>
        <w:jc w:val="both"/>
        <w:rPr/>
      </w:pPr>
      <w:r>
        <w:rPr>
          <w:sz w:val="22"/>
        </w:rPr>
        <w:t>P99 capping asks whether a few unusually high daily ratios drive the findings. We apply one pre-event threshold (0.189), before averaging and taking logs. The AP and SP declines remain significant, so the initial response is not confined to the extreme tail. The weaker LP result indicates that later persistence is more sensitive to unusually illiquid days.</w:t>
      </w:r>
    </w:p>
    <w:p>
      <w:pPr>
        <w:widowControl/>
        <w:spacing w:after="40" w:line="245" w:lineRule="auto"/>
      </w:pPr>
      <w:r>
        <w:rPr>
          <w:b w:val="0"/>
          <w:color w:val="000000"/>
          <w:sz w:val="22"/>
        </w:rPr>
        <w:t>The homogeneous estimates are close to the main averages, suggesting that the overall timing pattern does not depend on allowing every review to have a separate effect. Reference-date size produces a larger AP decline, showing that its magnitude is sensitive to the covariate period. The stricter 80% sample retains a similar pattern, which reduces concern that sparse observations generate the main result.</w:t>
      </w:r>
    </w:p>
    <w:p>
      <w:pPr>
        <w:pStyle w:val="Heading2"/>
        <w:keepNext/>
        <w:widowControl/>
        <w:spacing w:before="100" w:after="60"/>
      </w:pPr>
      <w:r>
        <w:rPr>
          <w:b/>
          <w:color w:val="000000"/>
          <w:sz w:val="24"/>
        </w:rPr>
        <w:t>6.2 Rebalance trading and partial reversion</w:t>
      </w:r>
    </w:p>
    <w:p w:rsidR="00000000" w:rsidDel="00000000" w:rsidP="00000000" w:rsidRDefault="00000000" w:rsidRPr="00000000" w14:paraId="00000168">
      <w:pPr>
        <w:pageBreakBefore w:val="0"/>
        <w:widowControl/>
        <w:spacing w:after="40" w:before="0" w:lineRule="auto" w:line="245"/>
        <w:jc w:val="both"/>
        <w:rPr/>
      </w:pPr>
      <w:r>
        <w:rPr>
          <w:sz w:val="22"/>
        </w:rPr>
        <w:t>Removing day +10 leaves the AP effect at −35.7% (Holm p &lt; 0.001). This suggests that the initial decline extends beyond the rebalance day's concentrated trading. However, LP−AP falls to +20.4% and loses significance after Holm correction (p = 0.095). The evidence for partial reversion therefore depends more on how adjustment-stage trading is measured than the evidence for an initial decline.</w:t>
      </w:r>
    </w:p>
    <w:p>
      <w:pPr>
        <w:pStyle w:val="Heading2"/>
        <w:keepNext/>
        <w:widowControl/>
        <w:spacing w:before="100" w:after="60"/>
      </w:pPr>
      <w:r>
        <w:rPr>
          <w:b/>
          <w:color w:val="000000"/>
          <w:sz w:val="24"/>
        </w:rPr>
        <w:t>6.3 Sensitivity to individual reviews</w:t>
      </w:r>
    </w:p>
    <w:p w:rsidR="00000000" w:rsidDel="00000000" w:rsidP="00000000" w:rsidRDefault="00000000" w:rsidRPr="00000000" w14:paraId="00000169">
      <w:pPr>
        <w:keepNext/>
        <w:pageBreakBefore w:val="0"/>
        <w:widowControl/>
        <w:spacing w:after="80" w:before="40" w:lineRule="auto" w:line="264"/>
        <w:jc w:val="center"/>
        <w:rPr/>
      </w:pPr>
      <w:r w:rsidDel="00000000" w:rsidR="00000000" w:rsidRPr="00000000">
        <w:rPr>
          <w:u w:val="none"/>
        </w:rPr>
        <w:drawing>
          <wp:inline distB="114300" distT="114300" distL="114300" distR="114300">
            <wp:extent cx="5634550" cy="1739933"/>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34550" cy="1739933"/>
                    </a:xfrm>
                    <a:prstGeom prst="rect"/>
                    <a:ln/>
                  </pic:spPr>
                </pic:pic>
              </a:graphicData>
            </a:graphic>
          </wp:inline>
        </w:drawing>
      </w:r>
      <w:r w:rsidDel="00000000" w:rsidR="00000000" w:rsidRPr="00000000">
        <w:rPr>
          <w:u w:val="none"/>
          <w:rtl w:val="0"/>
        </w:rPr>
      </w:r>
    </w:p>
    <w:p w:rsidR="00000000" w:rsidDel="00000000" w:rsidP="00000000" w:rsidRDefault="00000000" w:rsidRPr="00000000" w14:paraId="0000016A">
      <w:pPr>
        <w:keepNext w:val="0"/>
        <w:pageBreakBefore w:val="0"/>
        <w:widowControl/>
        <w:spacing w:after="100" w:before="0" w:lineRule="auto" w:line="264"/>
        <w:jc w:val="center"/>
        <w:rPr>
          <w:i w:val="1"/>
          <w:iCs w:val="1"/>
        </w:rPr>
      </w:pPr>
      <w:r>
        <w:rPr>
          <w:i w:val="1"/>
          <w:iCs w:val="1"/>
          <w:sz w:val="19"/>
          <w:u w:val="none"/>
          <w:rtl w:val="0"/>
        </w:rPr>
        <w:t>Figure 4. Leave-one-review-out estimates; pointwise 95% ticker-clustered intervals.</w:t>
      </w:r>
    </w:p>
    <w:p w:rsidR="00000000" w:rsidDel="00000000" w:rsidP="00000000" w:rsidRDefault="00000000" w:rsidRPr="00000000" w14:paraId="0000016C">
      <w:pPr>
        <w:pageBreakBefore w:val="0"/>
        <w:widowControl/>
        <w:spacing w:after="40" w:before="0" w:lineRule="auto" w:line="245"/>
        <w:jc w:val="both"/>
        <w:rPr/>
      </w:pPr>
      <w:r>
        <w:rPr>
          <w:sz w:val="22"/>
        </w:rPr>
        <w:t>Omitting each review in turn leaves all post-stage estimates negative. AP and SP remain significant after Holm correction in every run, so no single review accounts for the initial response. LP is less precise. The LP−AP contrast also remains positive (+18.4% to +34.2%), but loses adjusted significance when R01 or R03 is omitted. Its direction is consistent, although the statistical evidence is sensitive to the small set of reviews.</w:t>
      </w:r>
    </w:p>
    <w:p>
      <w:pPr>
        <w:pStyle w:val="Heading2"/>
        <w:keepNext/>
        <w:widowControl/>
        <w:spacing w:before="100" w:after="60"/>
      </w:pPr>
      <w:r>
        <w:rPr>
          <w:b/>
          <w:color w:val="000000"/>
          <w:sz w:val="24"/>
        </w:rPr>
        <w:t>6.4 Complementary outcome measures</w:t>
      </w:r>
    </w:p>
    <w:p>
      <w:pPr>
        <w:keepNext/>
        <w:pageBreakBefore w:val="0"/>
        <w:widowControl/>
        <w:spacing w:after="100" w:before="0" w:line="264" w:lineRule="auto"/>
        <w:jc w:val="center"/>
      </w:pPr>
      <w:r>
        <w:rPr>
          <w:b w:val="0"/>
          <w:i/>
          <w:sz w:val="19"/>
          <w:u w:val="none"/>
        </w:rPr>
        <w:t>Table 8. Complementary outcomes on the same estimation sample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888"/>
        <w:gridCol w:w="1888"/>
        <w:gridCol w:w="1873"/>
        <w:tblGridChange w:id="0">
          <w:tblGrid>
            <w:gridCol w:w="3375.273774468472"/>
            <w:gridCol w:w="1888.3690280065898"/>
            <w:gridCol w:w="1888.3690280065898"/>
            <w:gridCol w:w="1873.4999805419711"/>
          </w:tblGrid>
        </w:tblGridChange>
      </w:tblGrid>
      <w:tr>
        <w:trPr>
          <w:tblHeader w:val="0"/>
          <w:tblHeader/>
          <w:cantSplit/>
          <w:tblHeader/>
        </w:trPr>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left"/>
            </w:pPr>
            <w:r>
              <w:rPr>
                <w:b/>
                <w:sz w:val="19"/>
                <w:u w:val="none"/>
              </w:rPr>
              <w:t>Outcome and units</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sz w:val="19"/>
                <w:u w:val="none"/>
              </w:rPr>
              <w:t>AP</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sz w:val="19"/>
                <w:u w:val="none"/>
              </w:rPr>
              <w:t>SP</w:t>
            </w:r>
          </w:p>
        </w:tc>
        <w:tc>
          <w:tcPr>
            <w:vAlign w:val="center"/>
            <w:shd w:fill="E7EEF2"/>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sz w:val="19"/>
                <w:u w:val="none"/>
              </w:rPr>
              <w:t>LP</w:t>
            </w:r>
          </w:p>
        </w:tc>
      </w:tr>
      <w:tr>
        <w:trPr>
          <w:cantSplit/>
        </w:trPr>
        <w:tc>
          <w:tcPr>
            <w:tcW w:type="dxa" w:w="3375"/>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left"/>
            </w:pPr>
            <w:r>
              <w:rPr>
                <w:b w:val="0"/>
                <w:sz w:val="19"/>
                <w:u w:val="none"/>
              </w:rPr>
              <w:t>Raw mean Amihud (×10⁶)</w:t>
            </w:r>
          </w:p>
        </w:tc>
        <w:tc>
          <w:tcPr>
            <w:tcW w:type="dxa" w:w="1888"/>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−0.01561 (0.214)</w:t>
            </w:r>
          </w:p>
        </w:tc>
        <w:tc>
          <w:tcPr>
            <w:tcW w:type="dxa" w:w="1888"/>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−0.00889 (0.192)</w:t>
            </w:r>
          </w:p>
        </w:tc>
        <w:tc>
          <w:tcPr>
            <w:tcW w:type="dxa" w:w="1873"/>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−0.03208 (0.520)</w:t>
            </w:r>
          </w:p>
        </w:tc>
      </w:tr>
      <w:tr>
        <w:trPr>
          <w:cantSplit/>
        </w:trPr>
        <w:tc>
          <w:tcPr>
            <w:tcW w:type="dxa" w:w="3375"/>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left"/>
            </w:pPr>
            <w:r>
              <w:rPr>
                <w:b w:val="0"/>
                <w:sz w:val="19"/>
                <w:u w:val="none"/>
              </w:rPr>
              <w:t>Mean turnover (pp)</w:t>
            </w:r>
          </w:p>
        </w:tc>
        <w:tc>
          <w:tcPr>
            <w:tcW w:type="dxa" w:w="1888"/>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+0.379 (&lt;0.001)</w:t>
            </w:r>
          </w:p>
        </w:tc>
        <w:tc>
          <w:tcPr>
            <w:tcW w:type="dxa" w:w="1888"/>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+0.080 (0.330)</w:t>
            </w:r>
          </w:p>
        </w:tc>
        <w:tc>
          <w:tcPr>
            <w:tcW w:type="dxa" w:w="1873"/>
            <w:vAlign w:val="center"/>
            <w:shd w:fill="F7F8F9"/>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pageBreakBefore w:val="0"/>
              <w:widowControl/>
              <w:spacing w:after="0" w:before="0" w:line="245" w:lineRule="auto"/>
              <w:jc w:val="center"/>
            </w:pPr>
            <w:r>
              <w:rPr>
                <w:b w:val="0"/>
                <w:sz w:val="19"/>
                <w:u w:val="none"/>
              </w:rPr>
              <w:t>+0.051 (0.883)</w:t>
            </w:r>
          </w:p>
        </w:tc>
      </w:tr>
      <w:tr>
        <w:trPr>
          <w:cantSplit/>
        </w:trPr>
        <w:tc>
          <w:tcPr>
            <w:tcW w:type="dxa" w:w="3375"/>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val="0"/>
              <w:pageBreakBefore w:val="0"/>
              <w:widowControl/>
              <w:spacing w:after="0" w:before="0" w:line="245" w:lineRule="auto"/>
              <w:jc w:val="left"/>
            </w:pPr>
            <w:r>
              <w:rPr>
                <w:b w:val="0"/>
                <w:sz w:val="19"/>
                <w:u w:val="none"/>
              </w:rPr>
              <w:t>Log mean turnover (%)</w:t>
            </w:r>
          </w:p>
        </w:tc>
        <w:tc>
          <w:tcPr>
            <w:tcW w:type="dxa" w:w="1888"/>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val="0"/>
              <w:pageBreakBefore w:val="0"/>
              <w:widowControl/>
              <w:spacing w:after="0" w:before="0" w:line="245" w:lineRule="auto"/>
              <w:jc w:val="center"/>
            </w:pPr>
            <w:r>
              <w:rPr>
                <w:b w:val="0"/>
                <w:sz w:val="19"/>
                <w:u w:val="none"/>
              </w:rPr>
              <w:t>+141.9% (&lt;0.001)</w:t>
            </w:r>
          </w:p>
        </w:tc>
        <w:tc>
          <w:tcPr>
            <w:tcW w:type="dxa" w:w="1888"/>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val="0"/>
              <w:pageBreakBefore w:val="0"/>
              <w:widowControl/>
              <w:spacing w:after="0" w:before="0" w:line="245" w:lineRule="auto"/>
              <w:jc w:val="center"/>
            </w:pPr>
            <w:r>
              <w:rPr>
                <w:b w:val="0"/>
                <w:sz w:val="19"/>
                <w:u w:val="none"/>
              </w:rPr>
              <w:t>+27.7% (0.002)</w:t>
            </w:r>
          </w:p>
        </w:tc>
        <w:tc>
          <w:tcPr>
            <w:tcW w:type="dxa" w:w="1873"/>
            <w:vAlign w:val="center"/>
            <w:shd w:fill="FFFFFF"/>
            <w:tcBorders>
              <w:left w:val="single" w:sz="4" w:color="D9D9D9"/>
              <w:right w:val="single" w:sz="4" w:color="D9D9D9"/>
              <w:top w:val="single" w:sz="4" w:color="D9D9D9"/>
              <w:bottom w:val="single" w:sz="4" w:color="D9D9D9"/>
            </w:tcBorders>
            <w:tcMar>
              <w:left w:w="70" w:type="dxa"/>
              <w:right w:w="70" w:type="dxa"/>
              <w:top w:w="45" w:type="dxa"/>
              <w:bottom w:w="45" w:type="dxa"/>
            </w:tcMar>
          </w:tcPr>
          <w:p>
            <w:pPr>
              <w:keepNext w:val="0"/>
              <w:pageBreakBefore w:val="0"/>
              <w:widowControl/>
              <w:spacing w:after="0" w:before="0" w:line="245" w:lineRule="auto"/>
              <w:jc w:val="center"/>
            </w:pPr>
            <w:r>
              <w:rPr>
                <w:b w:val="0"/>
                <w:sz w:val="19"/>
                <w:u w:val="none"/>
              </w:rPr>
              <w:t>+18.4% (0.114)</w:t>
            </w:r>
          </w:p>
        </w:tc>
      </w:tr>
    </w:tbl>
    <w:p>
      <w:pPr>
        <w:keepNext w:val="0"/>
        <w:pageBreakBefore w:val="0"/>
        <w:widowControl/>
        <w:spacing w:after="100" w:before="0" w:line="264" w:lineRule="auto"/>
      </w:pPr>
      <w:r>
        <w:rPr>
          <w:b w:val="0"/>
          <w:sz w:val="19"/>
          <w:u w:val="none"/>
        </w:rPr>
        <w:t>Notes: Parentheses are Holm p-values across five stages within each outcome. Raw Amihud uses the scaled ratio in (1); turnover levels are percentage points (pp), logs use 100[exp(β) − 1]. The level-turnover AP 95% CI is [0.238, 0.521] pp.</w:t>
      </w:r>
    </w:p>
    <w:p>
      <w:pPr>
        <w:keepLines/>
        <w:pageBreakBefore w:val="0"/>
        <w:widowControl/>
        <w:spacing w:after="40" w:before="0" w:line="245" w:lineRule="auto"/>
      </w:pPr>
      <w:r>
        <w:rPr>
          <w:sz w:val="22"/>
        </w:rPr>
        <w:t>The raw Amihud model asks about absolute changes, whereas the log model asks about proportional changes. Its post-stage coefficients are negative but none survives Holm correction. This distinction matters when stocks have different typical illiquidity levels: an absolute change has a different meaning for a highly illiquid stock than for an already liquid one. Dividing a raw coefficient by a baseline mean does not reproduce the log-model effect.</w:t>
      </w:r>
    </w:p>
    <w:p>
      <w:pPr>
        <w:pageBreakBefore w:val="0"/>
        <w:widowControl/>
        <w:spacing w:after="40" w:before="0" w:line="245" w:lineRule="auto"/>
      </w:pPr>
      <w:r>
        <w:rPr>
          <w:sz w:val="22"/>
        </w:rPr>
        <w:t>Turnover provides a complementary view of trading activity. Using daily share volume divided by shares outstanding, the level model shows a significant AP increase of 0.379 percentage points. In the log model, AP (+141.9%) and SP (+27.7%) remain significant after Holm correction, while LP does not. Together, these results link the early Amihud decline to a rise in trading activity that becomes less pronounced later. They support an adjustment-trading interpretation, rather than directly establishing lower spreads or execution costs.</w:t>
      </w:r>
    </w:p>
    <w:p w:rsidR="00000000" w:rsidDel="00000000" w:rsidP="00000000" w:rsidRDefault="00000000" w:rsidRPr="00000000" w14:paraId="0000016E">
      <w:pPr>
        <w:pStyle w:val="Heading1"/>
        <w:keepNext/>
        <w:keepLines w:val="0"/>
        <w:pageBreakBefore w:val="0"/>
        <w:widowControl/>
        <w:spacing w:after="100" w:before="180" w:lineRule="auto" w:line="264"/>
        <w:ind w:left="0" w:firstLine="0"/>
        <w:rPr>
          <w:b w:val="1"/>
          <w:bCs w:val="1"/>
          <w:sz w:val="30"/>
          <w:szCs w:val="30"/>
        </w:rPr>
      </w:pPr>
      <w:r>
        <w:rPr>
          <w:b/>
          <w:bCs w:val="1"/>
          <w:color w:val="000000"/>
          <w:sz w:val="30"/>
          <w:szCs w:val="30"/>
          <w:u w:val="none"/>
          <w:rtl w:val="0"/>
        </w:rPr>
        <w:t>7 Limitations and future improvements</w:t>
      </w:r>
    </w:p>
    <w:p w:rsidR="00000000" w:rsidDel="00000000" w:rsidP="00000000" w:rsidRDefault="00000000" w:rsidRPr="00000000" w14:paraId="00000170">
      <w:pPr>
        <w:pageBreakBefore w:val="0"/>
        <w:widowControl/>
        <w:spacing w:after="40" w:before="0" w:lineRule="auto" w:line="245"/>
        <w:jc w:val="both"/>
        <w:rPr/>
      </w:pPr>
      <w:r>
        <w:rPr>
          <w:b/>
        </w:rPr>
        <w:t xml:space="preserve">Accuracy of control selection. </w:t>
      </w:r>
      <w:r>
        <w:t>Our comparison relies on finding stocks that would have followed a similar liquidity path without a new inclusion event. Sector and size matching, activity screening and volatility controls help, but they cannot capture every difference in free float, investor composition or company-specific news. These differences may affect the estimated magnitude and evolution of the inclusion response. More precise historical size and free-float measures, together with checks for overlapping corporate events, would improve the accuracy of control selection. Vendor data availability and historical classification errors can also limit comparability.</w:t>
      </w:r>
    </w:p>
    <w:p w:rsidR="00000000" w:rsidDel="00000000" w:rsidP="00000000" w:rsidRDefault="00000000" w:rsidRPr="00000000" w14:paraId="00000172">
      <w:pPr>
        <w:pageBreakBefore w:val="0"/>
        <w:widowControl/>
        <w:spacing w:after="40" w:before="0" w:lineRule="auto" w:line="245"/>
        <w:jc w:val="both"/>
        <w:rPr/>
      </w:pPr>
      <w:r>
        <w:rPr>
          <w:b/>
        </w:rPr>
        <w:t xml:space="preserve">Identification and dependence. </w:t>
      </w:r>
      <w:r>
        <w:t>Anticipation may begin in B, and the baseline was revised after diagnostic inspection; pretests are not independent validation (Roth, 2022). If anticipation already lowered treated illiquidity in B while controls were unaffected, later declines would be attenuated, but other anticipation paths need not bias effects that way. Longer pre-periods, pre-specified baselines and sensitivity analysis would help. Six reviews limit heterogeneity assessment. Ticker clustering allows within-stock dependence, not arbitrary dependence across stocks sharing a review; additional reviews would strengthen multiway inference.</w:t>
      </w:r>
    </w:p>
    <w:p w:rsidR="00000000" w:rsidDel="00000000" w:rsidP="00000000" w:rsidRDefault="00000000" w:rsidRPr="00000000" w14:paraId="00000174">
      <w:pPr>
        <w:pageBreakBefore w:val="0"/>
        <w:widowControl/>
        <w:spacing w:after="40" w:before="0" w:lineRule="auto" w:line="245"/>
        <w:jc w:val="both"/>
        <w:rPr/>
      </w:pPr>
      <w:r>
        <w:rPr>
          <w:b/>
        </w:rPr>
        <w:t xml:space="preserve">Measurement. </w:t>
      </w:r>
      <w:r>
        <w:t>Amihud is a price-impact proxy, not a direct estimate of spreads or execution costs. Low trading values, discrete prices and extreme returns affect short averages. The exclusion-of-rebalance-day and raw-outcome checks limit claims about durable improvement and reversion. Share-count errors can affect size and turnover. Quote-based spreads, free-float turnover and audited share histories would broaden the evidence.</w:t>
      </w:r>
    </w:p>
    <w:p w:rsidR="00000000" w:rsidDel="00000000" w:rsidP="00000000" w:rsidRDefault="00000000" w:rsidRPr="00000000" w14:paraId="00000176">
      <w:pPr>
        <w:pageBreakBefore w:val="0"/>
        <w:widowControl/>
        <w:spacing w:after="40" w:before="0" w:lineRule="auto" w:line="245"/>
        <w:jc w:val="both"/>
        <w:rPr/>
      </w:pPr>
      <w:r>
        <w:rPr>
          <w:b/>
        </w:rPr>
        <w:t xml:space="preserve">Further validation. </w:t>
      </w:r>
      <w:r>
        <w:t>Extending beyond +60 would reveal later reversion. Earlier matching dates and pre-event activity or free-float measures could improve comparability. Placebo event dates and sensitivity bounds for plausible parallel-trend violations would further assess identification; they require clearly specified placebo timing and comparison samples.</w:t>
      </w:r>
    </w:p>
    <w:p w:rsidR="00000000" w:rsidDel="00000000" w:rsidP="00000000" w:rsidRDefault="00000000" w:rsidRPr="00000000" w14:paraId="00000178">
      <w:pPr>
        <w:pStyle w:val="Heading1"/>
        <w:keepNext/>
        <w:keepLines w:val="0"/>
        <w:pageBreakBefore w:val="0"/>
        <w:widowControl/>
        <w:spacing w:after="100" w:before="180" w:lineRule="auto" w:line="264"/>
        <w:ind w:left="0" w:firstLine="0"/>
        <w:rPr>
          <w:b w:val="1"/>
          <w:bCs w:val="1"/>
          <w:sz w:val="30"/>
          <w:szCs w:val="30"/>
        </w:rPr>
      </w:pPr>
      <w:r>
        <w:rPr>
          <w:b/>
          <w:bCs w:val="1"/>
          <w:color w:val="000000"/>
          <w:sz w:val="30"/>
          <w:szCs w:val="30"/>
          <w:u w:val="none"/>
          <w:rtl w:val="0"/>
        </w:rPr>
        <w:t>8 Conclusion</w:t>
      </w:r>
    </w:p>
    <w:p w:rsidR="00000000" w:rsidDel="00000000" w:rsidP="00000000" w:rsidRDefault="00000000" w:rsidRPr="00000000" w14:paraId="0000017A">
      <w:pPr>
        <w:pageBreakBefore w:val="0"/>
        <w:widowControl/>
        <w:spacing w:after="40" w:before="0" w:lineRule="auto" w:line="245"/>
        <w:jc w:val="both"/>
        <w:rPr>
          <w:b w:val="1"/>
          <w:bCs w:val="1"/>
          <w:sz w:val="30"/>
          <w:szCs w:val="30"/>
        </w:rPr>
      </w:pPr>
      <w:r>
        <w:rPr>
          <w:sz w:val="22"/>
        </w:rPr>
        <w:t>The clearest finding is a decline in Amihud during adjustment: the estimated proportional effect is −39.2% in AP, compared with −32.1% in SP and −22.6% in LP. The AP-to-LP ratio rises by 27.3%, suggesting that roughly half the initial log decline is subsequently unwound. The initial response remains evident across the main specification checks, while the strength of reversion is more sensitive to rebalance trading and individual reviews. Overall, the results suggest that inclusion effects are strongest around portfolio adjustment and become smaller over time. A wider set of reviews and more accurate control matching would help establish how broadly this pattern applies.</w:t>
      </w:r>
    </w:p>
    <w:p w:rsidR="00000000" w:rsidDel="00000000" w:rsidP="00000000" w:rsidRDefault="00000000" w:rsidRPr="00000000" w14:paraId="0000017C">
      <w:pPr>
        <w:pStyle w:val="Heading1"/>
        <w:keepNext/>
        <w:pageBreakBefore/>
        <w:widowControl/>
        <w:spacing w:after="100" w:before="180" w:line="264" w:lineRule="auto"/>
        <w:ind w:left="0" w:firstLine="0"/>
        <w:rPr>
          <w:b w:val="1"/>
          <w:bCs w:val="1"/>
          <w:sz w:val="30"/>
          <w:szCs w:val="30"/>
        </w:rPr>
      </w:pPr>
      <w:r>
        <w:rPr>
          <w:b/>
          <w:bCs w:val="1"/>
          <w:color w:val="000000"/>
          <w:sz w:val="30"/>
          <w:szCs w:val="30"/>
          <w:u w:val="none"/>
          <w:rtl w:val="0"/>
        </w:rPr>
        <w:t>References</w:t>
      </w:r>
    </w:p>
    <w:p w:rsidR="00000000" w:rsidDel="00000000" w:rsidP="00000000" w:rsidRDefault="00000000" w:rsidRPr="00000000" w14:paraId="0000017E">
      <w:pPr>
        <w:pageBreakBefore w:val="0"/>
        <w:widowControl/>
        <w:spacing w:after="100" w:before="0" w:line="264" w:lineRule="auto"/>
        <w:ind w:left="432" w:hanging="432"/>
        <w:jc w:val="left"/>
        <w:rPr>
          <w:color w:val="1155cc"/>
          <w:sz w:val="19"/>
          <w:szCs w:val="19"/>
        </w:rPr>
      </w:pPr>
      <w:r>
        <w:rPr>
          <w:sz w:val="19"/>
        </w:rPr>
        <w:t xml:space="preserve">Amihud, Y. (2002). Illiquidity and stock returns: cross-section and time-series effects. </w:t>
      </w:r>
      <w:r>
        <w:rPr>
          <w:i/>
          <w:sz w:val="19"/>
        </w:rPr>
        <w:t>Journal of Financial Markets, 5</w:t>
      </w:r>
      <w:r>
        <w:rPr>
          <w:sz w:val="19"/>
        </w:rPr>
        <w:t xml:space="preserve">(1), 31–56. </w:t>
      </w:r>
      <w:hyperlink r:id="rId19">
        <w:r>
          <w:rPr>
            <w:color w:val="0563C1"/>
            <w:sz w:val="19"/>
          </w:rPr>
          <w:t>https://doi.org/10.1016/S1386-4181(01)00024-6</w:t>
        </w:r>
      </w:hyperlink>
    </w:p>
    <w:p w:rsidR="00000000" w:rsidDel="00000000" w:rsidP="00000000" w:rsidRDefault="00000000" w:rsidRPr="00000000" w14:paraId="0000017F">
      <w:pPr>
        <w:pageBreakBefore w:val="0"/>
        <w:widowControl/>
        <w:spacing w:after="100" w:before="0" w:line="264" w:lineRule="auto"/>
        <w:ind w:left="432" w:hanging="432"/>
        <w:jc w:val="left"/>
        <w:rPr>
          <w:sz w:val="19"/>
          <w:szCs w:val="19"/>
          <w:highlight w:val="yellow"/>
        </w:rPr>
      </w:pPr>
      <w:r>
        <w:rPr>
          <w:sz w:val="19"/>
        </w:rPr>
        <w:t xml:space="preserve">Beneish, M. D., &amp; Whaley, R. E. (1996). An anatomy of the 'S&amp;P Game': the effects of changing the rules. </w:t>
      </w:r>
      <w:r>
        <w:rPr>
          <w:i/>
          <w:sz w:val="19"/>
        </w:rPr>
        <w:t>Journal of Finance, 51</w:t>
      </w:r>
      <w:r>
        <w:rPr>
          <w:sz w:val="19"/>
        </w:rPr>
        <w:t xml:space="preserve">(5), 1909–1930. </w:t>
      </w:r>
      <w:hyperlink r:id="rId20">
        <w:r>
          <w:rPr>
            <w:color w:val="0563C1"/>
            <w:sz w:val="19"/>
          </w:rPr>
          <w:t>https://doi.org/10.1111/j.1540-6261.1996.tb05231.x</w:t>
        </w:r>
      </w:hyperlink>
    </w:p>
    <w:p w:rsidR="00000000" w:rsidDel="00000000" w:rsidP="00000000" w:rsidRDefault="00000000" w:rsidRPr="00000000" w14:paraId="00000180">
      <w:pPr>
        <w:pageBreakBefore w:val="0"/>
        <w:widowControl/>
        <w:spacing w:after="100" w:before="0" w:line="264" w:lineRule="auto"/>
        <w:ind w:left="432" w:hanging="432"/>
        <w:jc w:val="left"/>
        <w:rPr>
          <w:color w:val="1155cc"/>
          <w:sz w:val="19"/>
          <w:szCs w:val="19"/>
        </w:rPr>
      </w:pPr>
      <w:r>
        <w:rPr>
          <w:sz w:val="19"/>
        </w:rPr>
        <w:t xml:space="preserve">Bertrand, M., Duflo, E., &amp; Mullainathan, S. (2004). How much should we trust differences-in-differences estimates? </w:t>
      </w:r>
      <w:r>
        <w:rPr>
          <w:i/>
          <w:sz w:val="19"/>
        </w:rPr>
        <w:t>Quarterly Journal of Economics, 119</w:t>
      </w:r>
      <w:r>
        <w:rPr>
          <w:sz w:val="19"/>
        </w:rPr>
        <w:t xml:space="preserve">(1), 249–275. </w:t>
      </w:r>
      <w:hyperlink r:id="rId22">
        <w:r>
          <w:rPr>
            <w:color w:val="0563C1"/>
            <w:sz w:val="19"/>
          </w:rPr>
          <w:t>https://doi.org/10.1162/003355304772839588</w:t>
        </w:r>
      </w:hyperlink>
    </w:p>
    <w:p w:rsidR="00000000" w:rsidDel="00000000" w:rsidP="00000000" w:rsidRDefault="00000000" w:rsidRPr="00000000" w14:paraId="00000181">
      <w:pPr>
        <w:pageBreakBefore w:val="0"/>
        <w:widowControl/>
        <w:spacing w:after="100" w:before="0" w:line="264" w:lineRule="auto"/>
        <w:ind w:left="432" w:hanging="432"/>
        <w:jc w:val="left"/>
        <w:rPr>
          <w:color w:val="1155cc"/>
          <w:sz w:val="19"/>
          <w:szCs w:val="19"/>
        </w:rPr>
      </w:pPr>
      <w:r>
        <w:rPr>
          <w:sz w:val="19"/>
        </w:rPr>
        <w:t xml:space="preserve">Callaway, B., &amp; Sant'Anna, P. H. C. (2021). Difference-in-differences with multiple time periods. </w:t>
      </w:r>
      <w:r>
        <w:rPr>
          <w:i/>
          <w:sz w:val="19"/>
        </w:rPr>
        <w:t>Journal of Econometrics, 225</w:t>
      </w:r>
      <w:r>
        <w:rPr>
          <w:sz w:val="19"/>
        </w:rPr>
        <w:t xml:space="preserve">(2), 200–230. </w:t>
      </w:r>
      <w:hyperlink r:id="rId24">
        <w:r>
          <w:rPr>
            <w:color w:val="0563C1"/>
            <w:sz w:val="19"/>
          </w:rPr>
          <w:t>https://doi.org/10.1016/j.jeconom.2020.12.001</w:t>
        </w:r>
      </w:hyperlink>
    </w:p>
    <w:p w:rsidR="00000000" w:rsidDel="00000000" w:rsidP="00000000" w:rsidRDefault="00000000" w:rsidRPr="00000000" w14:paraId="00000182">
      <w:pPr>
        <w:pageBreakBefore w:val="0"/>
        <w:widowControl/>
        <w:spacing w:after="100" w:before="0" w:line="264" w:lineRule="auto"/>
        <w:ind w:left="432" w:hanging="432"/>
        <w:jc w:val="left"/>
        <w:rPr>
          <w:color w:val="1155cc"/>
          <w:sz w:val="19"/>
          <w:szCs w:val="19"/>
        </w:rPr>
      </w:pPr>
      <w:r>
        <w:rPr>
          <w:sz w:val="19"/>
        </w:rPr>
        <w:t xml:space="preserve">Cengiz, D., Dube, A., Lindner, A., &amp; Zipperer, B. (2019). The effect of minimum wages on low-wage jobs. </w:t>
      </w:r>
      <w:r>
        <w:rPr>
          <w:i/>
          <w:sz w:val="19"/>
        </w:rPr>
        <w:t>Quarterly Journal of Economics, 134</w:t>
      </w:r>
      <w:r>
        <w:rPr>
          <w:sz w:val="19"/>
        </w:rPr>
        <w:t xml:space="preserve">(3), 1405–1454. </w:t>
      </w:r>
      <w:hyperlink r:id="rId26">
        <w:r>
          <w:rPr>
            <w:color w:val="0563C1"/>
            <w:sz w:val="19"/>
          </w:rPr>
          <w:t>https://doi.org/10.1093/qje/qjz014</w:t>
        </w:r>
      </w:hyperlink>
    </w:p>
    <w:p w:rsidR="00000000" w:rsidDel="00000000" w:rsidP="00000000" w:rsidRDefault="00000000" w:rsidRPr="00000000" w14:paraId="00000183">
      <w:pPr>
        <w:pageBreakBefore w:val="0"/>
        <w:widowControl/>
        <w:spacing w:after="100" w:before="0" w:line="264" w:lineRule="auto"/>
        <w:ind w:left="432" w:hanging="432"/>
        <w:jc w:val="left"/>
        <w:rPr>
          <w:color w:val="1155cc"/>
          <w:sz w:val="19"/>
          <w:szCs w:val="19"/>
        </w:rPr>
      </w:pPr>
      <w:r>
        <w:rPr>
          <w:sz w:val="19"/>
        </w:rPr>
        <w:t xml:space="preserve">Goodman-Bacon, A. (2021). Difference-in-differences with variation in treatment timing. </w:t>
      </w:r>
      <w:r>
        <w:rPr>
          <w:i/>
          <w:sz w:val="19"/>
        </w:rPr>
        <w:t>Journal of Econometrics, 225</w:t>
      </w:r>
      <w:r>
        <w:rPr>
          <w:sz w:val="19"/>
        </w:rPr>
        <w:t xml:space="preserve">(2), 254–277. </w:t>
      </w:r>
      <w:hyperlink r:id="rId28">
        <w:r>
          <w:rPr>
            <w:color w:val="0563C1"/>
            <w:sz w:val="19"/>
          </w:rPr>
          <w:t>https://doi.org/10.1016/j.jeconom.2021.03.014</w:t>
        </w:r>
      </w:hyperlink>
    </w:p>
    <w:p w:rsidR="00000000" w:rsidDel="00000000" w:rsidP="00000000" w:rsidRDefault="00000000" w:rsidRPr="00000000" w14:paraId="00000184">
      <w:pPr>
        <w:pageBreakBefore w:val="0"/>
        <w:widowControl/>
        <w:spacing w:after="100" w:before="0" w:line="264" w:lineRule="auto"/>
        <w:ind w:left="432" w:hanging="432"/>
        <w:jc w:val="left"/>
        <w:rPr>
          <w:color w:val="1155cc"/>
          <w:sz w:val="19"/>
          <w:szCs w:val="19"/>
        </w:rPr>
      </w:pPr>
      <w:r>
        <w:rPr>
          <w:sz w:val="19"/>
        </w:rPr>
        <w:t xml:space="preserve">Greenwood, R., &amp; Sammon, M. (2025). The disappearing index effect. </w:t>
      </w:r>
      <w:r>
        <w:rPr>
          <w:i/>
          <w:sz w:val="19"/>
        </w:rPr>
        <w:t>Journal of Finance, 80</w:t>
      </w:r>
      <w:r>
        <w:rPr>
          <w:sz w:val="19"/>
        </w:rPr>
        <w:t xml:space="preserve">(2), 657–698. </w:t>
      </w:r>
      <w:hyperlink r:id="rId29">
        <w:r>
          <w:rPr>
            <w:color w:val="0563C1"/>
            <w:sz w:val="19"/>
          </w:rPr>
          <w:t>https://doi.org/10.1111/jofi.13410</w:t>
        </w:r>
      </w:hyperlink>
    </w:p>
    <w:p w:rsidR="00000000" w:rsidDel="00000000" w:rsidP="00000000" w:rsidRDefault="00000000" w:rsidRPr="00000000" w14:paraId="00000185">
      <w:pPr>
        <w:pageBreakBefore w:val="0"/>
        <w:widowControl/>
        <w:spacing w:after="100" w:before="0" w:line="264" w:lineRule="auto"/>
        <w:ind w:left="432" w:hanging="432"/>
        <w:jc w:val="left"/>
        <w:rPr>
          <w:sz w:val="19"/>
          <w:szCs w:val="19"/>
          <w:highlight w:val="yellow"/>
        </w:rPr>
      </w:pPr>
      <w:r>
        <w:rPr>
          <w:sz w:val="19"/>
        </w:rPr>
        <w:t xml:space="preserve">Hegde, S. P., &amp; McDermott, J. B. (2003). The liquidity effects of revisions to the S&amp;P 500 index: an empirical analysis. </w:t>
      </w:r>
      <w:r>
        <w:rPr>
          <w:i/>
          <w:sz w:val="19"/>
        </w:rPr>
        <w:t>Journal of Financial Markets, 6</w:t>
      </w:r>
      <w:r>
        <w:rPr>
          <w:sz w:val="19"/>
        </w:rPr>
        <w:t xml:space="preserve">(3), 413–459. </w:t>
      </w:r>
      <w:hyperlink r:id="rId31">
        <w:r>
          <w:rPr>
            <w:color w:val="0563C1"/>
            <w:sz w:val="19"/>
          </w:rPr>
          <w:t>https://doi.org/10.1016/S1386-4181(02)00046-0</w:t>
        </w:r>
      </w:hyperlink>
    </w:p>
    <w:p>
      <w:pPr>
        <w:pageBreakBefore w:val="0"/>
        <w:widowControl/>
        <w:spacing w:after="100" w:before="0" w:line="264" w:lineRule="auto"/>
        <w:ind w:left="432" w:hanging="432"/>
        <w:jc w:val="left"/>
      </w:pPr>
      <w:r>
        <w:rPr>
          <w:sz w:val="19"/>
        </w:rPr>
        <w:t xml:space="preserve">Holm, S. (1979). A simple sequentially rejective multiple test procedure. </w:t>
      </w:r>
      <w:r>
        <w:rPr>
          <w:i/>
          <w:sz w:val="19"/>
        </w:rPr>
        <w:t>Scandinavian Journal of Statistics, 6</w:t>
      </w:r>
      <w:r>
        <w:rPr>
          <w:sz w:val="19"/>
        </w:rPr>
        <w:t xml:space="preserve">(2), 65–70. </w:t>
      </w:r>
      <w:hyperlink r:id="rId48">
        <w:r>
          <w:rPr>
            <w:color w:val="0563C1"/>
            <w:sz w:val="19"/>
          </w:rPr>
          <w:t>https://www.jstor.org/stable/4615733</w:t>
        </w:r>
      </w:hyperlink>
    </w:p>
    <w:p w:rsidR="00000000" w:rsidDel="00000000" w:rsidP="00000000" w:rsidRDefault="00000000" w:rsidRPr="00000000" w14:paraId="00000186">
      <w:pPr>
        <w:pageBreakBefore w:val="0"/>
        <w:widowControl/>
        <w:spacing w:after="100" w:before="0" w:line="264" w:lineRule="auto"/>
        <w:ind w:left="432" w:hanging="432"/>
        <w:jc w:val="left"/>
        <w:rPr>
          <w:color w:val="1155cc"/>
          <w:sz w:val="19"/>
          <w:szCs w:val="19"/>
        </w:rPr>
      </w:pPr>
      <w:r>
        <w:rPr>
          <w:sz w:val="19"/>
        </w:rPr>
        <w:t xml:space="preserve">Madhavan, A. (2003). The Russell reconstitution effect. </w:t>
      </w:r>
      <w:r>
        <w:rPr>
          <w:i/>
          <w:sz w:val="19"/>
        </w:rPr>
        <w:t>Financial Analysts Journal, 59</w:t>
      </w:r>
      <w:r>
        <w:rPr>
          <w:sz w:val="19"/>
        </w:rPr>
        <w:t xml:space="preserve">(4), 51–64. </w:t>
      </w:r>
      <w:hyperlink r:id="rId33">
        <w:r>
          <w:rPr>
            <w:color w:val="0563C1"/>
            <w:sz w:val="19"/>
          </w:rPr>
          <w:t>https://doi.org/10.2469/faj.v59.n4.2545</w:t>
        </w:r>
      </w:hyperlink>
    </w:p>
    <w:p w:rsidR="00000000" w:rsidDel="00000000" w:rsidP="00000000" w:rsidRDefault="00000000" w:rsidRPr="00000000" w14:paraId="00000187">
      <w:pPr>
        <w:pageBreakBefore w:val="0"/>
        <w:widowControl/>
        <w:spacing w:after="100" w:before="0" w:line="264" w:lineRule="auto"/>
        <w:ind w:left="432" w:hanging="432"/>
        <w:jc w:val="left"/>
        <w:rPr>
          <w:color w:val="1155cc"/>
          <w:sz w:val="19"/>
          <w:szCs w:val="19"/>
        </w:rPr>
      </w:pPr>
      <w:r>
        <w:rPr>
          <w:sz w:val="19"/>
        </w:rPr>
        <w:t xml:space="preserve">Merton, R. C. (1987). A simple model of capital market equilibrium with incomplete information. </w:t>
      </w:r>
      <w:r>
        <w:rPr>
          <w:i/>
          <w:sz w:val="19"/>
        </w:rPr>
        <w:t>Journal of Finance, 42</w:t>
      </w:r>
      <w:r>
        <w:rPr>
          <w:sz w:val="19"/>
        </w:rPr>
        <w:t xml:space="preserve">(3), 483–510. </w:t>
      </w:r>
      <w:hyperlink r:id="rId35">
        <w:r>
          <w:rPr>
            <w:color w:val="0563C1"/>
            <w:sz w:val="19"/>
          </w:rPr>
          <w:t>https://doi.org/10.1111/j.1540-6261.1987.tb04565.x</w:t>
        </w:r>
      </w:hyperlink>
    </w:p>
    <w:p>
      <w:pPr>
        <w:pageBreakBefore w:val="0"/>
        <w:widowControl/>
        <w:spacing w:after="100" w:before="0" w:line="264" w:lineRule="auto"/>
        <w:ind w:left="432" w:hanging="432"/>
        <w:jc w:val="left"/>
      </w:pPr>
      <w:r>
        <w:rPr>
          <w:sz w:val="19"/>
        </w:rPr>
        <w:t xml:space="preserve">Roth, J. (2022). Pretest with caution: Event-study estimates after testing for parallel trends. </w:t>
      </w:r>
      <w:r>
        <w:rPr>
          <w:i/>
          <w:sz w:val="19"/>
        </w:rPr>
        <w:t>American Economic Review: Insights, 4</w:t>
      </w:r>
      <w:r>
        <w:rPr>
          <w:sz w:val="19"/>
        </w:rPr>
        <w:t xml:space="preserve">(3), 305–322. </w:t>
      </w:r>
      <w:hyperlink r:id="rId49">
        <w:r>
          <w:rPr>
            <w:color w:val="0563C1"/>
            <w:sz w:val="19"/>
          </w:rPr>
          <w:t>https://doi.org/10.1257/aeri.20210236</w:t>
        </w:r>
      </w:hyperlink>
    </w:p>
    <w:p w:rsidR="00000000" w:rsidDel="00000000" w:rsidP="00000000" w:rsidRDefault="00000000" w:rsidRPr="00000000" w14:paraId="00000189">
      <w:pPr>
        <w:pageBreakBefore w:val="0"/>
        <w:widowControl/>
        <w:spacing w:after="100" w:before="0" w:line="264" w:lineRule="auto"/>
        <w:ind w:left="432" w:hanging="432"/>
        <w:jc w:val="left"/>
        <w:rPr>
          <w:sz w:val="19"/>
          <w:szCs w:val="19"/>
          <w:highlight w:val="yellow"/>
        </w:rPr>
      </w:pPr>
      <w:r>
        <w:rPr>
          <w:sz w:val="19"/>
        </w:rPr>
        <w:t xml:space="preserve">S&amp;P Dow Jones Indices. (2023–2026). S&amp;P/ASX Australian Indices Methodology and review announcements, September 2023 to March 2026. </w:t>
      </w:r>
      <w:hyperlink r:id="rId40">
        <w:r>
          <w:rPr>
            <w:color w:val="0563C1"/>
            <w:sz w:val="19"/>
          </w:rPr>
          <w:t>https://www.spglobal.com/spdji/en/indices/equity/sp-asx-300/</w:t>
        </w:r>
      </w:hyperlink>
    </w:p>
    <w:p w:rsidR="00000000" w:rsidDel="00000000" w:rsidP="00000000" w:rsidRDefault="00000000" w:rsidRPr="00000000" w14:paraId="0000018A">
      <w:pPr>
        <w:pageBreakBefore w:val="0"/>
        <w:widowControl/>
        <w:spacing w:after="100" w:before="0" w:line="264" w:lineRule="auto"/>
        <w:ind w:left="432" w:hanging="432"/>
        <w:jc w:val="left"/>
        <w:rPr>
          <w:color w:val="1155cc"/>
          <w:sz w:val="19"/>
          <w:szCs w:val="19"/>
        </w:rPr>
      </w:pPr>
      <w:r>
        <w:rPr>
          <w:sz w:val="19"/>
        </w:rPr>
        <w:t xml:space="preserve">Shleifer, A. (1986). Do demand curves for stocks slope down? </w:t>
      </w:r>
      <w:r>
        <w:rPr>
          <w:i/>
          <w:sz w:val="19"/>
        </w:rPr>
        <w:t>Journal of Finance, 41</w:t>
      </w:r>
      <w:r>
        <w:rPr>
          <w:sz w:val="19"/>
        </w:rPr>
        <w:t xml:space="preserve">(3), 579–590. </w:t>
      </w:r>
      <w:hyperlink r:id="rId42">
        <w:r>
          <w:rPr>
            <w:color w:val="0563C1"/>
            <w:sz w:val="19"/>
          </w:rPr>
          <w:t>https://doi.org/10.1111/j.1540-6261.1986.tb04518.x</w:t>
        </w:r>
      </w:hyperlink>
    </w:p>
    <w:p w:rsidR="00000000" w:rsidDel="00000000" w:rsidP="00000000" w:rsidRDefault="00000000" w:rsidRPr="00000000" w14:paraId="0000018B">
      <w:pPr>
        <w:pageBreakBefore w:val="0"/>
        <w:widowControl/>
        <w:spacing w:after="100" w:before="0" w:line="264" w:lineRule="auto"/>
        <w:ind w:left="432" w:hanging="432"/>
        <w:jc w:val="left"/>
        <w:rPr>
          <w:color w:val="1155cc"/>
          <w:sz w:val="19"/>
          <w:szCs w:val="19"/>
        </w:rPr>
      </w:pPr>
      <w:r>
        <w:rPr>
          <w:sz w:val="19"/>
        </w:rPr>
        <w:t xml:space="preserve">Wing, C., Freedman, S. M., &amp; Hollingsworth, A. (2024). Stacked difference-in-differences. NBER Working Paper 32054. </w:t>
      </w:r>
      <w:hyperlink r:id="rId44">
        <w:r>
          <w:rPr>
            <w:color w:val="0563C1"/>
            <w:sz w:val="19"/>
          </w:rPr>
          <w:t>https://doi.org/10.3386/w32054</w:t>
        </w:r>
      </w:hyperlink>
    </w:p>
    <w:sectPr>
      <w:headerReference r:id="rId45" w:type="default"/>
      <w:footerReference w:type="default" r:id="rId46"/>
      <w:pgSz w:h="16834" w:w="11909" w:orient="portrait"/>
      <w:pgMar w:bottom="1231.77165354331" w:top="1275.590551181102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color w:val="000000"/>
      <w:sz w:val="40"/>
      <w:szCs w:val="40"/>
    </w:rPr>
  </w:style>
  <w:style w:type="paragraph" w:styleId="Heading2">
    <w:name w:val="heading 2"/>
    <w:basedOn w:val="Normal"/>
    <w:next w:val="Normal"/>
    <w:pPr>
      <w:keepNext w:val="1"/>
      <w:keepLines w:val="1"/>
      <w:pageBreakBefore w:val="0"/>
      <w:spacing w:after="120" w:before="360" w:lineRule="auto"/>
    </w:pPr>
    <w:rPr>
      <w:b w:val="0"/>
      <w:bCs w:val="0"/>
      <w:color w:val="00000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color w:val="00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pglobal.com/spdji/en/indices/equity/sp-asx-300/" TargetMode="External"/><Relationship Id="rId20" Type="http://schemas.openxmlformats.org/officeDocument/2006/relationships/hyperlink" Target="https://doi.org/10.1111/j.1540-6261.1996.tb05231.x" TargetMode="External"/><Relationship Id="rId42" Type="http://schemas.openxmlformats.org/officeDocument/2006/relationships/hyperlink" Target="https://doi.org/10.1111/j.1540-6261.1986.tb04518.x" TargetMode="External"/><Relationship Id="rId41" Type="http://schemas.openxmlformats.org/officeDocument/2006/relationships/hyperlink" Target="https://doi.org/10.1111/j.1540-6261.1986.tb04518.x" TargetMode="External"/><Relationship Id="rId22" Type="http://schemas.openxmlformats.org/officeDocument/2006/relationships/hyperlink" Target="https://doi.org/10.1162/003355304772839588" TargetMode="External"/><Relationship Id="rId44" Type="http://schemas.openxmlformats.org/officeDocument/2006/relationships/hyperlink" Target="https://doi.org/10.3386/w32054" TargetMode="External"/><Relationship Id="rId21" Type="http://schemas.openxmlformats.org/officeDocument/2006/relationships/hyperlink" Target="https://doi.org/10.1162/003355304772839588" TargetMode="External"/><Relationship Id="rId43" Type="http://schemas.openxmlformats.org/officeDocument/2006/relationships/hyperlink" Target="https://doi.org/10.3386/w32054" TargetMode="External"/><Relationship Id="rId24" Type="http://schemas.openxmlformats.org/officeDocument/2006/relationships/hyperlink" Target="https://doi.org/10.1016/j.jeconom.2020.12.001" TargetMode="External"/><Relationship Id="rId23" Type="http://schemas.openxmlformats.org/officeDocument/2006/relationships/hyperlink" Target="https://doi.org/10.1016/j.jeconom.2020.12.001" TargetMode="External"/><Relationship Id="rId45" Type="http://schemas.openxmlformats.org/officeDocument/2006/relationships/header" Target="header1.xml"/><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hyperlink" Target="https://doi.org/10.1093/qje/qjz014" TargetMode="External"/><Relationship Id="rId25" Type="http://schemas.openxmlformats.org/officeDocument/2006/relationships/hyperlink" Target="https://doi.org/10.1093/qje/qjz014" TargetMode="External"/><Relationship Id="rId28" Type="http://schemas.openxmlformats.org/officeDocument/2006/relationships/hyperlink" Target="https://doi.org/10.1016/j.jeconom.2021.03.014" TargetMode="External"/><Relationship Id="rId27" Type="http://schemas.openxmlformats.org/officeDocument/2006/relationships/hyperlink" Target="https://doi.org/10.1016/j.jeconom.2021.03.01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111/jofi.13410" TargetMode="Externa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doi.org/10.1016/S1386-4181(02)00046-0" TargetMode="External"/><Relationship Id="rId30" Type="http://schemas.openxmlformats.org/officeDocument/2006/relationships/hyperlink" Target="https://doi.org/10.1111/jofi.13410" TargetMode="External"/><Relationship Id="rId11" Type="http://schemas.openxmlformats.org/officeDocument/2006/relationships/image" Target="media/image7.png"/><Relationship Id="rId33" Type="http://schemas.openxmlformats.org/officeDocument/2006/relationships/hyperlink" Target="https://doi.org/10.2469/faj.v59.n4.2545" TargetMode="External"/><Relationship Id="rId10" Type="http://schemas.openxmlformats.org/officeDocument/2006/relationships/image" Target="media/image5.png"/><Relationship Id="rId32" Type="http://schemas.openxmlformats.org/officeDocument/2006/relationships/hyperlink" Target="https://doi.org/10.1016/S1386-4181(02)00046-0" TargetMode="External"/><Relationship Id="rId13" Type="http://schemas.openxmlformats.org/officeDocument/2006/relationships/image" Target="media/image9.png"/><Relationship Id="rId35" Type="http://schemas.openxmlformats.org/officeDocument/2006/relationships/hyperlink" Target="https://doi.org/10.1111/j.1540-6261.1987.tb04565.x" TargetMode="External"/><Relationship Id="rId12" Type="http://schemas.openxmlformats.org/officeDocument/2006/relationships/image" Target="media/image6.png"/><Relationship Id="rId34" Type="http://schemas.openxmlformats.org/officeDocument/2006/relationships/hyperlink" Target="https://doi.org/10.2469/faj.v59.n4.2545" TargetMode="External"/><Relationship Id="rId15" Type="http://schemas.openxmlformats.org/officeDocument/2006/relationships/image" Target="media/image10.png"/><Relationship Id="rId37" Type="http://schemas.openxmlformats.org/officeDocument/2006/relationships/hyperlink" Target="https://doi.org/10.1080/07350015.2016.1247004" TargetMode="External"/><Relationship Id="rId14" Type="http://schemas.openxmlformats.org/officeDocument/2006/relationships/image" Target="media/image2.png"/><Relationship Id="rId36" Type="http://schemas.openxmlformats.org/officeDocument/2006/relationships/hyperlink" Target="https://doi.org/10.1111/j.1540-6261.1987.tb04565.x" TargetMode="External"/><Relationship Id="rId17" Type="http://schemas.openxmlformats.org/officeDocument/2006/relationships/image" Target="media/image8.png"/><Relationship Id="rId39" Type="http://schemas.openxmlformats.org/officeDocument/2006/relationships/hyperlink" Target="https://www.spglobal.com/spdji/en/indices/equity/sp-asx-300/" TargetMode="External"/><Relationship Id="rId16" Type="http://schemas.openxmlformats.org/officeDocument/2006/relationships/image" Target="media/image4.png"/><Relationship Id="rId38" Type="http://schemas.openxmlformats.org/officeDocument/2006/relationships/hyperlink" Target="https://doi.org/10.1080/07350015.2016.1247004" TargetMode="External"/><Relationship Id="rId19" Type="http://schemas.openxmlformats.org/officeDocument/2006/relationships/hyperlink" Target="https://doi.org/10.1016/S1386-4181(01)00024-6" TargetMode="External"/><Relationship Id="rId18" Type="http://schemas.openxmlformats.org/officeDocument/2006/relationships/hyperlink" Target="https://doi.org/10.1016/S1386-4181(01)00024-6" TargetMode="External"/><Relationship Id="rId46" Type="http://schemas.openxmlformats.org/officeDocument/2006/relationships/footer" Target="footer1.xml"/><Relationship Id="rId47" Type="http://schemas.openxmlformats.org/officeDocument/2006/relationships/image" Target="media/image12.png"/><Relationship Id="rId48" Type="http://schemas.openxmlformats.org/officeDocument/2006/relationships/hyperlink" Target="https://www.jstor.org/stable/4615733" TargetMode="External"/><Relationship Id="rId49" Type="http://schemas.openxmlformats.org/officeDocument/2006/relationships/hyperlink" Target="https://doi.org/10.1257/aeri.20210236" TargetMode="External"/><Relationship Id="rId2" Type="http://schemas.openxmlformats.org/officeDocument/2006/relationships/image" Target="media/image13.png"/><Relationship Id="rId50" Type="http://schemas.openxmlformats.org/officeDocument/2006/relationships/image" Target="media/image14.png"/><Relationship Id="rId51" Type="http://schemas.openxmlformats.org/officeDocument/2006/relationships/image" Target="media/image15.png"/><Relationship Id="rId52" Type="http://schemas.openxmlformats.org/officeDocument/2006/relationships/image" Target="media/image16.png"/><Relationship Id="rId53" Type="http://schemas.openxmlformats.org/officeDocument/2006/relationships/image" Target="media/image17.png"/><Relationship Id="rId54" Type="http://schemas.openxmlformats.org/officeDocument/2006/relationships/image" Target="media/image18.png"/><Relationship Id="rId55" Type="http://schemas.openxmlformats.org/officeDocument/2006/relationships/image" Target="media/image19.png"/><Relationship Id="rId56"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