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PhenoFusion3D</w:t>
      </w:r>
    </w:p>
    <w:p>
      <w:pPr>
        <w:pStyle w:val="Subtitle"/>
      </w:pPr>
      <w:r>
        <w:t>Final delivery and handover plan</w:t>
      </w:r>
    </w:p>
    <w:p>
      <w:r>
        <w:rPr>
          <w:b w:val="0"/>
        </w:rPr>
        <w:t>Version 1.0   •   12 October 2026   •   Prepared for the project team and stakeholder</w:t>
      </w:r>
    </w:p>
    <w:p>
      <w:pPr>
        <w:pStyle w:val="Heading2"/>
      </w:pPr>
      <w:r>
        <w:t>Purpose and delivery outcome</w:t>
      </w:r>
    </w:p>
    <w:p>
      <w:r>
        <w:rPr>
          <w:b w:val="0"/>
        </w:rPr>
        <w:t>Following the final sprint and stakeholder meeting, we will deliver the complete PhenoFusion3D project so the laboratory can operate, inspect and maintain the work after the team handover. Delivery includes both codebases, all project datasets, intermediate and final results, complete process documentation and containerised software for the agreed lab environment.</w:t>
      </w:r>
    </w:p>
    <w:p>
      <w:r>
        <w:rPr>
          <w:b w:val="0"/>
        </w:rPr>
        <w:t>Completion means that the stakeholder can access the materials, install the delivered release, run the supported workflows and understand the results and limitations without depending on the development laptop or this conversation.</w:t>
      </w:r>
    </w:p>
    <w:p>
      <w:pPr>
        <w:pStyle w:val="Heading2"/>
      </w:pPr>
      <w:r>
        <w:t>Agreement and plan status</w:t>
      </w:r>
    </w:p>
    <w:p>
      <w:r>
        <w:rPr>
          <w:b w:val="0"/>
        </w:rPr>
        <w:t>The stakeholder agreed the categories of deliverables above. This document sets the team’s proposed delivery baseline and acceptance process. It is the final planning document, not a declaration that the software has already passed lab acceptance. Machine details, named owners, delivery dates and the acceptance reviewer remain to be recorded.</w:t>
      </w:r>
    </w:p>
    <w:p>
      <w:pPr>
        <w:pStyle w:val="Heading2"/>
      </w:pPr>
      <w:r>
        <w:t>Proposed delivery baseline</w:t>
      </w:r>
    </w:p>
    <w:p>
      <w:pPr>
        <w:pStyle w:val="ListBullet"/>
        <w:spacing w:after="80"/>
      </w:pPr>
      <w:r>
        <w:t>Use the existing lab machine, operating system, camera connections and gantry configuration as the primary supported environment. Preserve the established capture and movement behaviour.</w:t>
      </w:r>
    </w:p>
    <w:p>
      <w:pPr>
        <w:pStyle w:val="ListBullet"/>
        <w:spacing w:after="80"/>
      </w:pPr>
      <w:r>
        <w:t>Cover the D405, L515, FX10 and FX17 recorded-data workflows. Claim live device support only for capture paths demonstrated on the target hardware.</w:t>
      </w:r>
    </w:p>
    <w:p>
      <w:pPr>
        <w:pStyle w:val="ListBullet"/>
        <w:spacing w:after="80"/>
      </w:pPr>
      <w:r>
        <w:t>Provide routine analysis through the application where supported. Deliver experimental methods and advanced diagnostics as reproducible scripts when they are not integrated into the interface.</w:t>
      </w:r>
    </w:p>
    <w:p>
      <w:pPr>
        <w:pStyle w:val="ListBullet"/>
        <w:spacing w:after="80"/>
      </w:pPr>
      <w:r>
        <w:t>Target offline processing of local datasets after installation. Document all host requirements and any components that still require a network connection.</w:t>
      </w:r>
    </w:p>
    <w:p>
      <w:pPr>
        <w:pStyle w:val="ListBullet"/>
        <w:spacing w:after="80"/>
      </w:pPr>
      <w:r>
        <w:t>Use stakeholder-controlled repositories and storage. Verify an independent copy of the archive before closing the handover.</w:t>
      </w:r>
    </w:p>
    <w:p>
      <w:pPr>
        <w:pStyle w:val="Heading2"/>
      </w:pPr>
      <w:r>
        <w:t>Scope boundary</w:t>
      </w:r>
    </w:p>
    <w:p>
      <w:r>
        <w:rPr>
          <w:b w:val="0"/>
        </w:rPr>
        <w:t>The priority is a usable and reproducible handover. Perfect reconstruction, gap-free surfaces, calibrated reflectance, reliable dense spectral fusion across all plants and generalisation to arbitrary datasets are not acceptance promises. Any manual intervention or dataset-specific configuration must be disclosed.</w:t>
      </w:r>
    </w:p>
    <w:p>
      <w:pPr>
        <w:pStyle w:val="Heading1"/>
        <w:pageBreakBefore/>
      </w:pPr>
      <w:r>
        <w:t>Delivery register</w:t>
      </w:r>
    </w:p>
    <w:p>
      <w:r>
        <w:rPr>
          <w:b w:val="0"/>
        </w:rPr>
        <w:t>Every delivery item must be listed in the release manifest with its version or checksum, location, owner and acceptance evidence. All datasets and results used or produced during the project are in scope, including earlier studies and the final sprint.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464"/>
        <w:gridCol w:w="3960"/>
      </w:tblGrid>
      <w:tr>
        <w:trPr>
          <w:cantSplit/>
          <w:tblHeader/>
        </w:trPr>
        <w:tc>
          <w:tcPr>
            <w:tcW w:type="dxa" w:w="1656"/>
            <w:vAlign w:val="center"/>
            <w:tcMar>
              <w:top w:w="95" w:type="dxa"/>
              <w:left w:w="95" w:type="dxa"/>
              <w:bottom w:w="95" w:type="dxa"/>
              <w:right w:w="95" w:type="dxa"/>
            </w:tcMar>
            <w:shd w:fill="24445A"/>
          </w:tcPr>
          <w:p>
            <w:pPr>
              <w:spacing w:after="40" w:before="40" w:line="240" w:lineRule="auto"/>
            </w:pPr>
            <w:r>
              <w:rPr>
                <w:b/>
                <w:color w:val="FFFFFF"/>
                <w:sz w:val="21"/>
              </w:rPr>
              <w:t>Item</w:t>
            </w:r>
          </w:p>
        </w:tc>
        <w:tc>
          <w:tcPr>
            <w:tcW w:type="dxa" w:w="4464"/>
            <w:vAlign w:val="center"/>
            <w:tcMar>
              <w:top w:w="95" w:type="dxa"/>
              <w:left w:w="95" w:type="dxa"/>
              <w:bottom w:w="95" w:type="dxa"/>
              <w:right w:w="95" w:type="dxa"/>
            </w:tcMar>
            <w:shd w:fill="24445A"/>
          </w:tcPr>
          <w:p>
            <w:pPr>
              <w:spacing w:after="40" w:before="40" w:line="240" w:lineRule="auto"/>
            </w:pPr>
            <w:r>
              <w:rPr>
                <w:b/>
                <w:color w:val="FFFFFF"/>
                <w:sz w:val="21"/>
              </w:rPr>
              <w:t>Required contents</w:t>
            </w:r>
          </w:p>
        </w:tc>
        <w:tc>
          <w:tcPr>
            <w:tcW w:type="dxa" w:w="3960"/>
            <w:vAlign w:val="center"/>
            <w:tcMar>
              <w:top w:w="95" w:type="dxa"/>
              <w:left w:w="95" w:type="dxa"/>
              <w:bottom w:w="95" w:type="dxa"/>
              <w:right w:w="95" w:type="dxa"/>
            </w:tcMar>
            <w:shd w:fill="24445A"/>
          </w:tcPr>
          <w:p>
            <w:pPr>
              <w:spacing w:after="40" w:before="40" w:line="240" w:lineRule="auto"/>
            </w:pPr>
            <w:r>
              <w:rPr>
                <w:b/>
                <w:color w:val="FFFFFF"/>
                <w:sz w:val="21"/>
              </w:rPr>
              <w:t>Completion evidence</w:t>
            </w:r>
          </w:p>
        </w:tc>
      </w:tr>
      <w:tr>
        <w:trPr>
          <w:cantSplit/>
        </w:trPr>
        <w:tc>
          <w:tcPr>
            <w:tcW w:type="dxa" w:w="1656"/>
            <w:vAlign w:val="center"/>
            <w:tcMar>
              <w:top w:w="95" w:type="dxa"/>
              <w:left w:w="95" w:type="dxa"/>
              <w:bottom w:w="95" w:type="dxa"/>
              <w:right w:w="95" w:type="dxa"/>
            </w:tcMar>
            <w:shd w:fill="F1F5F7"/>
          </w:tcPr>
          <w:p>
            <w:pPr>
              <w:spacing w:after="40" w:before="40" w:line="240" w:lineRule="auto"/>
            </w:pPr>
            <w:r>
              <w:rPr>
                <w:b w:val="0"/>
                <w:color w:val="000000"/>
                <w:sz w:val="21"/>
              </w:rPr>
              <w:t>D1  Software repository</w:t>
            </w:r>
          </w:p>
        </w:tc>
        <w:tc>
          <w:tcPr>
            <w:tcW w:type="dxa" w:w="4464"/>
            <w:vAlign w:val="center"/>
            <w:tcMar>
              <w:top w:w="95" w:type="dxa"/>
              <w:left w:w="95" w:type="dxa"/>
              <w:bottom w:w="95" w:type="dxa"/>
              <w:right w:w="95" w:type="dxa"/>
            </w:tcMar>
            <w:shd w:fill="F1F5F7"/>
          </w:tcPr>
          <w:p>
            <w:pPr>
              <w:spacing w:after="40" w:before="40" w:line="240" w:lineRule="auto"/>
            </w:pPr>
            <w:r>
              <w:rPr>
                <w:b w:val="0"/>
                <w:color w:val="000000"/>
                <w:sz w:val="21"/>
              </w:rPr>
              <w:t>Application source, analysis and research scripts, configurations, tests, build files and dependency specifications.</w:t>
            </w:r>
          </w:p>
        </w:tc>
        <w:tc>
          <w:tcPr>
            <w:tcW w:type="dxa" w:w="3960"/>
            <w:vAlign w:val="center"/>
            <w:tcMar>
              <w:top w:w="95" w:type="dxa"/>
              <w:left w:w="95" w:type="dxa"/>
              <w:bottom w:w="95" w:type="dxa"/>
              <w:right w:w="95" w:type="dxa"/>
            </w:tcMar>
            <w:shd w:fill="F1F5F7"/>
          </w:tcPr>
          <w:p>
            <w:pPr>
              <w:spacing w:after="40" w:before="40" w:line="240" w:lineRule="auto"/>
            </w:pPr>
            <w:r>
              <w:rPr>
                <w:b w:val="0"/>
                <w:color w:val="000000"/>
                <w:sz w:val="21"/>
              </w:rPr>
              <w:t>Intended changes merged into the stakeholder repository and an immutable release tag recorded.</w:t>
            </w:r>
          </w:p>
        </w:tc>
      </w:tr>
      <w:tr>
        <w:trPr>
          <w:cantSplit/>
        </w:trPr>
        <w:tc>
          <w:tcPr>
            <w:tcW w:type="dxa" w:w="1656"/>
            <w:vAlign w:val="center"/>
            <w:tcMar>
              <w:top w:w="95" w:type="dxa"/>
              <w:left w:w="95" w:type="dxa"/>
              <w:bottom w:w="95" w:type="dxa"/>
              <w:right w:w="95" w:type="dxa"/>
            </w:tcMar>
            <w:shd w:fill="FFFFFF"/>
          </w:tcPr>
          <w:p>
            <w:pPr>
              <w:spacing w:after="40" w:before="40" w:line="240" w:lineRule="auto"/>
            </w:pPr>
            <w:r>
              <w:rPr>
                <w:b w:val="0"/>
                <w:color w:val="000000"/>
                <w:sz w:val="21"/>
              </w:rPr>
              <w:t>D2  Website repository</w:t>
            </w:r>
          </w:p>
        </w:tc>
        <w:tc>
          <w:tcPr>
            <w:tcW w:type="dxa" w:w="4464"/>
            <w:vAlign w:val="center"/>
            <w:tcMar>
              <w:top w:w="95" w:type="dxa"/>
              <w:left w:w="95" w:type="dxa"/>
              <w:bottom w:w="95" w:type="dxa"/>
              <w:right w:w="95" w:type="dxa"/>
            </w:tcMar>
            <w:shd w:fill="FFFFFF"/>
          </w:tcPr>
          <w:p>
            <w:pPr>
              <w:spacing w:after="40" w:before="40" w:line="240" w:lineRule="auto"/>
            </w:pPr>
            <w:r>
              <w:rPr>
                <w:b w:val="0"/>
                <w:color w:val="000000"/>
                <w:sz w:val="21"/>
              </w:rPr>
              <w:t>Source, viewers, results dashboard, assets and deployment workflow.</w:t>
            </w:r>
          </w:p>
        </w:tc>
        <w:tc>
          <w:tcPr>
            <w:tcW w:type="dxa" w:w="3960"/>
            <w:vAlign w:val="center"/>
            <w:tcMar>
              <w:top w:w="95" w:type="dxa"/>
              <w:left w:w="95" w:type="dxa"/>
              <w:bottom w:w="95" w:type="dxa"/>
              <w:right w:w="95" w:type="dxa"/>
            </w:tcMar>
            <w:shd w:fill="FFFFFF"/>
          </w:tcPr>
          <w:p>
            <w:pPr>
              <w:spacing w:after="40" w:before="40" w:line="240" w:lineRule="auto"/>
            </w:pPr>
            <w:r>
              <w:rPr>
                <w:b w:val="0"/>
                <w:color w:val="000000"/>
                <w:sz w:val="21"/>
              </w:rPr>
              <w:t>Clean build, working live pages and downloads, and a documented administrator and deployment source.</w:t>
            </w:r>
          </w:p>
        </w:tc>
      </w:tr>
      <w:tr>
        <w:trPr>
          <w:cantSplit/>
        </w:trPr>
        <w:tc>
          <w:tcPr>
            <w:tcW w:type="dxa" w:w="1656"/>
            <w:vAlign w:val="center"/>
            <w:tcMar>
              <w:top w:w="95" w:type="dxa"/>
              <w:left w:w="95" w:type="dxa"/>
              <w:bottom w:w="95" w:type="dxa"/>
              <w:right w:w="95" w:type="dxa"/>
            </w:tcMar>
            <w:shd w:fill="F1F5F7"/>
          </w:tcPr>
          <w:p>
            <w:pPr>
              <w:spacing w:after="40" w:before="40" w:line="240" w:lineRule="auto"/>
            </w:pPr>
            <w:r>
              <w:rPr>
                <w:b w:val="0"/>
                <w:color w:val="000000"/>
                <w:sz w:val="21"/>
              </w:rPr>
              <w:t>D3  Dataset archive</w:t>
            </w:r>
          </w:p>
        </w:tc>
        <w:tc>
          <w:tcPr>
            <w:tcW w:type="dxa" w:w="4464"/>
            <w:vAlign w:val="center"/>
            <w:tcMar>
              <w:top w:w="95" w:type="dxa"/>
              <w:left w:w="95" w:type="dxa"/>
              <w:bottom w:w="95" w:type="dxa"/>
              <w:right w:w="95" w:type="dxa"/>
            </w:tcMar>
            <w:shd w:fill="F1F5F7"/>
          </w:tcPr>
          <w:p>
            <w:pPr>
              <w:spacing w:after="40" w:before="40" w:line="240" w:lineRule="auto"/>
            </w:pPr>
            <w:r>
              <w:rPr>
                <w:b w:val="0"/>
                <w:color w:val="000000"/>
                <w:sz w:val="21"/>
              </w:rPr>
              <w:t>Original RGB-D and hyperspectral recordings, calibration scans, metadata, available reference captures, manual measurements and ruler images.</w:t>
            </w:r>
          </w:p>
        </w:tc>
        <w:tc>
          <w:tcPr>
            <w:tcW w:type="dxa" w:w="3960"/>
            <w:vAlign w:val="center"/>
            <w:tcMar>
              <w:top w:w="95" w:type="dxa"/>
              <w:left w:w="95" w:type="dxa"/>
              <w:bottom w:w="95" w:type="dxa"/>
              <w:right w:w="95" w:type="dxa"/>
            </w:tcMar>
            <w:shd w:fill="F1F5F7"/>
          </w:tcPr>
          <w:p>
            <w:pPr>
              <w:spacing w:after="40" w:before="40" w:line="240" w:lineRule="auto"/>
            </w:pPr>
            <w:r>
              <w:rPr>
                <w:b w:val="0"/>
                <w:color w:val="000000"/>
                <w:sz w:val="21"/>
              </w:rPr>
              <w:t>Complete inventory, verified checksums and a successful read or restore from delivered storage.</w:t>
            </w:r>
          </w:p>
        </w:tc>
      </w:tr>
      <w:tr>
        <w:trPr>
          <w:cantSplit/>
        </w:trPr>
        <w:tc>
          <w:tcPr>
            <w:tcW w:type="dxa" w:w="1656"/>
            <w:vAlign w:val="center"/>
            <w:tcMar>
              <w:top w:w="95" w:type="dxa"/>
              <w:left w:w="95" w:type="dxa"/>
              <w:bottom w:w="95" w:type="dxa"/>
              <w:right w:w="95" w:type="dxa"/>
            </w:tcMar>
            <w:shd w:fill="FFFFFF"/>
          </w:tcPr>
          <w:p>
            <w:pPr>
              <w:spacing w:after="40" w:before="40" w:line="240" w:lineRule="auto"/>
            </w:pPr>
            <w:r>
              <w:rPr>
                <w:b w:val="0"/>
                <w:color w:val="000000"/>
                <w:sz w:val="21"/>
              </w:rPr>
              <w:t>D4  Results archive</w:t>
            </w:r>
          </w:p>
        </w:tc>
        <w:tc>
          <w:tcPr>
            <w:tcW w:type="dxa" w:w="4464"/>
            <w:vAlign w:val="center"/>
            <w:tcMar>
              <w:top w:w="95" w:type="dxa"/>
              <w:left w:w="95" w:type="dxa"/>
              <w:bottom w:w="95" w:type="dxa"/>
              <w:right w:w="95" w:type="dxa"/>
            </w:tcMar>
            <w:shd w:fill="FFFFFF"/>
          </w:tcPr>
          <w:p>
            <w:pPr>
              <w:spacing w:after="40" w:before="40" w:line="240" w:lineRule="auto"/>
            </w:pPr>
            <w:r>
              <w:rPr>
                <w:b w:val="0"/>
                <w:color w:val="000000"/>
                <w:sz w:val="21"/>
              </w:rPr>
              <w:t>Calibration, poses, reconstructions, fusion, cleanup, masks, traits, validation, spectra, figures and reports. Include intermediate and superseded outputs.</w:t>
            </w:r>
          </w:p>
        </w:tc>
        <w:tc>
          <w:tcPr>
            <w:tcW w:type="dxa" w:w="3960"/>
            <w:vAlign w:val="center"/>
            <w:tcMar>
              <w:top w:w="95" w:type="dxa"/>
              <w:left w:w="95" w:type="dxa"/>
              <w:bottom w:w="95" w:type="dxa"/>
              <w:right w:w="95" w:type="dxa"/>
            </w:tcMar>
            <w:shd w:fill="FFFFFF"/>
          </w:tcPr>
          <w:p>
            <w:pPr>
              <w:spacing w:after="40" w:before="40" w:line="240" w:lineRule="auto"/>
            </w:pPr>
            <w:r>
              <w:rPr>
                <w:b w:val="0"/>
                <w:color w:val="000000"/>
                <w:sz w:val="21"/>
              </w:rPr>
              <w:t>Input and output lineage, processing parameters and result status recorded; selected artifacts opened successfully.</w:t>
            </w:r>
          </w:p>
        </w:tc>
      </w:tr>
      <w:tr>
        <w:trPr>
          <w:cantSplit/>
        </w:trPr>
        <w:tc>
          <w:tcPr>
            <w:tcW w:type="dxa" w:w="1656"/>
            <w:vAlign w:val="center"/>
            <w:tcMar>
              <w:top w:w="95" w:type="dxa"/>
              <w:left w:w="95" w:type="dxa"/>
              <w:bottom w:w="95" w:type="dxa"/>
              <w:right w:w="95" w:type="dxa"/>
            </w:tcMar>
            <w:shd w:fill="F1F5F7"/>
          </w:tcPr>
          <w:p>
            <w:pPr>
              <w:spacing w:after="40" w:before="40" w:line="240" w:lineRule="auto"/>
            </w:pPr>
            <w:r>
              <w:rPr>
                <w:b w:val="0"/>
                <w:color w:val="000000"/>
                <w:sz w:val="21"/>
              </w:rPr>
              <w:t>D5  Documentation</w:t>
            </w:r>
          </w:p>
        </w:tc>
        <w:tc>
          <w:tcPr>
            <w:tcW w:type="dxa" w:w="4464"/>
            <w:vAlign w:val="center"/>
            <w:tcMar>
              <w:top w:w="95" w:type="dxa"/>
              <w:left w:w="95" w:type="dxa"/>
              <w:bottom w:w="95" w:type="dxa"/>
              <w:right w:w="95" w:type="dxa"/>
            </w:tcMar>
            <w:shd w:fill="F1F5F7"/>
          </w:tcPr>
          <w:p>
            <w:pPr>
              <w:spacing w:after="40" w:before="40" w:line="240" w:lineRule="auto"/>
            </w:pPr>
            <w:r>
              <w:rPr>
                <w:b w:val="0"/>
                <w:color w:val="000000"/>
                <w:sz w:val="21"/>
              </w:rPr>
              <w:t>Quick start, operator guide, methods, architecture, reproduction instructions, troubleshooting and known issues.</w:t>
            </w:r>
          </w:p>
        </w:tc>
        <w:tc>
          <w:tcPr>
            <w:tcW w:type="dxa" w:w="3960"/>
            <w:vAlign w:val="center"/>
            <w:tcMar>
              <w:top w:w="95" w:type="dxa"/>
              <w:left w:w="95" w:type="dxa"/>
              <w:bottom w:w="95" w:type="dxa"/>
              <w:right w:w="95" w:type="dxa"/>
            </w:tcMar>
            <w:shd w:fill="F1F5F7"/>
          </w:tcPr>
          <w:p>
            <w:pPr>
              <w:spacing w:after="40" w:before="40" w:line="240" w:lineRule="auto"/>
            </w:pPr>
            <w:r>
              <w:rPr>
                <w:b w:val="0"/>
                <w:color w:val="000000"/>
                <w:sz w:val="21"/>
              </w:rPr>
              <w:t>A second team member completes a reference workflow using the supplied instructions.</w:t>
            </w:r>
          </w:p>
        </w:tc>
      </w:tr>
      <w:tr>
        <w:trPr>
          <w:cantSplit/>
        </w:trPr>
        <w:tc>
          <w:tcPr>
            <w:tcW w:type="dxa" w:w="1656"/>
            <w:vAlign w:val="center"/>
            <w:tcMar>
              <w:top w:w="95" w:type="dxa"/>
              <w:left w:w="95" w:type="dxa"/>
              <w:bottom w:w="95" w:type="dxa"/>
              <w:right w:w="95" w:type="dxa"/>
            </w:tcMar>
            <w:shd w:fill="FFFFFF"/>
          </w:tcPr>
          <w:p>
            <w:pPr>
              <w:spacing w:after="40" w:before="40" w:line="240" w:lineRule="auto"/>
            </w:pPr>
            <w:r>
              <w:rPr>
                <w:b w:val="0"/>
                <w:color w:val="000000"/>
                <w:sz w:val="21"/>
              </w:rPr>
              <w:t>D6  Containerised software</w:t>
            </w:r>
          </w:p>
        </w:tc>
        <w:tc>
          <w:tcPr>
            <w:tcW w:type="dxa" w:w="4464"/>
            <w:vAlign w:val="center"/>
            <w:tcMar>
              <w:top w:w="95" w:type="dxa"/>
              <w:left w:w="95" w:type="dxa"/>
              <w:bottom w:w="95" w:type="dxa"/>
              <w:right w:w="95" w:type="dxa"/>
            </w:tcMar>
            <w:shd w:fill="FFFFFF"/>
          </w:tcPr>
          <w:p>
            <w:pPr>
              <w:spacing w:after="40" w:before="40" w:line="240" w:lineRule="auto"/>
            </w:pPr>
            <w:r>
              <w:rPr>
                <w:b w:val="0"/>
                <w:color w:val="000000"/>
                <w:sz w:val="21"/>
              </w:rPr>
              <w:t>Container build files, pinned environment, tagged image, launch configuration, persistent mounts and offline image export where practical.</w:t>
            </w:r>
          </w:p>
        </w:tc>
        <w:tc>
          <w:tcPr>
            <w:tcW w:type="dxa" w:w="3960"/>
            <w:vAlign w:val="center"/>
            <w:tcMar>
              <w:top w:w="95" w:type="dxa"/>
              <w:left w:w="95" w:type="dxa"/>
              <w:bottom w:w="95" w:type="dxa"/>
              <w:right w:w="95" w:type="dxa"/>
            </w:tcMar>
            <w:shd w:fill="FFFFFF"/>
          </w:tcPr>
          <w:p>
            <w:pPr>
              <w:spacing w:after="40" w:before="40" w:line="240" w:lineRule="auto"/>
            </w:pPr>
            <w:r>
              <w:rPr>
                <w:b w:val="0"/>
                <w:color w:val="000000"/>
                <w:sz w:val="21"/>
              </w:rPr>
              <w:t>Source build succeeds and the delivered image passes agreed lab tests.</w:t>
            </w:r>
          </w:p>
        </w:tc>
      </w:tr>
      <w:tr>
        <w:trPr>
          <w:cantSplit/>
        </w:trPr>
        <w:tc>
          <w:tcPr>
            <w:tcW w:type="dxa" w:w="1656"/>
            <w:vAlign w:val="center"/>
            <w:tcMar>
              <w:top w:w="95" w:type="dxa"/>
              <w:left w:w="95" w:type="dxa"/>
              <w:bottom w:w="95" w:type="dxa"/>
              <w:right w:w="95" w:type="dxa"/>
            </w:tcMar>
            <w:shd w:fill="F1F5F7"/>
          </w:tcPr>
          <w:p>
            <w:pPr>
              <w:spacing w:after="40" w:before="40" w:line="240" w:lineRule="auto"/>
            </w:pPr>
            <w:r>
              <w:rPr>
                <w:b w:val="0"/>
                <w:color w:val="000000"/>
                <w:sz w:val="21"/>
              </w:rPr>
              <w:t>D7  Handover record</w:t>
            </w:r>
          </w:p>
        </w:tc>
        <w:tc>
          <w:tcPr>
            <w:tcW w:type="dxa" w:w="4464"/>
            <w:vAlign w:val="center"/>
            <w:tcMar>
              <w:top w:w="95" w:type="dxa"/>
              <w:left w:w="95" w:type="dxa"/>
              <w:bottom w:w="95" w:type="dxa"/>
              <w:right w:w="95" w:type="dxa"/>
            </w:tcMar>
            <w:shd w:fill="F1F5F7"/>
          </w:tcPr>
          <w:p>
            <w:pPr>
              <w:spacing w:after="40" w:before="40" w:line="240" w:lineRule="auto"/>
            </w:pPr>
            <w:r>
              <w:rPr>
                <w:b w:val="0"/>
                <w:color w:val="000000"/>
                <w:sz w:val="21"/>
              </w:rPr>
              <w:t>Release manifest, test results, demonstration record, access transfer, outstanding actions and maintenance agreement.</w:t>
            </w:r>
          </w:p>
        </w:tc>
        <w:tc>
          <w:tcPr>
            <w:tcW w:type="dxa" w:w="3960"/>
            <w:vAlign w:val="center"/>
            <w:tcMar>
              <w:top w:w="95" w:type="dxa"/>
              <w:left w:w="95" w:type="dxa"/>
              <w:bottom w:w="95" w:type="dxa"/>
              <w:right w:w="95" w:type="dxa"/>
            </w:tcMar>
            <w:shd w:fill="F1F5F7"/>
          </w:tcPr>
          <w:p>
            <w:pPr>
              <w:spacing w:after="40" w:before="40" w:line="240" w:lineRule="auto"/>
            </w:pPr>
            <w:r>
              <w:rPr>
                <w:b w:val="0"/>
                <w:color w:val="000000"/>
                <w:sz w:val="21"/>
              </w:rPr>
              <w:t>Stakeholder acceptance or conditional acceptance is recorded with named owners for exceptions.</w:t>
            </w:r>
          </w:p>
        </w:tc>
      </w:tr>
    </w:tbl>
    <w:p>
      <w:pPr>
        <w:spacing w:after="0" w:before="0" w:line="40" w:lineRule="exact"/>
      </w:pPr>
      <w:r>
        <w:rPr>
          <w:sz w:val="4"/>
        </w:rPr>
      </w:r>
    </w:p>
    <w:p>
      <w:pPr>
        <w:pStyle w:val="Heading2"/>
      </w:pPr>
      <w:r>
        <w:t>Routine operation and experimental research</w:t>
      </w:r>
    </w:p>
    <w:p>
      <w:r>
        <w:rPr>
          <w:b w:val="0"/>
        </w:rPr>
        <w:t>Routine operation should support input checks, reconstruction, point-cloud inspection and cleanup, supported traits and explicit manual comparisons, spectral band and pixel inspection, supported fusion and export. Confirm the application entry point for each capability during the release audit.</w:t>
      </w:r>
    </w:p>
    <w:p>
      <w:r>
        <w:rPr>
          <w:b w:val="0"/>
        </w:rPr>
        <w:t>Preserve scripts for experimental registration, dataset-specific investigations and advanced diagnostics. Record their commands, inputs, manual selections and limitations. Saved outputs alone are insufficient where the code or settings needed to reproduce them are missing.</w:t>
      </w:r>
    </w:p>
    <w:p>
      <w:pPr>
        <w:pStyle w:val="Heading1"/>
        <w:pageBreakBefore/>
      </w:pPr>
      <w:r>
        <w:t>Delivery sequence and responsibilities</w:t>
      </w:r>
    </w:p>
    <w:p>
      <w:r>
        <w:rPr>
          <w:b w:val="0"/>
        </w:rPr>
        <w:t>Use the following order, with dates set after the inventory and lab-access check. Reserve an installation session, a witnessed acceptance session and time for at least one repair and retest cycle. The phases below define milestones rather than unconfirmed calendar commitments.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976"/>
        <w:gridCol w:w="2160"/>
      </w:tblGrid>
      <w:tr>
        <w:trPr>
          <w:cantSplit/>
          <w:tblHeader/>
        </w:trPr>
        <w:tc>
          <w:tcPr>
            <w:tcW w:type="dxa" w:w="1944"/>
            <w:vAlign w:val="center"/>
            <w:tcMar>
              <w:top w:w="95" w:type="dxa"/>
              <w:left w:w="95" w:type="dxa"/>
              <w:bottom w:w="95" w:type="dxa"/>
              <w:right w:w="95" w:type="dxa"/>
            </w:tcMar>
            <w:shd w:fill="24445A"/>
          </w:tcPr>
          <w:p>
            <w:pPr>
              <w:spacing w:after="40" w:before="40" w:line="240" w:lineRule="auto"/>
            </w:pPr>
            <w:r>
              <w:rPr>
                <w:b/>
                <w:color w:val="FFFFFF"/>
                <w:sz w:val="21"/>
              </w:rPr>
              <w:t>Stage</w:t>
            </w:r>
          </w:p>
        </w:tc>
        <w:tc>
          <w:tcPr>
            <w:tcW w:type="dxa" w:w="5976"/>
            <w:vAlign w:val="center"/>
            <w:tcMar>
              <w:top w:w="95" w:type="dxa"/>
              <w:left w:w="95" w:type="dxa"/>
              <w:bottom w:w="95" w:type="dxa"/>
              <w:right w:w="95" w:type="dxa"/>
            </w:tcMar>
            <w:shd w:fill="24445A"/>
          </w:tcPr>
          <w:p>
            <w:pPr>
              <w:spacing w:after="40" w:before="40" w:line="240" w:lineRule="auto"/>
            </w:pPr>
            <w:r>
              <w:rPr>
                <w:b/>
                <w:color w:val="FFFFFF"/>
                <w:sz w:val="21"/>
              </w:rPr>
              <w:t>Work and exit condition</w:t>
            </w:r>
          </w:p>
        </w:tc>
        <w:tc>
          <w:tcPr>
            <w:tcW w:type="dxa" w:w="2160"/>
            <w:vAlign w:val="center"/>
            <w:tcMar>
              <w:top w:w="95" w:type="dxa"/>
              <w:left w:w="95" w:type="dxa"/>
              <w:bottom w:w="95" w:type="dxa"/>
              <w:right w:w="95" w:type="dxa"/>
            </w:tcMar>
            <w:shd w:fill="24445A"/>
          </w:tcPr>
          <w:p>
            <w:pPr>
              <w:spacing w:after="40" w:before="40" w:line="240" w:lineRule="auto"/>
            </w:pPr>
            <w:r>
              <w:rPr>
                <w:b/>
                <w:color w:val="FFFFFF"/>
                <w:sz w:val="21"/>
              </w:rPr>
              <w:t>Lead role</w:t>
            </w:r>
          </w:p>
        </w:tc>
      </w:tr>
      <w:tr>
        <w:trPr>
          <w:cantSplit/>
        </w:trPr>
        <w:tc>
          <w:tcPr>
            <w:tcW w:type="dxa" w:w="1944"/>
            <w:vAlign w:val="center"/>
            <w:tcMar>
              <w:top w:w="95" w:type="dxa"/>
              <w:left w:w="95" w:type="dxa"/>
              <w:bottom w:w="95" w:type="dxa"/>
              <w:right w:w="95" w:type="dxa"/>
            </w:tcMar>
            <w:shd w:fill="F1F5F7"/>
          </w:tcPr>
          <w:p>
            <w:pPr>
              <w:spacing w:after="40" w:before="40" w:line="240" w:lineRule="auto"/>
            </w:pPr>
            <w:r>
              <w:rPr>
                <w:b w:val="0"/>
                <w:color w:val="000000"/>
                <w:sz w:val="21"/>
              </w:rPr>
              <w:t>1  Establish the baseline</w:t>
            </w:r>
          </w:p>
        </w:tc>
        <w:tc>
          <w:tcPr>
            <w:tcW w:type="dxa" w:w="5976"/>
            <w:vAlign w:val="center"/>
            <w:tcMar>
              <w:top w:w="95" w:type="dxa"/>
              <w:left w:w="95" w:type="dxa"/>
              <w:bottom w:w="95" w:type="dxa"/>
              <w:right w:w="95" w:type="dxa"/>
            </w:tcMar>
            <w:shd w:fill="F1F5F7"/>
          </w:tcPr>
          <w:p>
            <w:pPr>
              <w:spacing w:after="40" w:before="40" w:line="240" w:lineRule="auto"/>
            </w:pPr>
            <w:r>
              <w:rPr>
                <w:b w:val="0"/>
                <w:color w:val="000000"/>
                <w:sz w:val="21"/>
              </w:rPr>
              <w:t>Record the target machine and hardware, nominate owners and reviewer, confirm archive capacity and agree the acceptance checklist. Exit with a delivery register and booked lab access.</w:t>
            </w:r>
          </w:p>
        </w:tc>
        <w:tc>
          <w:tcPr>
            <w:tcW w:type="dxa" w:w="2160"/>
            <w:vAlign w:val="center"/>
            <w:tcMar>
              <w:top w:w="95" w:type="dxa"/>
              <w:left w:w="95" w:type="dxa"/>
              <w:bottom w:w="95" w:type="dxa"/>
              <w:right w:w="95" w:type="dxa"/>
            </w:tcMar>
            <w:shd w:fill="F1F5F7"/>
          </w:tcPr>
          <w:p>
            <w:pPr>
              <w:spacing w:after="40" w:before="40" w:line="240" w:lineRule="auto"/>
            </w:pPr>
            <w:r>
              <w:rPr>
                <w:b w:val="0"/>
                <w:color w:val="000000"/>
                <w:sz w:val="21"/>
              </w:rPr>
              <w:t>Delivery coordinator</w:t>
            </w:r>
          </w:p>
        </w:tc>
      </w:tr>
      <w:tr>
        <w:trPr>
          <w:cantSplit/>
        </w:trPr>
        <w:tc>
          <w:tcPr>
            <w:tcW w:type="dxa" w:w="1944"/>
            <w:vAlign w:val="center"/>
            <w:tcMar>
              <w:top w:w="95" w:type="dxa"/>
              <w:left w:w="95" w:type="dxa"/>
              <w:bottom w:w="95" w:type="dxa"/>
              <w:right w:w="95" w:type="dxa"/>
            </w:tcMar>
            <w:shd w:fill="FFFFFF"/>
          </w:tcPr>
          <w:p>
            <w:pPr>
              <w:spacing w:after="40" w:before="40" w:line="240" w:lineRule="auto"/>
            </w:pPr>
            <w:r>
              <w:rPr>
                <w:b w:val="0"/>
                <w:color w:val="000000"/>
                <w:sz w:val="21"/>
              </w:rPr>
              <w:t>2  Consolidate the release</w:t>
            </w:r>
          </w:p>
        </w:tc>
        <w:tc>
          <w:tcPr>
            <w:tcW w:type="dxa" w:w="5976"/>
            <w:vAlign w:val="center"/>
            <w:tcMar>
              <w:top w:w="95" w:type="dxa"/>
              <w:left w:w="95" w:type="dxa"/>
              <w:bottom w:w="95" w:type="dxa"/>
              <w:right w:w="95" w:type="dxa"/>
            </w:tcMar>
            <w:shd w:fill="FFFFFF"/>
          </w:tcPr>
          <w:p>
            <w:pPr>
              <w:spacing w:after="40" w:before="40" w:line="240" w:lineRule="auto"/>
            </w:pPr>
            <w:r>
              <w:rPr>
                <w:b w:val="0"/>
                <w:color w:val="000000"/>
                <w:sz w:val="21"/>
              </w:rPr>
              <w:t>Audit the differences between personal forks and stakeholder repositories. Include required scripts and configurations, review changes, run checks and freeze release tags.</w:t>
            </w:r>
          </w:p>
        </w:tc>
        <w:tc>
          <w:tcPr>
            <w:tcW w:type="dxa" w:w="2160"/>
            <w:vAlign w:val="center"/>
            <w:tcMar>
              <w:top w:w="95" w:type="dxa"/>
              <w:left w:w="95" w:type="dxa"/>
              <w:bottom w:w="95" w:type="dxa"/>
              <w:right w:w="95" w:type="dxa"/>
            </w:tcMar>
            <w:shd w:fill="FFFFFF"/>
          </w:tcPr>
          <w:p>
            <w:pPr>
              <w:spacing w:after="40" w:before="40" w:line="240" w:lineRule="auto"/>
            </w:pPr>
            <w:r>
              <w:rPr>
                <w:b w:val="0"/>
                <w:color w:val="000000"/>
                <w:sz w:val="21"/>
              </w:rPr>
              <w:t>Software lead</w:t>
            </w:r>
          </w:p>
        </w:tc>
      </w:tr>
      <w:tr>
        <w:trPr>
          <w:cantSplit/>
        </w:trPr>
        <w:tc>
          <w:tcPr>
            <w:tcW w:type="dxa" w:w="1944"/>
            <w:vAlign w:val="center"/>
            <w:tcMar>
              <w:top w:w="95" w:type="dxa"/>
              <w:left w:w="95" w:type="dxa"/>
              <w:bottom w:w="95" w:type="dxa"/>
              <w:right w:w="95" w:type="dxa"/>
            </w:tcMar>
            <w:shd w:fill="F1F5F7"/>
          </w:tcPr>
          <w:p>
            <w:pPr>
              <w:spacing w:after="40" w:before="40" w:line="240" w:lineRule="auto"/>
            </w:pPr>
            <w:r>
              <w:rPr>
                <w:b w:val="0"/>
                <w:color w:val="000000"/>
                <w:sz w:val="21"/>
              </w:rPr>
              <w:t>3  Assemble the archive</w:t>
            </w:r>
          </w:p>
        </w:tc>
        <w:tc>
          <w:tcPr>
            <w:tcW w:type="dxa" w:w="5976"/>
            <w:vAlign w:val="center"/>
            <w:tcMar>
              <w:top w:w="95" w:type="dxa"/>
              <w:left w:w="95" w:type="dxa"/>
              <w:bottom w:w="95" w:type="dxa"/>
              <w:right w:w="95" w:type="dxa"/>
            </w:tcMar>
            <w:shd w:fill="F1F5F7"/>
          </w:tcPr>
          <w:p>
            <w:pPr>
              <w:spacing w:after="40" w:before="40" w:line="240" w:lineRule="auto"/>
            </w:pPr>
            <w:r>
              <w:rPr>
                <w:b w:val="0"/>
                <w:color w:val="000000"/>
                <w:sz w:val="21"/>
              </w:rPr>
              <w:t>Inventory originals and outputs; label intermediate, final and superseded results. Record checksums and lineage. Verify the delivered copy and a recovery copy.</w:t>
            </w:r>
          </w:p>
        </w:tc>
        <w:tc>
          <w:tcPr>
            <w:tcW w:type="dxa" w:w="2160"/>
            <w:vAlign w:val="center"/>
            <w:tcMar>
              <w:top w:w="95" w:type="dxa"/>
              <w:left w:w="95" w:type="dxa"/>
              <w:bottom w:w="95" w:type="dxa"/>
              <w:right w:w="95" w:type="dxa"/>
            </w:tcMar>
            <w:shd w:fill="F1F5F7"/>
          </w:tcPr>
          <w:p>
            <w:pPr>
              <w:spacing w:after="40" w:before="40" w:line="240" w:lineRule="auto"/>
            </w:pPr>
            <w:r>
              <w:rPr>
                <w:b w:val="0"/>
                <w:color w:val="000000"/>
                <w:sz w:val="21"/>
              </w:rPr>
              <w:t>Data and results lead</w:t>
            </w:r>
          </w:p>
        </w:tc>
      </w:tr>
      <w:tr>
        <w:trPr>
          <w:cantSplit/>
        </w:trPr>
        <w:tc>
          <w:tcPr>
            <w:tcW w:type="dxa" w:w="1944"/>
            <w:vAlign w:val="center"/>
            <w:tcMar>
              <w:top w:w="95" w:type="dxa"/>
              <w:left w:w="95" w:type="dxa"/>
              <w:bottom w:w="95" w:type="dxa"/>
              <w:right w:w="95" w:type="dxa"/>
            </w:tcMar>
            <w:shd w:fill="FFFFFF"/>
          </w:tcPr>
          <w:p>
            <w:pPr>
              <w:spacing w:after="40" w:before="40" w:line="240" w:lineRule="auto"/>
            </w:pPr>
            <w:r>
              <w:rPr>
                <w:b w:val="0"/>
                <w:color w:val="000000"/>
                <w:sz w:val="21"/>
              </w:rPr>
              <w:t>4  Package and test</w:t>
            </w:r>
          </w:p>
        </w:tc>
        <w:tc>
          <w:tcPr>
            <w:tcW w:type="dxa" w:w="5976"/>
            <w:vAlign w:val="center"/>
            <w:tcMar>
              <w:top w:w="95" w:type="dxa"/>
              <w:left w:w="95" w:type="dxa"/>
              <w:bottom w:w="95" w:type="dxa"/>
              <w:right w:w="95" w:type="dxa"/>
            </w:tcMar>
            <w:shd w:fill="FFFFFF"/>
          </w:tcPr>
          <w:p>
            <w:pPr>
              <w:spacing w:after="40" w:before="40" w:line="240" w:lineRule="auto"/>
            </w:pPr>
            <w:r>
              <w:rPr>
                <w:b w:val="0"/>
                <w:color w:val="000000"/>
                <w:sz w:val="21"/>
              </w:rPr>
              <w:t>Build and export the container, document host integration and execute the lab acceptance checklist. Repair failures and repeat affected checks.</w:t>
            </w:r>
          </w:p>
        </w:tc>
        <w:tc>
          <w:tcPr>
            <w:tcW w:type="dxa" w:w="2160"/>
            <w:vAlign w:val="center"/>
            <w:tcMar>
              <w:top w:w="95" w:type="dxa"/>
              <w:left w:w="95" w:type="dxa"/>
              <w:bottom w:w="95" w:type="dxa"/>
              <w:right w:w="95" w:type="dxa"/>
            </w:tcMar>
            <w:shd w:fill="FFFFFF"/>
          </w:tcPr>
          <w:p>
            <w:pPr>
              <w:spacing w:after="40" w:before="40" w:line="240" w:lineRule="auto"/>
            </w:pPr>
            <w:r>
              <w:rPr>
                <w:b w:val="0"/>
                <w:color w:val="000000"/>
                <w:sz w:val="21"/>
              </w:rPr>
              <w:t>Software and test leads</w:t>
            </w:r>
          </w:p>
        </w:tc>
      </w:tr>
      <w:tr>
        <w:trPr>
          <w:cantSplit/>
        </w:trPr>
        <w:tc>
          <w:tcPr>
            <w:tcW w:type="dxa" w:w="1944"/>
            <w:vAlign w:val="center"/>
            <w:tcMar>
              <w:top w:w="95" w:type="dxa"/>
              <w:left w:w="95" w:type="dxa"/>
              <w:bottom w:w="95" w:type="dxa"/>
              <w:right w:w="95" w:type="dxa"/>
            </w:tcMar>
            <w:shd w:fill="F1F5F7"/>
          </w:tcPr>
          <w:p>
            <w:pPr>
              <w:spacing w:after="40" w:before="40" w:line="240" w:lineRule="auto"/>
            </w:pPr>
            <w:r>
              <w:rPr>
                <w:b w:val="0"/>
                <w:color w:val="000000"/>
                <w:sz w:val="21"/>
              </w:rPr>
              <w:t>5  Complete the handover material</w:t>
            </w:r>
          </w:p>
        </w:tc>
        <w:tc>
          <w:tcPr>
            <w:tcW w:type="dxa" w:w="5976"/>
            <w:vAlign w:val="center"/>
            <w:tcMar>
              <w:top w:w="95" w:type="dxa"/>
              <w:left w:w="95" w:type="dxa"/>
              <w:bottom w:w="95" w:type="dxa"/>
              <w:right w:w="95" w:type="dxa"/>
            </w:tcMar>
            <w:shd w:fill="F1F5F7"/>
          </w:tcPr>
          <w:p>
            <w:pPr>
              <w:spacing w:after="40" w:before="40" w:line="240" w:lineRule="auto"/>
            </w:pPr>
            <w:r>
              <w:rPr>
                <w:b w:val="0"/>
                <w:color w:val="000000"/>
                <w:sz w:val="21"/>
              </w:rPr>
              <w:t>Finish guides and reproduction records, verify the website and offline report access, and confirm repository and storage access.</w:t>
            </w:r>
          </w:p>
        </w:tc>
        <w:tc>
          <w:tcPr>
            <w:tcW w:type="dxa" w:w="2160"/>
            <w:vAlign w:val="center"/>
            <w:tcMar>
              <w:top w:w="95" w:type="dxa"/>
              <w:left w:w="95" w:type="dxa"/>
              <w:bottom w:w="95" w:type="dxa"/>
              <w:right w:w="95" w:type="dxa"/>
            </w:tcMar>
            <w:shd w:fill="F1F5F7"/>
          </w:tcPr>
          <w:p>
            <w:pPr>
              <w:spacing w:after="40" w:before="40" w:line="240" w:lineRule="auto"/>
            </w:pPr>
            <w:r>
              <w:rPr>
                <w:b w:val="0"/>
                <w:color w:val="000000"/>
                <w:sz w:val="21"/>
              </w:rPr>
              <w:t>Documentation lead</w:t>
            </w:r>
          </w:p>
        </w:tc>
      </w:tr>
      <w:tr>
        <w:trPr>
          <w:cantSplit/>
        </w:trPr>
        <w:tc>
          <w:tcPr>
            <w:tcW w:type="dxa" w:w="1944"/>
            <w:vAlign w:val="center"/>
            <w:tcMar>
              <w:top w:w="95" w:type="dxa"/>
              <w:left w:w="95" w:type="dxa"/>
              <w:bottom w:w="95" w:type="dxa"/>
              <w:right w:w="95" w:type="dxa"/>
            </w:tcMar>
            <w:shd w:fill="FFFFFF"/>
          </w:tcPr>
          <w:p>
            <w:pPr>
              <w:spacing w:after="40" w:before="40" w:line="240" w:lineRule="auto"/>
            </w:pPr>
            <w:r>
              <w:rPr>
                <w:b w:val="0"/>
                <w:color w:val="000000"/>
                <w:sz w:val="21"/>
              </w:rPr>
              <w:t>6  Demonstrate and close</w:t>
            </w:r>
          </w:p>
        </w:tc>
        <w:tc>
          <w:tcPr>
            <w:tcW w:type="dxa" w:w="5976"/>
            <w:vAlign w:val="center"/>
            <w:tcMar>
              <w:top w:w="95" w:type="dxa"/>
              <w:left w:w="95" w:type="dxa"/>
              <w:bottom w:w="95" w:type="dxa"/>
              <w:right w:w="95" w:type="dxa"/>
            </w:tcMar>
            <w:shd w:fill="FFFFFF"/>
          </w:tcPr>
          <w:p>
            <w:pPr>
              <w:spacing w:after="40" w:before="40" w:line="240" w:lineRule="auto"/>
            </w:pPr>
            <w:r>
              <w:rPr>
                <w:b w:val="0"/>
                <w:color w:val="000000"/>
                <w:sz w:val="21"/>
              </w:rPr>
              <w:t>Have the stakeholder or nominated operator follow the quick start. Record acceptance, exceptions, release locations and future maintenance responsibility.</w:t>
            </w:r>
          </w:p>
        </w:tc>
        <w:tc>
          <w:tcPr>
            <w:tcW w:type="dxa" w:w="2160"/>
            <w:vAlign w:val="center"/>
            <w:tcMar>
              <w:top w:w="95" w:type="dxa"/>
              <w:left w:w="95" w:type="dxa"/>
              <w:bottom w:w="95" w:type="dxa"/>
              <w:right w:w="95" w:type="dxa"/>
            </w:tcMar>
            <w:shd w:fill="FFFFFF"/>
          </w:tcPr>
          <w:p>
            <w:pPr>
              <w:spacing w:after="40" w:before="40" w:line="240" w:lineRule="auto"/>
            </w:pPr>
            <w:r>
              <w:rPr>
                <w:b w:val="0"/>
                <w:color w:val="000000"/>
                <w:sz w:val="21"/>
              </w:rPr>
              <w:t>Coordinator and reviewer</w:t>
            </w:r>
          </w:p>
        </w:tc>
      </w:tr>
    </w:tbl>
    <w:p>
      <w:pPr>
        <w:spacing w:after="0" w:before="0" w:line="40" w:lineRule="exact"/>
      </w:pPr>
      <w:r>
        <w:rPr>
          <w:sz w:val="4"/>
        </w:rPr>
      </w:r>
    </w:p>
    <w:p>
      <w:pPr>
        <w:pStyle w:val="Heading2"/>
      </w:pPr>
      <w:r>
        <w:t>Role allocation</w:t>
      </w:r>
    </w:p>
    <w:p>
      <w:r>
        <w:rPr>
          <w:b w:val="0"/>
        </w:rPr>
        <w:t>Allocate four workstream responsibilities across the team: software and container packaging; data and results; documentation and website; and laboratory testing. Give each workstream one named owner and a different reviewer. A team member may also act as delivery coordinator.</w:t>
      </w:r>
    </w:p>
    <w:p>
      <w:r>
        <w:rPr>
          <w:b w:val="0"/>
        </w:rPr>
        <w:t>The stakeholder or nominated lab operator is the acceptance reviewer. The repository or institutional administrator confirms access and ownership. Names and dates must be entered in the final handover record; this plan does not assign work retrospectively.</w:t>
      </w:r>
    </w:p>
    <w:p>
      <w:pPr>
        <w:pStyle w:val="Heading2"/>
      </w:pPr>
      <w:r>
        <w:t>Change control</w:t>
      </w:r>
    </w:p>
    <w:p>
      <w:r>
        <w:rPr>
          <w:b w:val="0"/>
        </w:rPr>
        <w:t>After the release freeze, record each change with its reason and affected acceptance checks. Rebuild and retest the affected deliverables, then update the release manifest. Retain the previous usable release and its recovery instructions.</w:t>
      </w:r>
    </w:p>
    <w:p>
      <w:pPr>
        <w:pStyle w:val="Heading1"/>
        <w:pageBreakBefore/>
      </w:pPr>
      <w:r>
        <w:t>Laboratory acceptance checklist</w:t>
      </w:r>
    </w:p>
    <w:p>
      <w:r>
        <w:rPr>
          <w:b w:val="0"/>
        </w:rPr>
        <w:t>Run these checks against the delivered release on the primary lab machine. Record the release ID, machine configuration, operator, date, input dataset, expected outcome, actual outcome and evidence location. Use Pass, Fail, Not tested or Accepted exception; no item is pre-approved by this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448"/>
        <w:gridCol w:w="6840"/>
      </w:tblGrid>
      <w:tr>
        <w:trPr>
          <w:cantSplit/>
          <w:tblHeader/>
        </w:trPr>
        <w:tc>
          <w:tcPr>
            <w:tcW w:type="dxa" w:w="792"/>
            <w:vAlign w:val="center"/>
            <w:tcMar>
              <w:top w:w="95" w:type="dxa"/>
              <w:left w:w="95" w:type="dxa"/>
              <w:bottom w:w="95" w:type="dxa"/>
              <w:right w:w="95" w:type="dxa"/>
            </w:tcMar>
            <w:shd w:fill="24445A"/>
          </w:tcPr>
          <w:p>
            <w:pPr>
              <w:spacing w:after="40" w:before="40" w:line="240" w:lineRule="auto"/>
            </w:pPr>
            <w:r>
              <w:rPr>
                <w:b/>
                <w:color w:val="FFFFFF"/>
                <w:sz w:val="21"/>
              </w:rPr>
              <w:t>ID</w:t>
            </w:r>
          </w:p>
        </w:tc>
        <w:tc>
          <w:tcPr>
            <w:tcW w:type="dxa" w:w="2448"/>
            <w:vAlign w:val="center"/>
            <w:tcMar>
              <w:top w:w="95" w:type="dxa"/>
              <w:left w:w="95" w:type="dxa"/>
              <w:bottom w:w="95" w:type="dxa"/>
              <w:right w:w="95" w:type="dxa"/>
            </w:tcMar>
            <w:shd w:fill="24445A"/>
          </w:tcPr>
          <w:p>
            <w:pPr>
              <w:spacing w:after="40" w:before="40" w:line="240" w:lineRule="auto"/>
            </w:pPr>
            <w:r>
              <w:rPr>
                <w:b/>
                <w:color w:val="FFFFFF"/>
                <w:sz w:val="21"/>
              </w:rPr>
              <w:t>Demonstration or test</w:t>
            </w:r>
          </w:p>
        </w:tc>
        <w:tc>
          <w:tcPr>
            <w:tcW w:type="dxa" w:w="6840"/>
            <w:vAlign w:val="center"/>
            <w:tcMar>
              <w:top w:w="95" w:type="dxa"/>
              <w:left w:w="95" w:type="dxa"/>
              <w:bottom w:w="95" w:type="dxa"/>
              <w:right w:w="95" w:type="dxa"/>
            </w:tcMar>
            <w:shd w:fill="24445A"/>
          </w:tcPr>
          <w:p>
            <w:pPr>
              <w:spacing w:after="40" w:before="40" w:line="240" w:lineRule="auto"/>
            </w:pPr>
            <w:r>
              <w:rPr>
                <w:b/>
                <w:color w:val="FFFFFF"/>
                <w:sz w:val="21"/>
              </w:rPr>
              <w:t>Required outcome</w:t>
            </w:r>
          </w:p>
        </w:tc>
      </w:tr>
      <w:tr>
        <w:trPr>
          <w:cantSplit/>
        </w:trPr>
        <w:tc>
          <w:tcPr>
            <w:tcW w:type="dxa" w:w="792"/>
            <w:vAlign w:val="center"/>
            <w:tcMar>
              <w:top w:w="95" w:type="dxa"/>
              <w:left w:w="95" w:type="dxa"/>
              <w:bottom w:w="95" w:type="dxa"/>
              <w:right w:w="95" w:type="dxa"/>
            </w:tcMar>
            <w:shd w:fill="F1F5F7"/>
          </w:tcPr>
          <w:p>
            <w:pPr>
              <w:spacing w:after="40" w:before="40" w:line="240" w:lineRule="auto"/>
            </w:pPr>
            <w:r>
              <w:rPr>
                <w:b w:val="0"/>
                <w:color w:val="000000"/>
                <w:sz w:val="21"/>
              </w:rPr>
              <w:t>A01</w:t>
            </w:r>
          </w:p>
        </w:tc>
        <w:tc>
          <w:tcPr>
            <w:tcW w:type="dxa" w:w="2448"/>
            <w:vAlign w:val="center"/>
            <w:tcMar>
              <w:top w:w="95" w:type="dxa"/>
              <w:left w:w="95" w:type="dxa"/>
              <w:bottom w:w="95" w:type="dxa"/>
              <w:right w:w="95" w:type="dxa"/>
            </w:tcMar>
            <w:shd w:fill="F1F5F7"/>
          </w:tcPr>
          <w:p>
            <w:pPr>
              <w:spacing w:after="40" w:before="40" w:line="240" w:lineRule="auto"/>
            </w:pPr>
            <w:r>
              <w:rPr>
                <w:b w:val="0"/>
                <w:color w:val="000000"/>
                <w:sz w:val="21"/>
              </w:rPr>
              <w:t>Install and launch</w:t>
            </w:r>
          </w:p>
        </w:tc>
        <w:tc>
          <w:tcPr>
            <w:tcW w:type="dxa" w:w="6840"/>
            <w:vAlign w:val="center"/>
            <w:tcMar>
              <w:top w:w="95" w:type="dxa"/>
              <w:left w:w="95" w:type="dxa"/>
              <w:bottom w:w="95" w:type="dxa"/>
              <w:right w:w="95" w:type="dxa"/>
            </w:tcMar>
            <w:shd w:fill="F1F5F7"/>
          </w:tcPr>
          <w:p>
            <w:pPr>
              <w:spacing w:after="40" w:before="40" w:line="240" w:lineRule="auto"/>
            </w:pPr>
            <w:r>
              <w:rPr>
                <w:b w:val="0"/>
                <w:color w:val="000000"/>
                <w:sz w:val="21"/>
              </w:rPr>
              <w:t>A new installation starts from the supplied instructions and container image.</w:t>
            </w:r>
          </w:p>
        </w:tc>
      </w:tr>
      <w:tr>
        <w:trPr>
          <w:cantSplit/>
        </w:trPr>
        <w:tc>
          <w:tcPr>
            <w:tcW w:type="dxa" w:w="792"/>
            <w:vAlign w:val="center"/>
            <w:tcMar>
              <w:top w:w="95" w:type="dxa"/>
              <w:left w:w="95" w:type="dxa"/>
              <w:bottom w:w="95" w:type="dxa"/>
              <w:right w:w="95" w:type="dxa"/>
            </w:tcMar>
            <w:shd w:fill="FFFFFF"/>
          </w:tcPr>
          <w:p>
            <w:pPr>
              <w:spacing w:after="40" w:before="40" w:line="240" w:lineRule="auto"/>
            </w:pPr>
            <w:r>
              <w:rPr>
                <w:b w:val="0"/>
                <w:color w:val="000000"/>
                <w:sz w:val="21"/>
              </w:rPr>
              <w:t>A02</w:t>
            </w:r>
          </w:p>
        </w:tc>
        <w:tc>
          <w:tcPr>
            <w:tcW w:type="dxa" w:w="2448"/>
            <w:vAlign w:val="center"/>
            <w:tcMar>
              <w:top w:w="95" w:type="dxa"/>
              <w:left w:w="95" w:type="dxa"/>
              <w:bottom w:w="95" w:type="dxa"/>
              <w:right w:w="95" w:type="dxa"/>
            </w:tcMar>
            <w:shd w:fill="FFFFFF"/>
          </w:tcPr>
          <w:p>
            <w:pPr>
              <w:spacing w:after="40" w:before="40" w:line="240" w:lineRule="auto"/>
            </w:pPr>
            <w:r>
              <w:rPr>
                <w:b w:val="0"/>
                <w:color w:val="000000"/>
                <w:sz w:val="21"/>
              </w:rPr>
              <w:t>Camera capture</w:t>
            </w:r>
          </w:p>
        </w:tc>
        <w:tc>
          <w:tcPr>
            <w:tcW w:type="dxa" w:w="6840"/>
            <w:vAlign w:val="center"/>
            <w:tcMar>
              <w:top w:w="95" w:type="dxa"/>
              <w:left w:w="95" w:type="dxa"/>
              <w:bottom w:w="95" w:type="dxa"/>
              <w:right w:w="95" w:type="dxa"/>
            </w:tcMar>
            <w:shd w:fill="FFFFFF"/>
          </w:tcPr>
          <w:p>
            <w:pPr>
              <w:spacing w:after="40" w:before="40" w:line="240" w:lineRule="auto"/>
            </w:pPr>
            <w:r>
              <w:rPr>
                <w:b w:val="0"/>
                <w:color w:val="000000"/>
                <w:sz w:val="21"/>
              </w:rPr>
              <w:t>Each claimed live camera path detects the device and saves readable recordings with available metadata.</w:t>
            </w:r>
          </w:p>
        </w:tc>
      </w:tr>
      <w:tr>
        <w:trPr>
          <w:cantSplit/>
        </w:trPr>
        <w:tc>
          <w:tcPr>
            <w:tcW w:type="dxa" w:w="792"/>
            <w:vAlign w:val="center"/>
            <w:tcMar>
              <w:top w:w="95" w:type="dxa"/>
              <w:left w:w="95" w:type="dxa"/>
              <w:bottom w:w="95" w:type="dxa"/>
              <w:right w:w="95" w:type="dxa"/>
            </w:tcMar>
            <w:shd w:fill="F1F5F7"/>
          </w:tcPr>
          <w:p>
            <w:pPr>
              <w:spacing w:after="40" w:before="40" w:line="240" w:lineRule="auto"/>
            </w:pPr>
            <w:r>
              <w:rPr>
                <w:b w:val="0"/>
                <w:color w:val="000000"/>
                <w:sz w:val="21"/>
              </w:rPr>
              <w:t>A03</w:t>
            </w:r>
          </w:p>
        </w:tc>
        <w:tc>
          <w:tcPr>
            <w:tcW w:type="dxa" w:w="2448"/>
            <w:vAlign w:val="center"/>
            <w:tcMar>
              <w:top w:w="95" w:type="dxa"/>
              <w:left w:w="95" w:type="dxa"/>
              <w:bottom w:w="95" w:type="dxa"/>
              <w:right w:w="95" w:type="dxa"/>
            </w:tcMar>
            <w:shd w:fill="F1F5F7"/>
          </w:tcPr>
          <w:p>
            <w:pPr>
              <w:spacing w:after="40" w:before="40" w:line="240" w:lineRule="auto"/>
            </w:pPr>
            <w:r>
              <w:rPr>
                <w:b w:val="0"/>
                <w:color w:val="000000"/>
                <w:sz w:val="21"/>
              </w:rPr>
              <w:t>Gantry operation</w:t>
            </w:r>
          </w:p>
        </w:tc>
        <w:tc>
          <w:tcPr>
            <w:tcW w:type="dxa" w:w="6840"/>
            <w:vAlign w:val="center"/>
            <w:tcMar>
              <w:top w:w="95" w:type="dxa"/>
              <w:left w:w="95" w:type="dxa"/>
              <w:bottom w:w="95" w:type="dxa"/>
              <w:right w:w="95" w:type="dxa"/>
            </w:tcMar>
            <w:shd w:fill="F1F5F7"/>
          </w:tcPr>
          <w:p>
            <w:pPr>
              <w:spacing w:after="40" w:before="40" w:line="240" w:lineRule="auto"/>
            </w:pPr>
            <w:r>
              <w:rPr>
                <w:b w:val="0"/>
                <w:color w:val="000000"/>
                <w:sz w:val="21"/>
              </w:rPr>
              <w:t>Movement, normal stopping and the established lab safety procedure pass under operator supervision.</w:t>
            </w:r>
          </w:p>
        </w:tc>
      </w:tr>
      <w:tr>
        <w:trPr>
          <w:cantSplit/>
        </w:trPr>
        <w:tc>
          <w:tcPr>
            <w:tcW w:type="dxa" w:w="792"/>
            <w:vAlign w:val="center"/>
            <w:tcMar>
              <w:top w:w="95" w:type="dxa"/>
              <w:left w:w="95" w:type="dxa"/>
              <w:bottom w:w="95" w:type="dxa"/>
              <w:right w:w="95" w:type="dxa"/>
            </w:tcMar>
            <w:shd w:fill="FFFFFF"/>
          </w:tcPr>
          <w:p>
            <w:pPr>
              <w:spacing w:after="40" w:before="40" w:line="240" w:lineRule="auto"/>
            </w:pPr>
            <w:r>
              <w:rPr>
                <w:b w:val="0"/>
                <w:color w:val="000000"/>
                <w:sz w:val="21"/>
              </w:rPr>
              <w:t>A04</w:t>
            </w:r>
          </w:p>
        </w:tc>
        <w:tc>
          <w:tcPr>
            <w:tcW w:type="dxa" w:w="2448"/>
            <w:vAlign w:val="center"/>
            <w:tcMar>
              <w:top w:w="95" w:type="dxa"/>
              <w:left w:w="95" w:type="dxa"/>
              <w:bottom w:w="95" w:type="dxa"/>
              <w:right w:w="95" w:type="dxa"/>
            </w:tcMar>
            <w:shd w:fill="FFFFFF"/>
          </w:tcPr>
          <w:p>
            <w:pPr>
              <w:spacing w:after="40" w:before="40" w:line="240" w:lineRule="auto"/>
            </w:pPr>
            <w:r>
              <w:rPr>
                <w:b w:val="0"/>
                <w:color w:val="000000"/>
                <w:sz w:val="21"/>
              </w:rPr>
              <w:t>Input integrity</w:t>
            </w:r>
          </w:p>
        </w:tc>
        <w:tc>
          <w:tcPr>
            <w:tcW w:type="dxa" w:w="6840"/>
            <w:vAlign w:val="center"/>
            <w:tcMar>
              <w:top w:w="95" w:type="dxa"/>
              <w:left w:w="95" w:type="dxa"/>
              <w:bottom w:w="95" w:type="dxa"/>
              <w:right w:w="95" w:type="dxa"/>
            </w:tcMar>
            <w:shd w:fill="FFFFFF"/>
          </w:tcPr>
          <w:p>
            <w:pPr>
              <w:spacing w:after="40" w:before="40" w:line="240" w:lineRule="auto"/>
            </w:pPr>
            <w:r>
              <w:rPr>
                <w:b w:val="0"/>
                <w:color w:val="000000"/>
                <w:sz w:val="21"/>
              </w:rPr>
              <w:t>Valid recordings open; missing pairs, absent metadata and invalid paths produce actionable messages.</w:t>
            </w:r>
          </w:p>
        </w:tc>
      </w:tr>
      <w:tr>
        <w:trPr>
          <w:cantSplit/>
        </w:trPr>
        <w:tc>
          <w:tcPr>
            <w:tcW w:type="dxa" w:w="792"/>
            <w:vAlign w:val="center"/>
            <w:tcMar>
              <w:top w:w="95" w:type="dxa"/>
              <w:left w:w="95" w:type="dxa"/>
              <w:bottom w:w="95" w:type="dxa"/>
              <w:right w:w="95" w:type="dxa"/>
            </w:tcMar>
            <w:shd w:fill="F1F5F7"/>
          </w:tcPr>
          <w:p>
            <w:pPr>
              <w:spacing w:after="40" w:before="40" w:line="240" w:lineRule="auto"/>
            </w:pPr>
            <w:r>
              <w:rPr>
                <w:b w:val="0"/>
                <w:color w:val="000000"/>
                <w:sz w:val="21"/>
              </w:rPr>
              <w:t>A05</w:t>
            </w:r>
          </w:p>
        </w:tc>
        <w:tc>
          <w:tcPr>
            <w:tcW w:type="dxa" w:w="2448"/>
            <w:vAlign w:val="center"/>
            <w:tcMar>
              <w:top w:w="95" w:type="dxa"/>
              <w:left w:w="95" w:type="dxa"/>
              <w:bottom w:w="95" w:type="dxa"/>
              <w:right w:w="95" w:type="dxa"/>
            </w:tcMar>
            <w:shd w:fill="F1F5F7"/>
          </w:tcPr>
          <w:p>
            <w:pPr>
              <w:spacing w:after="40" w:before="40" w:line="240" w:lineRule="auto"/>
            </w:pPr>
            <w:r>
              <w:rPr>
                <w:b w:val="0"/>
                <w:color w:val="000000"/>
                <w:sz w:val="21"/>
              </w:rPr>
              <w:t>Reconstruction and cleanup</w:t>
            </w:r>
          </w:p>
        </w:tc>
        <w:tc>
          <w:tcPr>
            <w:tcW w:type="dxa" w:w="6840"/>
            <w:vAlign w:val="center"/>
            <w:tcMar>
              <w:top w:w="95" w:type="dxa"/>
              <w:left w:w="95" w:type="dxa"/>
              <w:bottom w:w="95" w:type="dxa"/>
              <w:right w:w="95" w:type="dxa"/>
            </w:tcMar>
            <w:shd w:fill="F1F5F7"/>
          </w:tcPr>
          <w:p>
            <w:pPr>
              <w:spacing w:after="40" w:before="40" w:line="240" w:lineRule="auto"/>
            </w:pPr>
            <w:r>
              <w:rPr>
                <w:b w:val="0"/>
                <w:color w:val="000000"/>
                <w:sz w:val="21"/>
              </w:rPr>
              <w:t>An agreed reference dataset produces an inspectable cloud and documented cleanup output; exclusions remain traceable.</w:t>
            </w:r>
          </w:p>
        </w:tc>
      </w:tr>
      <w:tr>
        <w:trPr>
          <w:cantSplit/>
        </w:trPr>
        <w:tc>
          <w:tcPr>
            <w:tcW w:type="dxa" w:w="792"/>
            <w:vAlign w:val="center"/>
            <w:tcMar>
              <w:top w:w="95" w:type="dxa"/>
              <w:left w:w="95" w:type="dxa"/>
              <w:bottom w:w="95" w:type="dxa"/>
              <w:right w:w="95" w:type="dxa"/>
            </w:tcMar>
            <w:shd w:fill="FFFFFF"/>
          </w:tcPr>
          <w:p>
            <w:pPr>
              <w:spacing w:after="40" w:before="40" w:line="240" w:lineRule="auto"/>
            </w:pPr>
            <w:r>
              <w:rPr>
                <w:b w:val="0"/>
                <w:color w:val="000000"/>
                <w:sz w:val="21"/>
              </w:rPr>
              <w:t>A06</w:t>
            </w:r>
          </w:p>
        </w:tc>
        <w:tc>
          <w:tcPr>
            <w:tcW w:type="dxa" w:w="2448"/>
            <w:vAlign w:val="center"/>
            <w:tcMar>
              <w:top w:w="95" w:type="dxa"/>
              <w:left w:w="95" w:type="dxa"/>
              <w:bottom w:w="95" w:type="dxa"/>
              <w:right w:w="95" w:type="dxa"/>
            </w:tcMar>
            <w:shd w:fill="FFFFFF"/>
          </w:tcPr>
          <w:p>
            <w:pPr>
              <w:spacing w:after="40" w:before="40" w:line="240" w:lineRule="auto"/>
            </w:pPr>
            <w:r>
              <w:rPr>
                <w:b w:val="0"/>
                <w:color w:val="000000"/>
                <w:sz w:val="21"/>
              </w:rPr>
              <w:t>Traits and manual comparison</w:t>
            </w:r>
          </w:p>
        </w:tc>
        <w:tc>
          <w:tcPr>
            <w:tcW w:type="dxa" w:w="6840"/>
            <w:vAlign w:val="center"/>
            <w:tcMar>
              <w:top w:w="95" w:type="dxa"/>
              <w:left w:w="95" w:type="dxa"/>
              <w:bottom w:w="95" w:type="dxa"/>
              <w:right w:w="95" w:type="dxa"/>
            </w:tcMar>
            <w:shd w:fill="FFFFFF"/>
          </w:tcPr>
          <w:p>
            <w:pPr>
              <w:spacing w:after="40" w:before="40" w:line="240" w:lineRule="auto"/>
            </w:pPr>
            <w:r>
              <w:rPr>
                <w:b w:val="0"/>
                <w:color w:val="000000"/>
                <w:sz w:val="21"/>
              </w:rPr>
              <w:t>Supported traits export with units and definitions. Compared specimens and organs, manual endpoints and limitations are explicit.</w:t>
            </w:r>
          </w:p>
        </w:tc>
      </w:tr>
      <w:tr>
        <w:trPr>
          <w:cantSplit/>
        </w:trPr>
        <w:tc>
          <w:tcPr>
            <w:tcW w:type="dxa" w:w="792"/>
            <w:vAlign w:val="center"/>
            <w:tcMar>
              <w:top w:w="95" w:type="dxa"/>
              <w:left w:w="95" w:type="dxa"/>
              <w:bottom w:w="95" w:type="dxa"/>
              <w:right w:w="95" w:type="dxa"/>
            </w:tcMar>
            <w:shd w:fill="F1F5F7"/>
          </w:tcPr>
          <w:p>
            <w:pPr>
              <w:spacing w:after="40" w:before="40" w:line="240" w:lineRule="auto"/>
            </w:pPr>
            <w:r>
              <w:rPr>
                <w:b w:val="0"/>
                <w:color w:val="000000"/>
                <w:sz w:val="21"/>
              </w:rPr>
              <w:t>A07</w:t>
            </w:r>
          </w:p>
        </w:tc>
        <w:tc>
          <w:tcPr>
            <w:tcW w:type="dxa" w:w="2448"/>
            <w:vAlign w:val="center"/>
            <w:tcMar>
              <w:top w:w="95" w:type="dxa"/>
              <w:left w:w="95" w:type="dxa"/>
              <w:bottom w:w="95" w:type="dxa"/>
              <w:right w:w="95" w:type="dxa"/>
            </w:tcMar>
            <w:shd w:fill="F1F5F7"/>
          </w:tcPr>
          <w:p>
            <w:pPr>
              <w:spacing w:after="40" w:before="40" w:line="240" w:lineRule="auto"/>
            </w:pPr>
            <w:r>
              <w:rPr>
                <w:b w:val="0"/>
                <w:color w:val="000000"/>
                <w:sz w:val="21"/>
              </w:rPr>
              <w:t>Spectral inspection</w:t>
            </w:r>
          </w:p>
        </w:tc>
        <w:tc>
          <w:tcPr>
            <w:tcW w:type="dxa" w:w="6840"/>
            <w:vAlign w:val="center"/>
            <w:tcMar>
              <w:top w:w="95" w:type="dxa"/>
              <w:left w:w="95" w:type="dxa"/>
              <w:bottom w:w="95" w:type="dxa"/>
              <w:right w:w="95" w:type="dxa"/>
            </w:tcMar>
            <w:shd w:fill="F1F5F7"/>
          </w:tcPr>
          <w:p>
            <w:pPr>
              <w:spacing w:after="40" w:before="40" w:line="240" w:lineRule="auto"/>
            </w:pPr>
            <w:r>
              <w:rPr>
                <w:b w:val="0"/>
                <w:color w:val="000000"/>
                <w:sz w:val="21"/>
              </w:rPr>
              <w:t>FX10 and FX17 reference scans load. Changing source pixels or wavelengths updates the corresponding measured values.</w:t>
            </w:r>
          </w:p>
        </w:tc>
      </w:tr>
      <w:tr>
        <w:trPr>
          <w:cantSplit/>
        </w:trPr>
        <w:tc>
          <w:tcPr>
            <w:tcW w:type="dxa" w:w="792"/>
            <w:vAlign w:val="center"/>
            <w:tcMar>
              <w:top w:w="95" w:type="dxa"/>
              <w:left w:w="95" w:type="dxa"/>
              <w:bottom w:w="95" w:type="dxa"/>
              <w:right w:w="95" w:type="dxa"/>
            </w:tcMar>
            <w:shd w:fill="FFFFFF"/>
          </w:tcPr>
          <w:p>
            <w:pPr>
              <w:spacing w:after="40" w:before="40" w:line="240" w:lineRule="auto"/>
            </w:pPr>
            <w:r>
              <w:rPr>
                <w:b w:val="0"/>
                <w:color w:val="000000"/>
                <w:sz w:val="21"/>
              </w:rPr>
              <w:t>A08</w:t>
            </w:r>
          </w:p>
        </w:tc>
        <w:tc>
          <w:tcPr>
            <w:tcW w:type="dxa" w:w="2448"/>
            <w:vAlign w:val="center"/>
            <w:tcMar>
              <w:top w:w="95" w:type="dxa"/>
              <w:left w:w="95" w:type="dxa"/>
              <w:bottom w:w="95" w:type="dxa"/>
              <w:right w:w="95" w:type="dxa"/>
            </w:tcMar>
            <w:shd w:fill="FFFFFF"/>
          </w:tcPr>
          <w:p>
            <w:pPr>
              <w:spacing w:after="40" w:before="40" w:line="240" w:lineRule="auto"/>
            </w:pPr>
            <w:r>
              <w:rPr>
                <w:b w:val="0"/>
                <w:color w:val="000000"/>
                <w:sz w:val="21"/>
              </w:rPr>
              <w:t>Supported fusion</w:t>
            </w:r>
          </w:p>
        </w:tc>
        <w:tc>
          <w:tcPr>
            <w:tcW w:type="dxa" w:w="6840"/>
            <w:vAlign w:val="center"/>
            <w:tcMar>
              <w:top w:w="95" w:type="dxa"/>
              <w:left w:w="95" w:type="dxa"/>
              <w:bottom w:w="95" w:type="dxa"/>
              <w:right w:w="95" w:type="dxa"/>
            </w:tcMar>
            <w:shd w:fill="FFFFFF"/>
          </w:tcPr>
          <w:p>
            <w:pPr>
              <w:spacing w:after="40" w:before="40" w:line="240" w:lineRule="auto"/>
            </w:pPr>
            <w:r>
              <w:rPr>
                <w:b w:val="0"/>
                <w:color w:val="000000"/>
                <w:sz w:val="21"/>
              </w:rPr>
              <w:t>Geometric and experimental spectral workflows produce or replay their documented outputs, with manual steps and limitations retained.</w:t>
            </w:r>
          </w:p>
        </w:tc>
      </w:tr>
      <w:tr>
        <w:trPr>
          <w:cantSplit/>
        </w:trPr>
        <w:tc>
          <w:tcPr>
            <w:tcW w:type="dxa" w:w="792"/>
            <w:vAlign w:val="center"/>
            <w:tcMar>
              <w:top w:w="95" w:type="dxa"/>
              <w:left w:w="95" w:type="dxa"/>
              <w:bottom w:w="95" w:type="dxa"/>
              <w:right w:w="95" w:type="dxa"/>
            </w:tcMar>
            <w:shd w:fill="F1F5F7"/>
          </w:tcPr>
          <w:p>
            <w:pPr>
              <w:spacing w:after="40" w:before="40" w:line="240" w:lineRule="auto"/>
            </w:pPr>
            <w:r>
              <w:rPr>
                <w:b w:val="0"/>
                <w:color w:val="000000"/>
                <w:sz w:val="21"/>
              </w:rPr>
              <w:t>A09</w:t>
            </w:r>
          </w:p>
        </w:tc>
        <w:tc>
          <w:tcPr>
            <w:tcW w:type="dxa" w:w="2448"/>
            <w:vAlign w:val="center"/>
            <w:tcMar>
              <w:top w:w="95" w:type="dxa"/>
              <w:left w:w="95" w:type="dxa"/>
              <w:bottom w:w="95" w:type="dxa"/>
              <w:right w:w="95" w:type="dxa"/>
            </w:tcMar>
            <w:shd w:fill="F1F5F7"/>
          </w:tcPr>
          <w:p>
            <w:pPr>
              <w:spacing w:after="40" w:before="40" w:line="240" w:lineRule="auto"/>
            </w:pPr>
            <w:r>
              <w:rPr>
                <w:b w:val="0"/>
                <w:color w:val="000000"/>
                <w:sz w:val="21"/>
              </w:rPr>
              <w:t>Persistence and recovery</w:t>
            </w:r>
          </w:p>
        </w:tc>
        <w:tc>
          <w:tcPr>
            <w:tcW w:type="dxa" w:w="6840"/>
            <w:vAlign w:val="center"/>
            <w:tcMar>
              <w:top w:w="95" w:type="dxa"/>
              <w:left w:w="95" w:type="dxa"/>
              <w:bottom w:w="95" w:type="dxa"/>
              <w:right w:w="95" w:type="dxa"/>
            </w:tcMar>
            <w:shd w:fill="F1F5F7"/>
          </w:tcPr>
          <w:p>
            <w:pPr>
              <w:spacing w:after="40" w:before="40" w:line="240" w:lineRule="auto"/>
            </w:pPr>
            <w:r>
              <w:rPr>
                <w:b w:val="0"/>
                <w:color w:val="000000"/>
                <w:sz w:val="21"/>
              </w:rPr>
              <w:t>Exports survive container replacement. Restart, invalid-input handling and recovery instructions are demonstrated.</w:t>
            </w:r>
          </w:p>
        </w:tc>
      </w:tr>
      <w:tr>
        <w:trPr>
          <w:cantSplit/>
        </w:trPr>
        <w:tc>
          <w:tcPr>
            <w:tcW w:type="dxa" w:w="792"/>
            <w:vAlign w:val="center"/>
            <w:tcMar>
              <w:top w:w="95" w:type="dxa"/>
              <w:left w:w="95" w:type="dxa"/>
              <w:bottom w:w="95" w:type="dxa"/>
              <w:right w:w="95" w:type="dxa"/>
            </w:tcMar>
            <w:shd w:fill="FFFFFF"/>
          </w:tcPr>
          <w:p>
            <w:pPr>
              <w:spacing w:after="40" w:before="40" w:line="240" w:lineRule="auto"/>
            </w:pPr>
            <w:r>
              <w:rPr>
                <w:b w:val="0"/>
                <w:color w:val="000000"/>
                <w:sz w:val="21"/>
              </w:rPr>
              <w:t>A10</w:t>
            </w:r>
          </w:p>
        </w:tc>
        <w:tc>
          <w:tcPr>
            <w:tcW w:type="dxa" w:w="2448"/>
            <w:vAlign w:val="center"/>
            <w:tcMar>
              <w:top w:w="95" w:type="dxa"/>
              <w:left w:w="95" w:type="dxa"/>
              <w:bottom w:w="95" w:type="dxa"/>
              <w:right w:w="95" w:type="dxa"/>
            </w:tcMar>
            <w:shd w:fill="FFFFFF"/>
          </w:tcPr>
          <w:p>
            <w:pPr>
              <w:spacing w:after="40" w:before="40" w:line="240" w:lineRule="auto"/>
            </w:pPr>
            <w:r>
              <w:rPr>
                <w:b w:val="0"/>
                <w:color w:val="000000"/>
                <w:sz w:val="21"/>
              </w:rPr>
              <w:t>Offline processing</w:t>
            </w:r>
          </w:p>
        </w:tc>
        <w:tc>
          <w:tcPr>
            <w:tcW w:type="dxa" w:w="6840"/>
            <w:vAlign w:val="center"/>
            <w:tcMar>
              <w:top w:w="95" w:type="dxa"/>
              <w:left w:w="95" w:type="dxa"/>
              <w:bottom w:w="95" w:type="dxa"/>
              <w:right w:w="95" w:type="dxa"/>
            </w:tcMar>
            <w:shd w:fill="FFFFFF"/>
          </w:tcPr>
          <w:p>
            <w:pPr>
              <w:spacing w:after="40" w:before="40" w:line="240" w:lineRule="auto"/>
            </w:pPr>
            <w:r>
              <w:rPr>
                <w:b w:val="0"/>
                <w:color w:val="000000"/>
                <w:sz w:val="21"/>
              </w:rPr>
              <w:t>The agreed local processing workflow runs without network access after installation, or any dependency is recorded as an exception.</w:t>
            </w:r>
          </w:p>
        </w:tc>
      </w:tr>
      <w:tr>
        <w:trPr>
          <w:cantSplit/>
        </w:trPr>
        <w:tc>
          <w:tcPr>
            <w:tcW w:type="dxa" w:w="792"/>
            <w:vAlign w:val="center"/>
            <w:tcMar>
              <w:top w:w="95" w:type="dxa"/>
              <w:left w:w="95" w:type="dxa"/>
              <w:bottom w:w="95" w:type="dxa"/>
              <w:right w:w="95" w:type="dxa"/>
            </w:tcMar>
            <w:shd w:fill="F1F5F7"/>
          </w:tcPr>
          <w:p>
            <w:pPr>
              <w:spacing w:after="40" w:before="40" w:line="240" w:lineRule="auto"/>
            </w:pPr>
            <w:r>
              <w:rPr>
                <w:b w:val="0"/>
                <w:color w:val="000000"/>
                <w:sz w:val="21"/>
              </w:rPr>
              <w:t>A11</w:t>
            </w:r>
          </w:p>
        </w:tc>
        <w:tc>
          <w:tcPr>
            <w:tcW w:type="dxa" w:w="2448"/>
            <w:vAlign w:val="center"/>
            <w:tcMar>
              <w:top w:w="95" w:type="dxa"/>
              <w:left w:w="95" w:type="dxa"/>
              <w:bottom w:w="95" w:type="dxa"/>
              <w:right w:w="95" w:type="dxa"/>
            </w:tcMar>
            <w:shd w:fill="F1F5F7"/>
          </w:tcPr>
          <w:p>
            <w:pPr>
              <w:spacing w:after="40" w:before="40" w:line="240" w:lineRule="auto"/>
            </w:pPr>
            <w:r>
              <w:rPr>
                <w:b w:val="0"/>
                <w:color w:val="000000"/>
                <w:sz w:val="21"/>
              </w:rPr>
              <w:t>Archive and website</w:t>
            </w:r>
          </w:p>
        </w:tc>
        <w:tc>
          <w:tcPr>
            <w:tcW w:type="dxa" w:w="6840"/>
            <w:vAlign w:val="center"/>
            <w:tcMar>
              <w:top w:w="95" w:type="dxa"/>
              <w:left w:w="95" w:type="dxa"/>
              <w:bottom w:w="95" w:type="dxa"/>
              <w:right w:w="95" w:type="dxa"/>
            </w:tcMar>
            <w:shd w:fill="F1F5F7"/>
          </w:tcPr>
          <w:p>
            <w:pPr>
              <w:spacing w:after="40" w:before="40" w:line="240" w:lineRule="auto"/>
            </w:pPr>
            <w:r>
              <w:rPr>
                <w:b w:val="0"/>
                <w:color w:val="000000"/>
                <w:sz w:val="21"/>
              </w:rPr>
              <w:t>Delivered checksums pass; selected files restore correctly; public reports, viewers and downloads open; offline access is documented.</w:t>
            </w:r>
          </w:p>
        </w:tc>
      </w:tr>
      <w:tr>
        <w:trPr>
          <w:cantSplit/>
        </w:trPr>
        <w:tc>
          <w:tcPr>
            <w:tcW w:type="dxa" w:w="792"/>
            <w:vAlign w:val="center"/>
            <w:tcMar>
              <w:top w:w="95" w:type="dxa"/>
              <w:left w:w="95" w:type="dxa"/>
              <w:bottom w:w="95" w:type="dxa"/>
              <w:right w:w="95" w:type="dxa"/>
            </w:tcMar>
            <w:shd w:fill="FFFFFF"/>
          </w:tcPr>
          <w:p>
            <w:pPr>
              <w:spacing w:after="40" w:before="40" w:line="240" w:lineRule="auto"/>
            </w:pPr>
            <w:r>
              <w:rPr>
                <w:b w:val="0"/>
                <w:color w:val="000000"/>
                <w:sz w:val="21"/>
              </w:rPr>
              <w:t>A12</w:t>
            </w:r>
          </w:p>
        </w:tc>
        <w:tc>
          <w:tcPr>
            <w:tcW w:type="dxa" w:w="2448"/>
            <w:vAlign w:val="center"/>
            <w:tcMar>
              <w:top w:w="95" w:type="dxa"/>
              <w:left w:w="95" w:type="dxa"/>
              <w:bottom w:w="95" w:type="dxa"/>
              <w:right w:w="95" w:type="dxa"/>
            </w:tcMar>
            <w:shd w:fill="FFFFFF"/>
          </w:tcPr>
          <w:p>
            <w:pPr>
              <w:spacing w:after="40" w:before="40" w:line="240" w:lineRule="auto"/>
            </w:pPr>
            <w:r>
              <w:rPr>
                <w:b w:val="0"/>
                <w:color w:val="000000"/>
                <w:sz w:val="21"/>
              </w:rPr>
              <w:t>Independent reproduction</w:t>
            </w:r>
          </w:p>
        </w:tc>
        <w:tc>
          <w:tcPr>
            <w:tcW w:type="dxa" w:w="6840"/>
            <w:vAlign w:val="center"/>
            <w:tcMar>
              <w:top w:w="95" w:type="dxa"/>
              <w:left w:w="95" w:type="dxa"/>
              <w:bottom w:w="95" w:type="dxa"/>
              <w:right w:w="95" w:type="dxa"/>
            </w:tcMar>
            <w:shd w:fill="FFFFFF"/>
          </w:tcPr>
          <w:p>
            <w:pPr>
              <w:spacing w:after="40" w:before="40" w:line="240" w:lineRule="auto"/>
            </w:pPr>
            <w:r>
              <w:rPr>
                <w:b w:val="0"/>
                <w:color w:val="000000"/>
                <w:sz w:val="21"/>
              </w:rPr>
              <w:t>A second team member or lab user follows the instructions and reproduces the agreed reference workflow.</w:t>
            </w:r>
          </w:p>
        </w:tc>
      </w:tr>
    </w:tbl>
    <w:p>
      <w:pPr>
        <w:spacing w:after="0" w:before="0" w:line="40" w:lineRule="exact"/>
      </w:pPr>
      <w:r>
        <w:rPr>
          <w:sz w:val="4"/>
        </w:rPr>
      </w:r>
    </w:p>
    <w:p>
      <w:pPr>
        <w:pStyle w:val="Heading2"/>
      </w:pPr>
      <w:r>
        <w:t>How results will be judged</w:t>
      </w:r>
    </w:p>
    <w:p>
      <w:r>
        <w:rPr>
          <w:b w:val="0"/>
        </w:rPr>
        <w:t>Choose the reference inputs, output checks and tolerances before the acceptance run. Use exact checksums for unchanged files and defined numerical or count checks where processing is not byte-identical. A visually plausible cloud or a successful container build alone is insufficient evidence of laboratory readiness.</w:t>
      </w:r>
    </w:p>
    <w:p>
      <w:pPr>
        <w:pStyle w:val="Heading1"/>
        <w:pageBreakBefore/>
      </w:pPr>
      <w:r>
        <w:t>Archive and documentation requirements</w:t>
      </w:r>
    </w:p>
    <w:p>
      <w:pPr>
        <w:pStyle w:val="Heading2"/>
      </w:pPr>
      <w:r>
        <w:t>Dataset and result preservation</w:t>
      </w:r>
    </w:p>
    <w:p>
      <w:r>
        <w:rPr>
          <w:b w:val="0"/>
        </w:rPr>
        <w:t>Preserve original recordings unchanged. Organise the archive by dataset, camera and processing stage, with separate locations for raw inputs, calibration, manual validation, intermediate outputs, final outputs and documentation. Preserve unsuccessful and superseded experiments with an explanation of their status.</w:t>
      </w:r>
    </w:p>
    <w:p>
      <w:r>
        <w:rPr>
          <w:b w:val="0"/>
        </w:rPr>
        <w:t>Use the existing project Teams or SharePoint space as the proposed institutional destination, subject to capacity, retention and stakeholder access. Large research assets can remain outside Git, but the repositories must include their inventory and retrieval instructions. Retain a second verified copy until receipt is confirmed.</w:t>
      </w:r>
    </w:p>
    <w:p>
      <w:pPr>
        <w:pStyle w:val="Heading2"/>
      </w:pPr>
      <w:r>
        <w:t>Minimum manifest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5" w:type="dxa"/>
              <w:left w:w="95" w:type="dxa"/>
              <w:bottom w:w="95" w:type="dxa"/>
              <w:right w:w="95" w:type="dxa"/>
            </w:tcMar>
            <w:shd w:fill="24445A"/>
          </w:tcPr>
          <w:p>
            <w:pPr>
              <w:spacing w:after="40" w:before="40" w:line="240" w:lineRule="auto"/>
            </w:pPr>
            <w:r>
              <w:rPr>
                <w:b/>
                <w:color w:val="FFFFFF"/>
                <w:sz w:val="21"/>
              </w:rPr>
              <w:t>Record</w:t>
            </w:r>
          </w:p>
        </w:tc>
        <w:tc>
          <w:tcPr>
            <w:tcW w:type="dxa" w:w="7776"/>
            <w:vAlign w:val="center"/>
            <w:tcMar>
              <w:top w:w="95" w:type="dxa"/>
              <w:left w:w="95" w:type="dxa"/>
              <w:bottom w:w="95" w:type="dxa"/>
              <w:right w:w="95" w:type="dxa"/>
            </w:tcMar>
            <w:shd w:fill="24445A"/>
          </w:tcPr>
          <w:p>
            <w:pPr>
              <w:spacing w:after="40" w:before="40" w:line="240" w:lineRule="auto"/>
            </w:pPr>
            <w:r>
              <w:rPr>
                <w:b/>
                <w:color w:val="FFFFFF"/>
                <w:sz w:val="21"/>
              </w:rPr>
              <w:t>Information to preserve</w:t>
            </w:r>
          </w:p>
        </w:tc>
      </w:tr>
      <w:tr>
        <w:trPr>
          <w:cantSplit/>
        </w:trPr>
        <w:tc>
          <w:tcPr>
            <w:tcW w:type="dxa" w:w="2304"/>
            <w:vAlign w:val="center"/>
            <w:tcMar>
              <w:top w:w="95" w:type="dxa"/>
              <w:left w:w="95" w:type="dxa"/>
              <w:bottom w:w="95" w:type="dxa"/>
              <w:right w:w="95" w:type="dxa"/>
            </w:tcMar>
            <w:shd w:fill="F1F5F7"/>
          </w:tcPr>
          <w:p>
            <w:pPr>
              <w:spacing w:after="40" w:before="40" w:line="240" w:lineRule="auto"/>
            </w:pPr>
            <w:r>
              <w:rPr>
                <w:b w:val="0"/>
                <w:color w:val="000000"/>
                <w:sz w:val="21"/>
              </w:rPr>
              <w:t>Identity and integrity</w:t>
            </w:r>
          </w:p>
        </w:tc>
        <w:tc>
          <w:tcPr>
            <w:tcW w:type="dxa" w:w="7776"/>
            <w:vAlign w:val="center"/>
            <w:tcMar>
              <w:top w:w="95" w:type="dxa"/>
              <w:left w:w="95" w:type="dxa"/>
              <w:bottom w:w="95" w:type="dxa"/>
              <w:right w:w="95" w:type="dxa"/>
            </w:tcMar>
            <w:shd w:fill="F1F5F7"/>
          </w:tcPr>
          <w:p>
            <w:pPr>
              <w:spacing w:after="40" w:before="40" w:line="240" w:lineRule="auto"/>
            </w:pPr>
            <w:r>
              <w:rPr>
                <w:b w:val="0"/>
                <w:color w:val="000000"/>
                <w:sz w:val="21"/>
              </w:rPr>
              <w:t>Relative path, dataset and camera ID, file role, size, checksum and capture date where known.</w:t>
            </w:r>
          </w:p>
        </w:tc>
      </w:tr>
      <w:tr>
        <w:trPr>
          <w:cantSplit/>
        </w:trPr>
        <w:tc>
          <w:tcPr>
            <w:tcW w:type="dxa" w:w="2304"/>
            <w:vAlign w:val="center"/>
            <w:tcMar>
              <w:top w:w="95" w:type="dxa"/>
              <w:left w:w="95" w:type="dxa"/>
              <w:bottom w:w="95" w:type="dxa"/>
              <w:right w:w="95" w:type="dxa"/>
            </w:tcMar>
            <w:shd w:fill="FFFFFF"/>
          </w:tcPr>
          <w:p>
            <w:pPr>
              <w:spacing w:after="40" w:before="40" w:line="240" w:lineRule="auto"/>
            </w:pPr>
            <w:r>
              <w:rPr>
                <w:b w:val="0"/>
                <w:color w:val="000000"/>
                <w:sz w:val="21"/>
              </w:rPr>
              <w:t>Processing lineage</w:t>
            </w:r>
          </w:p>
        </w:tc>
        <w:tc>
          <w:tcPr>
            <w:tcW w:type="dxa" w:w="7776"/>
            <w:vAlign w:val="center"/>
            <w:tcMar>
              <w:top w:w="95" w:type="dxa"/>
              <w:left w:w="95" w:type="dxa"/>
              <w:bottom w:w="95" w:type="dxa"/>
              <w:right w:w="95" w:type="dxa"/>
            </w:tcMar>
            <w:shd w:fill="FFFFFF"/>
          </w:tcPr>
          <w:p>
            <w:pPr>
              <w:spacing w:after="40" w:before="40" w:line="240" w:lineRule="auto"/>
            </w:pPr>
            <w:r>
              <w:rPr>
                <w:b w:val="0"/>
                <w:color w:val="000000"/>
                <w:sz w:val="21"/>
              </w:rPr>
              <w:t>Input references, code commit, environment or image ID, parameters, commands and processing stage.</w:t>
            </w:r>
          </w:p>
        </w:tc>
      </w:tr>
      <w:tr>
        <w:trPr>
          <w:cantSplit/>
        </w:trPr>
        <w:tc>
          <w:tcPr>
            <w:tcW w:type="dxa" w:w="2304"/>
            <w:vAlign w:val="center"/>
            <w:tcMar>
              <w:top w:w="95" w:type="dxa"/>
              <w:left w:w="95" w:type="dxa"/>
              <w:bottom w:w="95" w:type="dxa"/>
              <w:right w:w="95" w:type="dxa"/>
            </w:tcMar>
            <w:shd w:fill="F1F5F7"/>
          </w:tcPr>
          <w:p>
            <w:pPr>
              <w:spacing w:after="40" w:before="40" w:line="240" w:lineRule="auto"/>
            </w:pPr>
            <w:r>
              <w:rPr>
                <w:b w:val="0"/>
                <w:color w:val="000000"/>
                <w:sz w:val="21"/>
              </w:rPr>
              <w:t>Research interpretation</w:t>
            </w:r>
          </w:p>
        </w:tc>
        <w:tc>
          <w:tcPr>
            <w:tcW w:type="dxa" w:w="7776"/>
            <w:vAlign w:val="center"/>
            <w:tcMar>
              <w:top w:w="95" w:type="dxa"/>
              <w:left w:w="95" w:type="dxa"/>
              <w:bottom w:w="95" w:type="dxa"/>
              <w:right w:w="95" w:type="dxa"/>
            </w:tcMar>
            <w:shd w:fill="F1F5F7"/>
          </w:tcPr>
          <w:p>
            <w:pPr>
              <w:spacing w:after="40" w:before="40" w:line="240" w:lineRule="auto"/>
            </w:pPr>
            <w:r>
              <w:rPr>
                <w:b w:val="0"/>
                <w:color w:val="000000"/>
                <w:sz w:val="21"/>
              </w:rPr>
              <w:t>Units, calibration assumptions, manual masks or selections, result status, validation evidence and known uncertainty.</w:t>
            </w:r>
          </w:p>
        </w:tc>
      </w:tr>
      <w:tr>
        <w:trPr>
          <w:cantSplit/>
        </w:trPr>
        <w:tc>
          <w:tcPr>
            <w:tcW w:type="dxa" w:w="2304"/>
            <w:vAlign w:val="center"/>
            <w:tcMar>
              <w:top w:w="95" w:type="dxa"/>
              <w:left w:w="95" w:type="dxa"/>
              <w:bottom w:w="95" w:type="dxa"/>
              <w:right w:w="95" w:type="dxa"/>
            </w:tcMar>
            <w:shd w:fill="FFFFFF"/>
          </w:tcPr>
          <w:p>
            <w:pPr>
              <w:spacing w:after="40" w:before="40" w:line="240" w:lineRule="auto"/>
            </w:pPr>
            <w:r>
              <w:rPr>
                <w:b w:val="0"/>
                <w:color w:val="000000"/>
                <w:sz w:val="21"/>
              </w:rPr>
              <w:t>Access and custody</w:t>
            </w:r>
          </w:p>
        </w:tc>
        <w:tc>
          <w:tcPr>
            <w:tcW w:type="dxa" w:w="7776"/>
            <w:vAlign w:val="center"/>
            <w:tcMar>
              <w:top w:w="95" w:type="dxa"/>
              <w:left w:w="95" w:type="dxa"/>
              <w:bottom w:w="95" w:type="dxa"/>
              <w:right w:w="95" w:type="dxa"/>
            </w:tcMar>
            <w:shd w:fill="FFFFFF"/>
          </w:tcPr>
          <w:p>
            <w:pPr>
              <w:spacing w:after="40" w:before="40" w:line="240" w:lineRule="auto"/>
            </w:pPr>
            <w:r>
              <w:rPr>
                <w:b w:val="0"/>
                <w:color w:val="000000"/>
                <w:sz w:val="21"/>
              </w:rPr>
              <w:t>Archive location, owner, permitted users, retention arrangements and restore instructions.</w:t>
            </w:r>
          </w:p>
        </w:tc>
      </w:tr>
    </w:tbl>
    <w:p>
      <w:pPr>
        <w:spacing w:after="0" w:before="0" w:line="40" w:lineRule="exact"/>
      </w:pPr>
      <w:r>
        <w:rPr>
          <w:sz w:val="4"/>
        </w:rPr>
      </w:r>
    </w:p>
    <w:p>
      <w:pPr>
        <w:pStyle w:val="Heading2"/>
      </w:pPr>
      <w:r>
        <w:t>Documentation package</w:t>
      </w:r>
    </w:p>
    <w:p>
      <w:pPr>
        <w:pStyle w:val="ListBullet"/>
        <w:spacing w:after="80"/>
      </w:pPr>
      <w:r>
        <w:t>Quick start and installation guide covering prerequisites, image retrieval, launch, data mounts, a small reference run and export locations.</w:t>
      </w:r>
    </w:p>
    <w:p>
      <w:pPr>
        <w:pStyle w:val="ListBullet"/>
        <w:spacing w:after="80"/>
      </w:pPr>
      <w:r>
        <w:t>Operator guide covering capture, gantry procedures, data checks, processing, interpretation, failure recovery and shutdown.</w:t>
      </w:r>
    </w:p>
    <w:p>
      <w:pPr>
        <w:pStyle w:val="ListBullet"/>
        <w:spacing w:after="80"/>
      </w:pPr>
      <w:r>
        <w:t>Technical guide covering architecture, modules, configuration, container build, dependency versions, testing and maintenance.</w:t>
      </w:r>
    </w:p>
    <w:p>
      <w:pPr>
        <w:pStyle w:val="ListBullet"/>
        <w:spacing w:after="80"/>
      </w:pPr>
      <w:r>
        <w:t>Research methods and reproduction guide covering calibration, reconstruction, cleanup, traits, validation, spectra and fusion, including manual interventions and rejected approaches.</w:t>
      </w:r>
    </w:p>
    <w:p>
      <w:pPr>
        <w:pStyle w:val="ListBullet"/>
        <w:spacing w:after="80"/>
      </w:pPr>
      <w:r>
        <w:t>Dataset catalogue, result catalogue and known-issues register, with direct links to the evidence and reference workflow configurations.</w:t>
      </w:r>
    </w:p>
    <w:p>
      <w:pPr>
        <w:pStyle w:val="Heading2"/>
      </w:pPr>
      <w:r>
        <w:t>Container and website operation</w:t>
      </w:r>
    </w:p>
    <w:p>
      <w:r>
        <w:rPr>
          <w:b w:val="0"/>
        </w:rPr>
        <w:t>Document required host drivers, device access, display support, storage and external services. If a hardware component must remain on the host, describe that boundary and test the complete arrangement. Supply third-party licence notices and document any dependency that cannot be redistributed.</w:t>
      </w:r>
    </w:p>
    <w:p>
      <w:r>
        <w:rPr>
          <w:b w:val="0"/>
        </w:rPr>
        <w:t>Verify the website deployment source and administrator access before acceptance. Provide an offline method for opening the reports and scientific data, including assets otherwise loaded from external hosts. Test that method with the network disconnected.</w:t>
      </w:r>
    </w:p>
    <w:p>
      <w:pPr>
        <w:pStyle w:val="Heading1"/>
        <w:pageBreakBefore/>
      </w:pPr>
      <w:r>
        <w:t>Release readiness and acceptance record</w:t>
      </w:r>
    </w:p>
    <w:p>
      <w:pPr>
        <w:pStyle w:val="Heading2"/>
      </w:pPr>
      <w:r>
        <w:t>Issues to close before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5" w:type="dxa"/>
              <w:left w:w="95" w:type="dxa"/>
              <w:bottom w:w="95" w:type="dxa"/>
              <w:right w:w="95" w:type="dxa"/>
            </w:tcMar>
            <w:shd w:fill="24445A"/>
          </w:tcPr>
          <w:p>
            <w:pPr>
              <w:spacing w:after="40" w:before="40" w:line="240" w:lineRule="auto"/>
            </w:pPr>
            <w:r>
              <w:rPr>
                <w:b/>
                <w:color w:val="FFFFFF"/>
                <w:sz w:val="21"/>
              </w:rPr>
              <w:t>Issue</w:t>
            </w:r>
          </w:p>
        </w:tc>
        <w:tc>
          <w:tcPr>
            <w:tcW w:type="dxa" w:w="7128"/>
            <w:vAlign w:val="center"/>
            <w:tcMar>
              <w:top w:w="95" w:type="dxa"/>
              <w:left w:w="95" w:type="dxa"/>
              <w:bottom w:w="95" w:type="dxa"/>
              <w:right w:w="95" w:type="dxa"/>
            </w:tcMar>
            <w:shd w:fill="24445A"/>
          </w:tcPr>
          <w:p>
            <w:pPr>
              <w:spacing w:after="40" w:before="40" w:line="240" w:lineRule="auto"/>
            </w:pPr>
            <w:r>
              <w:rPr>
                <w:b/>
                <w:color w:val="FFFFFF"/>
                <w:sz w:val="21"/>
              </w:rPr>
              <w:t>Required action</w:t>
            </w:r>
          </w:p>
        </w:tc>
      </w:tr>
      <w:tr>
        <w:trPr>
          <w:cantSplit/>
        </w:trPr>
        <w:tc>
          <w:tcPr>
            <w:tcW w:type="dxa" w:w="2952"/>
            <w:vAlign w:val="center"/>
            <w:tcMar>
              <w:top w:w="95" w:type="dxa"/>
              <w:left w:w="95" w:type="dxa"/>
              <w:bottom w:w="95" w:type="dxa"/>
              <w:right w:w="95" w:type="dxa"/>
            </w:tcMar>
            <w:shd w:fill="F1F5F7"/>
          </w:tcPr>
          <w:p>
            <w:pPr>
              <w:spacing w:after="40" w:before="40" w:line="240" w:lineRule="auto"/>
            </w:pPr>
            <w:r>
              <w:rPr>
                <w:b w:val="0"/>
                <w:color w:val="000000"/>
                <w:sz w:val="21"/>
              </w:rPr>
              <w:t>Application and research parity</w:t>
            </w:r>
          </w:p>
        </w:tc>
        <w:tc>
          <w:tcPr>
            <w:tcW w:type="dxa" w:w="7128"/>
            <w:vAlign w:val="center"/>
            <w:tcMar>
              <w:top w:w="95" w:type="dxa"/>
              <w:left w:w="95" w:type="dxa"/>
              <w:bottom w:w="95" w:type="dxa"/>
              <w:right w:w="95" w:type="dxa"/>
            </w:tcMar>
            <w:shd w:fill="F1F5F7"/>
          </w:tcPr>
          <w:p>
            <w:pPr>
              <w:spacing w:after="40" w:before="40" w:line="240" w:lineRule="auto"/>
            </w:pPr>
            <w:r>
              <w:rPr>
                <w:b w:val="0"/>
                <w:color w:val="000000"/>
                <w:sz w:val="21"/>
              </w:rPr>
              <w:t>Map each result to an application action or supplied script, including manual steps and dataset-specific settings.</w:t>
            </w:r>
          </w:p>
        </w:tc>
      </w:tr>
      <w:tr>
        <w:trPr>
          <w:cantSplit/>
        </w:trPr>
        <w:tc>
          <w:tcPr>
            <w:tcW w:type="dxa" w:w="2952"/>
            <w:vAlign w:val="center"/>
            <w:tcMar>
              <w:top w:w="95" w:type="dxa"/>
              <w:left w:w="95" w:type="dxa"/>
              <w:bottom w:w="95" w:type="dxa"/>
              <w:right w:w="95" w:type="dxa"/>
            </w:tcMar>
            <w:shd w:fill="FFFFFF"/>
          </w:tcPr>
          <w:p>
            <w:pPr>
              <w:spacing w:after="40" w:before="40" w:line="240" w:lineRule="auto"/>
            </w:pPr>
            <w:r>
              <w:rPr>
                <w:b w:val="0"/>
                <w:color w:val="000000"/>
                <w:sz w:val="21"/>
              </w:rPr>
              <w:t>Hardware and container compatibility</w:t>
            </w:r>
          </w:p>
        </w:tc>
        <w:tc>
          <w:tcPr>
            <w:tcW w:type="dxa" w:w="7128"/>
            <w:vAlign w:val="center"/>
            <w:tcMar>
              <w:top w:w="95" w:type="dxa"/>
              <w:left w:w="95" w:type="dxa"/>
              <w:bottom w:w="95" w:type="dxa"/>
              <w:right w:w="95" w:type="dxa"/>
            </w:tcMar>
            <w:shd w:fill="FFFFFF"/>
          </w:tcPr>
          <w:p>
            <w:pPr>
              <w:spacing w:after="40" w:before="40" w:line="240" w:lineRule="auto"/>
            </w:pPr>
            <w:r>
              <w:rPr>
                <w:b w:val="0"/>
                <w:color w:val="000000"/>
                <w:sz w:val="21"/>
              </w:rPr>
              <w:t>Test camera and gantry operation on the lab machine; development-machine tests do not establish acceptance.</w:t>
            </w:r>
          </w:p>
        </w:tc>
      </w:tr>
      <w:tr>
        <w:trPr>
          <w:cantSplit/>
        </w:trPr>
        <w:tc>
          <w:tcPr>
            <w:tcW w:type="dxa" w:w="2952"/>
            <w:vAlign w:val="center"/>
            <w:tcMar>
              <w:top w:w="95" w:type="dxa"/>
              <w:left w:w="95" w:type="dxa"/>
              <w:bottom w:w="95" w:type="dxa"/>
              <w:right w:w="95" w:type="dxa"/>
            </w:tcMar>
            <w:shd w:fill="F1F5F7"/>
          </w:tcPr>
          <w:p>
            <w:pPr>
              <w:spacing w:after="40" w:before="40" w:line="240" w:lineRule="auto"/>
            </w:pPr>
            <w:r>
              <w:rPr>
                <w:b w:val="0"/>
                <w:color w:val="000000"/>
                <w:sz w:val="21"/>
              </w:rPr>
              <w:t>Access and deployment ownership</w:t>
            </w:r>
          </w:p>
        </w:tc>
        <w:tc>
          <w:tcPr>
            <w:tcW w:type="dxa" w:w="7128"/>
            <w:vAlign w:val="center"/>
            <w:tcMar>
              <w:top w:w="95" w:type="dxa"/>
              <w:left w:w="95" w:type="dxa"/>
              <w:bottom w:w="95" w:type="dxa"/>
              <w:right w:w="95" w:type="dxa"/>
            </w:tcMar>
            <w:shd w:fill="F1F5F7"/>
          </w:tcPr>
          <w:p>
            <w:pPr>
              <w:spacing w:after="40" w:before="40" w:line="240" w:lineRule="auto"/>
            </w:pPr>
            <w:r>
              <w:rPr>
                <w:b w:val="0"/>
                <w:color w:val="000000"/>
                <w:sz w:val="21"/>
              </w:rPr>
              <w:t>Confirm access to repositories, archives and images. An administrator must verify the Pages deployment source and public operation.</w:t>
            </w:r>
          </w:p>
        </w:tc>
      </w:tr>
      <w:tr>
        <w:trPr>
          <w:cantSplit/>
        </w:trPr>
        <w:tc>
          <w:tcPr>
            <w:tcW w:type="dxa" w:w="2952"/>
            <w:vAlign w:val="center"/>
            <w:tcMar>
              <w:top w:w="95" w:type="dxa"/>
              <w:left w:w="95" w:type="dxa"/>
              <w:bottom w:w="95" w:type="dxa"/>
              <w:right w:w="95" w:type="dxa"/>
            </w:tcMar>
            <w:shd w:fill="FFFFFF"/>
          </w:tcPr>
          <w:p>
            <w:pPr>
              <w:spacing w:after="40" w:before="40" w:line="240" w:lineRule="auto"/>
            </w:pPr>
            <w:r>
              <w:rPr>
                <w:b w:val="0"/>
                <w:color w:val="000000"/>
                <w:sz w:val="21"/>
              </w:rPr>
              <w:t>Research limitations</w:t>
            </w:r>
          </w:p>
        </w:tc>
        <w:tc>
          <w:tcPr>
            <w:tcW w:type="dxa" w:w="7128"/>
            <w:vAlign w:val="center"/>
            <w:tcMar>
              <w:top w:w="95" w:type="dxa"/>
              <w:left w:w="95" w:type="dxa"/>
              <w:bottom w:w="95" w:type="dxa"/>
              <w:right w:w="95" w:type="dxa"/>
            </w:tcMar>
            <w:shd w:fill="FFFFFF"/>
          </w:tcPr>
          <w:p>
            <w:pPr>
              <w:spacing w:after="40" w:before="40" w:line="240" w:lineRule="auto"/>
            </w:pPr>
            <w:r>
              <w:rPr>
                <w:b w:val="0"/>
                <w:color w:val="000000"/>
                <w:sz w:val="21"/>
              </w:rPr>
              <w:t>Retain qualifications for missing surfaces, conditional traits, provisional spectral normalisation and exploratory correspondence.</w:t>
            </w:r>
          </w:p>
        </w:tc>
      </w:tr>
      <w:tr>
        <w:trPr>
          <w:cantSplit/>
        </w:trPr>
        <w:tc>
          <w:tcPr>
            <w:tcW w:type="dxa" w:w="2952"/>
            <w:vAlign w:val="center"/>
            <w:tcMar>
              <w:top w:w="95" w:type="dxa"/>
              <w:left w:w="95" w:type="dxa"/>
              <w:bottom w:w="95" w:type="dxa"/>
              <w:right w:w="95" w:type="dxa"/>
            </w:tcMar>
            <w:shd w:fill="F1F5F7"/>
          </w:tcPr>
          <w:p>
            <w:pPr>
              <w:spacing w:after="40" w:before="40" w:line="240" w:lineRule="auto"/>
            </w:pPr>
            <w:r>
              <w:rPr>
                <w:b w:val="0"/>
                <w:color w:val="000000"/>
                <w:sz w:val="21"/>
              </w:rPr>
              <w:t>Timing and maintenance</w:t>
            </w:r>
          </w:p>
        </w:tc>
        <w:tc>
          <w:tcPr>
            <w:tcW w:type="dxa" w:w="7128"/>
            <w:vAlign w:val="center"/>
            <w:tcMar>
              <w:top w:w="95" w:type="dxa"/>
              <w:left w:w="95" w:type="dxa"/>
              <w:bottom w:w="95" w:type="dxa"/>
              <w:right w:w="95" w:type="dxa"/>
            </w:tcMar>
            <w:shd w:fill="F1F5F7"/>
          </w:tcPr>
          <w:p>
            <w:pPr>
              <w:spacing w:after="40" w:before="40" w:line="240" w:lineRule="auto"/>
            </w:pPr>
            <w:r>
              <w:rPr>
                <w:b w:val="0"/>
                <w:color w:val="000000"/>
                <w:sz w:val="21"/>
              </w:rPr>
              <w:t>Book lab access, allow a repair cycle and agree future maintenance and the support period.</w:t>
            </w:r>
          </w:p>
        </w:tc>
      </w:tr>
    </w:tbl>
    <w:p>
      <w:pPr>
        <w:spacing w:after="0" w:before="0" w:line="40" w:lineRule="exact"/>
      </w:pPr>
      <w:r>
        <w:rPr>
          <w:sz w:val="4"/>
        </w:rPr>
      </w:r>
    </w:p>
    <w:p>
      <w:pPr>
        <w:pStyle w:val="Heading2"/>
      </w:pPr>
      <w:r>
        <w:t>Definition of done</w:t>
      </w:r>
    </w:p>
    <w:p>
      <w:r>
        <w:rPr>
          <w:b w:val="0"/>
        </w:rPr>
        <w:t>Delivery is complete when all items have recorded locations and versions, archives are verified, lab tests pass, and the stakeholder receives access and documentation. Fix failures or obtain explicit acceptance of exceptions. Unresolved core installation, capture or gantry failures prevent a claim of full operational delivery.</w:t>
      </w:r>
    </w:p>
    <w:p>
      <w:pPr>
        <w:pStyle w:val="Heading2"/>
      </w:pPr>
      <w:r>
        <w:t>Final handover record</w:t>
      </w:r>
    </w:p>
    <w:p>
      <w:r>
        <w:rPr>
          <w:b w:val="0"/>
        </w:rPr>
        <w:t>Complete this record at the witnessed handover and attach the test evidence and any accepted exceptions.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5" w:type="dxa"/>
              <w:left w:w="95" w:type="dxa"/>
              <w:bottom w:w="95" w:type="dxa"/>
              <w:right w:w="95" w:type="dxa"/>
            </w:tcMar>
            <w:shd w:fill="24445A"/>
          </w:tcPr>
          <w:p>
            <w:pPr>
              <w:spacing w:after="40" w:before="40" w:line="240" w:lineRule="auto"/>
            </w:pPr>
            <w:r>
              <w:rPr>
                <w:b/>
                <w:color w:val="FFFFFF"/>
                <w:sz w:val="21"/>
              </w:rPr>
              <w:t>Field</w:t>
            </w:r>
          </w:p>
        </w:tc>
        <w:tc>
          <w:tcPr>
            <w:tcW w:type="dxa" w:w="7128"/>
            <w:vAlign w:val="center"/>
            <w:tcMar>
              <w:top w:w="95" w:type="dxa"/>
              <w:left w:w="95" w:type="dxa"/>
              <w:bottom w:w="95" w:type="dxa"/>
              <w:right w:w="95" w:type="dxa"/>
            </w:tcMar>
            <w:shd w:fill="24445A"/>
          </w:tcPr>
          <w:p>
            <w:pPr>
              <w:spacing w:after="40" w:before="40" w:line="240" w:lineRule="auto"/>
            </w:pPr>
            <w:r>
              <w:rPr>
                <w:b/>
                <w:color w:val="FFFFFF"/>
                <w:sz w:val="21"/>
              </w:rPr>
              <w:t>To be recorded at handover</w:t>
            </w:r>
          </w:p>
        </w:tc>
      </w:tr>
      <w:tr>
        <w:trPr>
          <w:cantSplit/>
        </w:trPr>
        <w:tc>
          <w:tcPr>
            <w:tcW w:type="dxa" w:w="2952"/>
            <w:vAlign w:val="center"/>
            <w:tcMar>
              <w:top w:w="95" w:type="dxa"/>
              <w:left w:w="95" w:type="dxa"/>
              <w:bottom w:w="95" w:type="dxa"/>
              <w:right w:w="95" w:type="dxa"/>
            </w:tcMar>
            <w:shd w:fill="F1F5F7"/>
          </w:tcPr>
          <w:p>
            <w:pPr>
              <w:spacing w:after="40" w:before="40" w:line="240" w:lineRule="auto"/>
            </w:pPr>
            <w:r>
              <w:rPr>
                <w:b w:val="0"/>
                <w:color w:val="000000"/>
                <w:sz w:val="21"/>
              </w:rPr>
              <w:t>Software and website releases</w:t>
            </w:r>
          </w:p>
        </w:tc>
        <w:tc>
          <w:tcPr>
            <w:tcW w:type="dxa" w:w="7128"/>
            <w:vAlign w:val="center"/>
            <w:tcMar>
              <w:top w:w="95" w:type="dxa"/>
              <w:left w:w="95" w:type="dxa"/>
              <w:bottom w:w="95" w:type="dxa"/>
              <w:right w:w="95" w:type="dxa"/>
            </w:tcMar>
            <w:shd w:fill="F1F5F7"/>
          </w:tcPr>
          <w:p>
            <w:pPr>
              <w:spacing w:after="40" w:before="40" w:line="240" w:lineRule="auto"/>
            </w:pPr>
            <w:r>
              <w:rPr>
                <w:b w:val="0"/>
                <w:color w:val="000000"/>
                <w:sz w:val="21"/>
              </w:rPr>
              <w:t>Release tags and exact commit IDs</w:t>
            </w:r>
          </w:p>
        </w:tc>
      </w:tr>
      <w:tr>
        <w:trPr>
          <w:cantSplit/>
        </w:trPr>
        <w:tc>
          <w:tcPr>
            <w:tcW w:type="dxa" w:w="2952"/>
            <w:vAlign w:val="center"/>
            <w:tcMar>
              <w:top w:w="95" w:type="dxa"/>
              <w:left w:w="95" w:type="dxa"/>
              <w:bottom w:w="95" w:type="dxa"/>
              <w:right w:w="95" w:type="dxa"/>
            </w:tcMar>
            <w:shd w:fill="FFFFFF"/>
          </w:tcPr>
          <w:p>
            <w:pPr>
              <w:spacing w:after="40" w:before="40" w:line="240" w:lineRule="auto"/>
            </w:pPr>
            <w:r>
              <w:rPr>
                <w:b w:val="0"/>
                <w:color w:val="000000"/>
                <w:sz w:val="21"/>
              </w:rPr>
              <w:t>Container and target environment</w:t>
            </w:r>
          </w:p>
        </w:tc>
        <w:tc>
          <w:tcPr>
            <w:tcW w:type="dxa" w:w="7128"/>
            <w:vAlign w:val="center"/>
            <w:tcMar>
              <w:top w:w="95" w:type="dxa"/>
              <w:left w:w="95" w:type="dxa"/>
              <w:bottom w:w="95" w:type="dxa"/>
              <w:right w:w="95" w:type="dxa"/>
            </w:tcMar>
            <w:shd w:fill="FFFFFF"/>
          </w:tcPr>
          <w:p>
            <w:pPr>
              <w:spacing w:after="40" w:before="40" w:line="240" w:lineRule="auto"/>
            </w:pPr>
            <w:r>
              <w:rPr>
                <w:b w:val="0"/>
                <w:color w:val="000000"/>
                <w:sz w:val="21"/>
              </w:rPr>
              <w:t>Image tag and digest; machine, operating system and tested hardware</w:t>
            </w:r>
          </w:p>
        </w:tc>
      </w:tr>
      <w:tr>
        <w:trPr>
          <w:cantSplit/>
        </w:trPr>
        <w:tc>
          <w:tcPr>
            <w:tcW w:type="dxa" w:w="2952"/>
            <w:vAlign w:val="center"/>
            <w:tcMar>
              <w:top w:w="95" w:type="dxa"/>
              <w:left w:w="95" w:type="dxa"/>
              <w:bottom w:w="95" w:type="dxa"/>
              <w:right w:w="95" w:type="dxa"/>
            </w:tcMar>
            <w:shd w:fill="F1F5F7"/>
          </w:tcPr>
          <w:p>
            <w:pPr>
              <w:spacing w:after="40" w:before="40" w:line="240" w:lineRule="auto"/>
            </w:pPr>
            <w:r>
              <w:rPr>
                <w:b w:val="0"/>
                <w:color w:val="000000"/>
                <w:sz w:val="21"/>
              </w:rPr>
              <w:t>Archive and evidence</w:t>
            </w:r>
          </w:p>
        </w:tc>
        <w:tc>
          <w:tcPr>
            <w:tcW w:type="dxa" w:w="7128"/>
            <w:vAlign w:val="center"/>
            <w:tcMar>
              <w:top w:w="95" w:type="dxa"/>
              <w:left w:w="95" w:type="dxa"/>
              <w:bottom w:w="95" w:type="dxa"/>
              <w:right w:w="95" w:type="dxa"/>
            </w:tcMar>
            <w:shd w:fill="F1F5F7"/>
          </w:tcPr>
          <w:p>
            <w:pPr>
              <w:spacing w:after="40" w:before="40" w:line="240" w:lineRule="auto"/>
            </w:pPr>
            <w:r>
              <w:rPr>
                <w:b w:val="0"/>
                <w:color w:val="000000"/>
                <w:sz w:val="21"/>
              </w:rPr>
              <w:t>Storage location, manifest version, checksum report and acceptance-test record</w:t>
            </w:r>
          </w:p>
        </w:tc>
      </w:tr>
      <w:tr>
        <w:trPr>
          <w:cantSplit/>
        </w:trPr>
        <w:tc>
          <w:tcPr>
            <w:tcW w:type="dxa" w:w="2952"/>
            <w:vAlign w:val="center"/>
            <w:tcMar>
              <w:top w:w="95" w:type="dxa"/>
              <w:left w:w="95" w:type="dxa"/>
              <w:bottom w:w="95" w:type="dxa"/>
              <w:right w:w="95" w:type="dxa"/>
            </w:tcMar>
            <w:shd w:fill="FFFFFF"/>
          </w:tcPr>
          <w:p>
            <w:pPr>
              <w:spacing w:after="40" w:before="40" w:line="240" w:lineRule="auto"/>
            </w:pPr>
            <w:r>
              <w:rPr>
                <w:b w:val="0"/>
                <w:color w:val="000000"/>
                <w:sz w:val="21"/>
              </w:rPr>
              <w:t>Responsible people</w:t>
            </w:r>
          </w:p>
        </w:tc>
        <w:tc>
          <w:tcPr>
            <w:tcW w:type="dxa" w:w="7128"/>
            <w:vAlign w:val="center"/>
            <w:tcMar>
              <w:top w:w="95" w:type="dxa"/>
              <w:left w:w="95" w:type="dxa"/>
              <w:bottom w:w="95" w:type="dxa"/>
              <w:right w:w="95" w:type="dxa"/>
            </w:tcMar>
            <w:shd w:fill="FFFFFF"/>
          </w:tcPr>
          <w:p>
            <w:pPr>
              <w:spacing w:after="40" w:before="40" w:line="240" w:lineRule="auto"/>
            </w:pPr>
            <w:r>
              <w:rPr>
                <w:b w:val="0"/>
                <w:color w:val="000000"/>
                <w:sz w:val="21"/>
              </w:rPr>
              <w:t>Delivery coordinator, workstream owners, acceptance reviewer and future maintainer</w:t>
            </w:r>
          </w:p>
        </w:tc>
      </w:tr>
      <w:tr>
        <w:trPr>
          <w:cantSplit/>
        </w:trPr>
        <w:tc>
          <w:tcPr>
            <w:tcW w:type="dxa" w:w="2952"/>
            <w:vAlign w:val="center"/>
            <w:tcMar>
              <w:top w:w="95" w:type="dxa"/>
              <w:left w:w="95" w:type="dxa"/>
              <w:bottom w:w="95" w:type="dxa"/>
              <w:right w:w="95" w:type="dxa"/>
            </w:tcMar>
            <w:shd w:fill="F1F5F7"/>
          </w:tcPr>
          <w:p>
            <w:pPr>
              <w:spacing w:after="40" w:before="40" w:line="240" w:lineRule="auto"/>
            </w:pPr>
            <w:r>
              <w:rPr>
                <w:b w:val="0"/>
                <w:color w:val="000000"/>
                <w:sz w:val="21"/>
              </w:rPr>
              <w:t>Dates and support</w:t>
            </w:r>
          </w:p>
        </w:tc>
        <w:tc>
          <w:tcPr>
            <w:tcW w:type="dxa" w:w="7128"/>
            <w:vAlign w:val="center"/>
            <w:tcMar>
              <w:top w:w="95" w:type="dxa"/>
              <w:left w:w="95" w:type="dxa"/>
              <w:bottom w:w="95" w:type="dxa"/>
              <w:right w:w="95" w:type="dxa"/>
            </w:tcMar>
            <w:shd w:fill="F1F5F7"/>
          </w:tcPr>
          <w:p>
            <w:pPr>
              <w:spacing w:after="40" w:before="40" w:line="240" w:lineRule="auto"/>
            </w:pPr>
            <w:r>
              <w:rPr>
                <w:b w:val="0"/>
                <w:color w:val="000000"/>
                <w:sz w:val="21"/>
              </w:rPr>
              <w:t>Delivery date, acceptance date and agreed support or transition period</w:t>
            </w:r>
          </w:p>
        </w:tc>
      </w:tr>
      <w:tr>
        <w:trPr>
          <w:cantSplit/>
        </w:trPr>
        <w:tc>
          <w:tcPr>
            <w:tcW w:type="dxa" w:w="2952"/>
            <w:vAlign w:val="center"/>
            <w:tcMar>
              <w:top w:w="95" w:type="dxa"/>
              <w:left w:w="95" w:type="dxa"/>
              <w:bottom w:w="95" w:type="dxa"/>
              <w:right w:w="95" w:type="dxa"/>
            </w:tcMar>
            <w:shd w:fill="FFFFFF"/>
          </w:tcPr>
          <w:p>
            <w:pPr>
              <w:spacing w:after="40" w:before="40" w:line="240" w:lineRule="auto"/>
            </w:pPr>
            <w:r>
              <w:rPr>
                <w:b w:val="0"/>
                <w:color w:val="000000"/>
                <w:sz w:val="21"/>
              </w:rPr>
              <w:t>Decision and exceptions</w:t>
            </w:r>
          </w:p>
        </w:tc>
        <w:tc>
          <w:tcPr>
            <w:tcW w:type="dxa" w:w="7128"/>
            <w:vAlign w:val="center"/>
            <w:tcMar>
              <w:top w:w="95" w:type="dxa"/>
              <w:left w:w="95" w:type="dxa"/>
              <w:bottom w:w="95" w:type="dxa"/>
              <w:right w:w="95" w:type="dxa"/>
            </w:tcMar>
            <w:shd w:fill="FFFFFF"/>
          </w:tcPr>
          <w:p>
            <w:pPr>
              <w:spacing w:after="40" w:before="40" w:line="240" w:lineRule="auto"/>
            </w:pPr>
            <w:r>
              <w:rPr>
                <w:b w:val="0"/>
                <w:color w:val="000000"/>
                <w:sz w:val="21"/>
              </w:rPr>
              <w:t>Accepted / Accepted with conditions / Not accepted; exception IDs, owners and due dates</w:t>
            </w:r>
          </w:p>
        </w:tc>
      </w:tr>
      <w:tr>
        <w:trPr>
          <w:cantSplit/>
        </w:trPr>
        <w:tc>
          <w:tcPr>
            <w:tcW w:type="dxa" w:w="2952"/>
            <w:vAlign w:val="center"/>
            <w:tcMar>
              <w:top w:w="95" w:type="dxa"/>
              <w:left w:w="95" w:type="dxa"/>
              <w:bottom w:w="95" w:type="dxa"/>
              <w:right w:w="95" w:type="dxa"/>
            </w:tcMar>
            <w:shd w:fill="F1F5F7"/>
          </w:tcPr>
          <w:p>
            <w:pPr>
              <w:spacing w:after="40" w:before="40" w:line="240" w:lineRule="auto"/>
            </w:pPr>
            <w:r>
              <w:rPr>
                <w:b w:val="0"/>
                <w:color w:val="000000"/>
                <w:sz w:val="21"/>
              </w:rPr>
              <w:t>Confirmation</w:t>
            </w:r>
          </w:p>
        </w:tc>
        <w:tc>
          <w:tcPr>
            <w:tcW w:type="dxa" w:w="7128"/>
            <w:vAlign w:val="center"/>
            <w:tcMar>
              <w:top w:w="95" w:type="dxa"/>
              <w:left w:w="95" w:type="dxa"/>
              <w:bottom w:w="95" w:type="dxa"/>
              <w:right w:w="95" w:type="dxa"/>
            </w:tcMar>
            <w:shd w:fill="F1F5F7"/>
          </w:tcPr>
          <w:p>
            <w:pPr>
              <w:spacing w:after="40" w:before="40" w:line="240" w:lineRule="auto"/>
            </w:pPr>
            <w:r>
              <w:rPr>
                <w:b w:val="0"/>
                <w:color w:val="000000"/>
                <w:sz w:val="21"/>
              </w:rPr>
              <w:t>Stakeholder or nominated reviewer name and signature or written confirmation</w:t>
            </w:r>
          </w:p>
        </w:tc>
      </w:tr>
    </w:tbl>
    <w:p>
      <w:pPr>
        <w:spacing w:after="0" w:before="0" w:line="40" w:lineRule="exact"/>
      </w:pPr>
      <w:r>
        <w:rPr>
          <w:sz w:val="4"/>
        </w:rPr>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12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PhenoFusion3D    Final delivery and handover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PhenoFusion3D Final Delivery and Handover Plan</dc:title>
  <dc:subject>Delivery scope, release preparation, laboratory acceptance and stakeholder handover</dc:subject>
  <dc:creator>PhenoFusion3D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