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85C6" w14:textId="5CD41C4E" w:rsidR="004B4744" w:rsidRPr="00026D3F" w:rsidRDefault="004B4744" w:rsidP="004B4744">
      <w:pPr>
        <w:pStyle w:val="Heading1"/>
        <w:jc w:val="center"/>
        <w:rPr>
          <w:rFonts w:ascii="Times New Roman" w:hAnsi="Times New Roman" w:cs="Times New Roman"/>
          <w:b/>
          <w:bCs/>
          <w:color w:val="4472C4" w:themeColor="accent1"/>
          <w:u w:val="single"/>
          <w:lang w:val="en-IN"/>
        </w:rPr>
      </w:pPr>
      <w:r w:rsidRPr="00026D3F">
        <w:rPr>
          <w:rFonts w:ascii="Times New Roman" w:hAnsi="Times New Roman" w:cs="Times New Roman"/>
          <w:b/>
          <w:bCs/>
          <w:color w:val="4472C4" w:themeColor="accent1"/>
          <w:highlight w:val="lightGray"/>
          <w:u w:val="single"/>
          <w:lang w:val="en-IN"/>
        </w:rPr>
        <w:t>PROJECT ON</w:t>
      </w:r>
      <w:r w:rsidR="00026D3F">
        <w:rPr>
          <w:rFonts w:ascii="Times New Roman" w:hAnsi="Times New Roman" w:cs="Times New Roman"/>
          <w:b/>
          <w:bCs/>
          <w:color w:val="4472C4" w:themeColor="accent1"/>
          <w:highlight w:val="lightGray"/>
          <w:u w:val="single"/>
          <w:lang w:val="en-IN"/>
        </w:rPr>
        <w:t xml:space="preserve"> </w:t>
      </w:r>
      <w:r w:rsidR="00026D3F" w:rsidRPr="00026D3F">
        <w:rPr>
          <w:rFonts w:ascii="Times New Roman" w:hAnsi="Times New Roman" w:cs="Times New Roman"/>
          <w:b/>
          <w:bCs/>
          <w:color w:val="4472C4" w:themeColor="accent1"/>
          <w:highlight w:val="lightGray"/>
          <w:u w:val="single"/>
          <w:lang w:val="en-IN"/>
        </w:rPr>
        <w:t>HOUSE PRICING</w:t>
      </w:r>
    </w:p>
    <w:p w14:paraId="1D7ED5DF" w14:textId="77777777" w:rsidR="004B4744" w:rsidRPr="004B4744" w:rsidRDefault="004B4744" w:rsidP="004B4744">
      <w:pPr>
        <w:rPr>
          <w:rFonts w:ascii="Times New Roman" w:hAnsi="Times New Roman" w:cs="Times New Roman"/>
          <w:lang w:val="en-IN"/>
        </w:rPr>
      </w:pPr>
    </w:p>
    <w:p w14:paraId="25DF96CB" w14:textId="77777777" w:rsidR="004B4744" w:rsidRPr="004B4744" w:rsidRDefault="004B4744" w:rsidP="004B4744">
      <w:pPr>
        <w:pStyle w:val="Heading2"/>
        <w:rPr>
          <w:rFonts w:ascii="Times New Roman" w:hAnsi="Times New Roman" w:cs="Times New Roman"/>
          <w:sz w:val="28"/>
          <w:szCs w:val="28"/>
          <w:u w:val="single"/>
          <w:lang w:val="en-IN"/>
        </w:rPr>
      </w:pPr>
      <w:r w:rsidRPr="004B4744">
        <w:rPr>
          <w:rFonts w:ascii="Times New Roman" w:hAnsi="Times New Roman" w:cs="Times New Roman"/>
          <w:sz w:val="28"/>
          <w:szCs w:val="28"/>
          <w:u w:val="single"/>
          <w:lang w:val="en-IN"/>
        </w:rPr>
        <w:t xml:space="preserve">Data Description – </w:t>
      </w:r>
    </w:p>
    <w:p w14:paraId="0DA8A7DD" w14:textId="77777777" w:rsidR="004B4744" w:rsidRDefault="004B4744" w:rsidP="004B4744">
      <w:pPr>
        <w:jc w:val="both"/>
        <w:rPr>
          <w:rFonts w:ascii="Times New Roman" w:hAnsi="Times New Roman" w:cs="Times New Roman"/>
          <w:sz w:val="24"/>
          <w:szCs w:val="24"/>
        </w:rPr>
      </w:pPr>
      <w:r w:rsidRPr="004B4744">
        <w:rPr>
          <w:rFonts w:ascii="Times New Roman" w:hAnsi="Times New Roman" w:cs="Times New Roman"/>
          <w:sz w:val="24"/>
          <w:szCs w:val="24"/>
        </w:rPr>
        <w:t>The dataset represents residential real estate listings across multiple cities and localities in India. It captures detailed property-level attributes such as property type, number of bedrooms (BHK), built-up area, price, price per square foot, and year of construction. In addition, the dataset includes contextual variables such as furnishing status, floor information, age of the property, nearby amenities (schools, hospitals, public transport), parking availability, and security features</w:t>
      </w:r>
      <w:r w:rsidRPr="004B4744">
        <w:rPr>
          <w:rFonts w:ascii="Times New Roman" w:hAnsi="Times New Roman" w:cs="Times New Roman"/>
          <w:sz w:val="24"/>
          <w:szCs w:val="24"/>
        </w:rPr>
        <w:t>.</w:t>
      </w:r>
    </w:p>
    <w:p w14:paraId="1A3C9304" w14:textId="77777777" w:rsidR="004B4744" w:rsidRDefault="004B4744" w:rsidP="004B4744">
      <w:pPr>
        <w:jc w:val="both"/>
        <w:rPr>
          <w:rFonts w:ascii="Times New Roman" w:hAnsi="Times New Roman" w:cs="Times New Roman"/>
          <w:sz w:val="24"/>
          <w:szCs w:val="24"/>
        </w:rPr>
      </w:pPr>
    </w:p>
    <w:p w14:paraId="20E0D01B" w14:textId="77777777" w:rsidR="004B4744" w:rsidRPr="00FD1295" w:rsidRDefault="004B4744" w:rsidP="004B4744">
      <w:pPr>
        <w:pStyle w:val="Heading2"/>
        <w:rPr>
          <w:rFonts w:ascii="Times New Roman" w:hAnsi="Times New Roman" w:cs="Times New Roman"/>
          <w:sz w:val="24"/>
          <w:szCs w:val="24"/>
          <w:u w:val="single"/>
          <w:lang w:val="en-IN"/>
        </w:rPr>
      </w:pPr>
      <w:r w:rsidRPr="00965723">
        <w:rPr>
          <w:rFonts w:ascii="Times New Roman" w:hAnsi="Times New Roman" w:cs="Times New Roman"/>
          <w:sz w:val="24"/>
          <w:szCs w:val="24"/>
          <w:u w:val="single"/>
          <w:lang w:val="en-IN"/>
        </w:rPr>
        <w:t>Objectives-</w:t>
      </w:r>
    </w:p>
    <w:p w14:paraId="6B9C5281" w14:textId="77777777" w:rsidR="004B4744" w:rsidRPr="004B4744" w:rsidRDefault="004B4744" w:rsidP="00F024F3">
      <w:pPr>
        <w:jc w:val="both"/>
        <w:rPr>
          <w:rFonts w:ascii="Times New Roman" w:hAnsi="Times New Roman" w:cs="Times New Roman"/>
          <w:sz w:val="24"/>
          <w:szCs w:val="24"/>
          <w:lang w:val="en-IN"/>
        </w:rPr>
      </w:pPr>
      <w:r w:rsidRPr="004B4744">
        <w:rPr>
          <w:rFonts w:ascii="Times New Roman" w:hAnsi="Times New Roman" w:cs="Times New Roman"/>
          <w:sz w:val="24"/>
          <w:szCs w:val="24"/>
          <w:lang w:val="en-IN"/>
        </w:rPr>
        <w:t> Analyse pricing patterns across cities, localities, and property types.</w:t>
      </w:r>
    </w:p>
    <w:p w14:paraId="67160FA1" w14:textId="77777777" w:rsidR="004B4744" w:rsidRPr="004B4744" w:rsidRDefault="004B4744" w:rsidP="00F024F3">
      <w:pPr>
        <w:jc w:val="both"/>
        <w:rPr>
          <w:rFonts w:ascii="Times New Roman" w:hAnsi="Times New Roman" w:cs="Times New Roman"/>
          <w:sz w:val="24"/>
          <w:szCs w:val="24"/>
          <w:lang w:val="en-IN"/>
        </w:rPr>
      </w:pPr>
      <w:r w:rsidRPr="004B4744">
        <w:rPr>
          <w:rFonts w:ascii="Times New Roman" w:hAnsi="Times New Roman" w:cs="Times New Roman"/>
          <w:sz w:val="24"/>
          <w:szCs w:val="24"/>
          <w:lang w:val="en-IN"/>
        </w:rPr>
        <w:t> Identify key factors influencing property prices (BHK, size, amenities, age of property).</w:t>
      </w:r>
    </w:p>
    <w:p w14:paraId="54627B90" w14:textId="77777777" w:rsidR="004B4744" w:rsidRPr="004B4744" w:rsidRDefault="004B4744" w:rsidP="00F024F3">
      <w:pPr>
        <w:jc w:val="both"/>
        <w:rPr>
          <w:rFonts w:ascii="Times New Roman" w:hAnsi="Times New Roman" w:cs="Times New Roman"/>
          <w:sz w:val="24"/>
          <w:szCs w:val="24"/>
          <w:lang w:val="en-IN"/>
        </w:rPr>
      </w:pPr>
      <w:r w:rsidRPr="004B4744">
        <w:rPr>
          <w:rFonts w:ascii="Times New Roman" w:hAnsi="Times New Roman" w:cs="Times New Roman"/>
          <w:sz w:val="24"/>
          <w:szCs w:val="24"/>
          <w:lang w:val="en-IN"/>
        </w:rPr>
        <w:t> Compare average price and price-per-</w:t>
      </w:r>
      <w:proofErr w:type="spellStart"/>
      <w:r w:rsidRPr="004B4744">
        <w:rPr>
          <w:rFonts w:ascii="Times New Roman" w:hAnsi="Times New Roman" w:cs="Times New Roman"/>
          <w:sz w:val="24"/>
          <w:szCs w:val="24"/>
          <w:lang w:val="en-IN"/>
        </w:rPr>
        <w:t>sqft</w:t>
      </w:r>
      <w:proofErr w:type="spellEnd"/>
      <w:r w:rsidRPr="004B4744">
        <w:rPr>
          <w:rFonts w:ascii="Times New Roman" w:hAnsi="Times New Roman" w:cs="Times New Roman"/>
          <w:sz w:val="24"/>
          <w:szCs w:val="24"/>
          <w:lang w:val="en-IN"/>
        </w:rPr>
        <w:t xml:space="preserve"> trends to understand market dynamics.</w:t>
      </w:r>
    </w:p>
    <w:p w14:paraId="612B289D" w14:textId="77777777" w:rsidR="004B4744" w:rsidRPr="004B4744" w:rsidRDefault="004B4744" w:rsidP="00F024F3">
      <w:pPr>
        <w:jc w:val="both"/>
        <w:rPr>
          <w:rFonts w:ascii="Times New Roman" w:hAnsi="Times New Roman" w:cs="Times New Roman"/>
          <w:sz w:val="24"/>
          <w:szCs w:val="24"/>
          <w:lang w:val="en-IN"/>
        </w:rPr>
      </w:pPr>
      <w:r w:rsidRPr="004B4744">
        <w:rPr>
          <w:rFonts w:ascii="Times New Roman" w:hAnsi="Times New Roman" w:cs="Times New Roman"/>
          <w:sz w:val="24"/>
          <w:szCs w:val="24"/>
          <w:lang w:val="en-IN"/>
        </w:rPr>
        <w:t> Assess the impact of location-specific features such as schools, hospitals, and transport accessibility.</w:t>
      </w:r>
    </w:p>
    <w:p w14:paraId="4FC1FF0D" w14:textId="77777777" w:rsidR="004B4744" w:rsidRPr="004B4744" w:rsidRDefault="004B4744" w:rsidP="00F024F3">
      <w:pPr>
        <w:jc w:val="both"/>
        <w:rPr>
          <w:rFonts w:ascii="Times New Roman" w:hAnsi="Times New Roman" w:cs="Times New Roman"/>
          <w:sz w:val="24"/>
          <w:szCs w:val="24"/>
          <w:lang w:val="en-IN"/>
        </w:rPr>
      </w:pPr>
      <w:r w:rsidRPr="004B4744">
        <w:rPr>
          <w:rFonts w:ascii="Times New Roman" w:hAnsi="Times New Roman" w:cs="Times New Roman"/>
          <w:sz w:val="24"/>
          <w:szCs w:val="24"/>
          <w:lang w:val="en-IN"/>
        </w:rPr>
        <w:t> Build an interactive single-sheet Power BI dashboard for quick insights and decision support.</w:t>
      </w:r>
    </w:p>
    <w:p w14:paraId="606284C4" w14:textId="70621BA9" w:rsidR="004B4744" w:rsidRDefault="004B4744" w:rsidP="004B4744">
      <w:pPr>
        <w:jc w:val="both"/>
        <w:rPr>
          <w:rFonts w:ascii="Times New Roman" w:hAnsi="Times New Roman" w:cs="Times New Roman"/>
          <w:sz w:val="24"/>
          <w:szCs w:val="24"/>
        </w:rPr>
      </w:pPr>
    </w:p>
    <w:p w14:paraId="598076AF" w14:textId="77777777" w:rsidR="008C4AA8" w:rsidRDefault="008C4AA8" w:rsidP="008C4AA8">
      <w:pPr>
        <w:pStyle w:val="Heading2"/>
        <w:rPr>
          <w:rFonts w:ascii="Times New Roman" w:hAnsi="Times New Roman" w:cs="Times New Roman"/>
          <w:sz w:val="24"/>
          <w:szCs w:val="24"/>
          <w:u w:val="single"/>
          <w:lang w:val="en-IN"/>
        </w:rPr>
      </w:pPr>
      <w:r w:rsidRPr="00965723">
        <w:rPr>
          <w:rFonts w:ascii="Times New Roman" w:hAnsi="Times New Roman" w:cs="Times New Roman"/>
          <w:sz w:val="24"/>
          <w:szCs w:val="24"/>
          <w:u w:val="single"/>
          <w:lang w:val="en-IN"/>
        </w:rPr>
        <w:t>Analyses-</w:t>
      </w:r>
    </w:p>
    <w:p w14:paraId="4589A82A" w14:textId="41373248" w:rsidR="008C4AA8" w:rsidRDefault="008C4AA8" w:rsidP="004B4744">
      <w:pPr>
        <w:jc w:val="both"/>
        <w:rPr>
          <w:rFonts w:ascii="Times New Roman" w:hAnsi="Times New Roman" w:cs="Times New Roman"/>
          <w:sz w:val="24"/>
          <w:szCs w:val="24"/>
        </w:rPr>
      </w:pPr>
      <w:r>
        <w:rPr>
          <w:rFonts w:ascii="Times New Roman" w:hAnsi="Times New Roman" w:cs="Times New Roman"/>
          <w:sz w:val="24"/>
          <w:szCs w:val="24"/>
        </w:rPr>
        <w:t xml:space="preserve">Technique used here used is </w:t>
      </w:r>
      <w:r w:rsidRPr="008C4AA8">
        <w:rPr>
          <w:rFonts w:ascii="Times New Roman" w:hAnsi="Times New Roman" w:cs="Times New Roman"/>
          <w:b/>
          <w:bCs/>
          <w:sz w:val="24"/>
          <w:szCs w:val="24"/>
        </w:rPr>
        <w:t xml:space="preserve">POWER BI </w:t>
      </w:r>
      <w:r>
        <w:rPr>
          <w:rFonts w:ascii="Times New Roman" w:hAnsi="Times New Roman" w:cs="Times New Roman"/>
          <w:sz w:val="24"/>
          <w:szCs w:val="24"/>
        </w:rPr>
        <w:t>for dashboard</w:t>
      </w:r>
    </w:p>
    <w:p w14:paraId="34478353" w14:textId="77777777" w:rsidR="008C4AA8" w:rsidRDefault="008C4AA8" w:rsidP="004B4744">
      <w:pPr>
        <w:jc w:val="both"/>
        <w:rPr>
          <w:rFonts w:ascii="Times New Roman" w:hAnsi="Times New Roman" w:cs="Times New Roman"/>
          <w:sz w:val="24"/>
          <w:szCs w:val="24"/>
        </w:rPr>
      </w:pPr>
    </w:p>
    <w:p w14:paraId="0C7E2B7F" w14:textId="77777777" w:rsidR="006E2F62" w:rsidRDefault="006E2F62" w:rsidP="004B4744">
      <w:pPr>
        <w:jc w:val="both"/>
        <w:rPr>
          <w:rFonts w:ascii="Times New Roman" w:hAnsi="Times New Roman" w:cs="Times New Roman"/>
          <w:b/>
          <w:bCs/>
          <w:sz w:val="24"/>
          <w:szCs w:val="24"/>
          <w:u w:val="single"/>
        </w:rPr>
      </w:pPr>
    </w:p>
    <w:p w14:paraId="348F9278" w14:textId="77777777" w:rsidR="006E2F62" w:rsidRDefault="006E2F62" w:rsidP="004B4744">
      <w:pPr>
        <w:jc w:val="both"/>
        <w:rPr>
          <w:rFonts w:ascii="Times New Roman" w:hAnsi="Times New Roman" w:cs="Times New Roman"/>
          <w:b/>
          <w:bCs/>
          <w:sz w:val="24"/>
          <w:szCs w:val="24"/>
          <w:u w:val="single"/>
        </w:rPr>
      </w:pPr>
    </w:p>
    <w:p w14:paraId="3730DC80" w14:textId="77777777" w:rsidR="006E2F62" w:rsidRDefault="006E2F62" w:rsidP="004B4744">
      <w:pPr>
        <w:jc w:val="both"/>
        <w:rPr>
          <w:rFonts w:ascii="Times New Roman" w:hAnsi="Times New Roman" w:cs="Times New Roman"/>
          <w:b/>
          <w:bCs/>
          <w:sz w:val="24"/>
          <w:szCs w:val="24"/>
          <w:u w:val="single"/>
        </w:rPr>
      </w:pPr>
    </w:p>
    <w:p w14:paraId="43848CF8" w14:textId="77777777" w:rsidR="006E2F62" w:rsidRDefault="006E2F62" w:rsidP="004B4744">
      <w:pPr>
        <w:jc w:val="both"/>
        <w:rPr>
          <w:rFonts w:ascii="Times New Roman" w:hAnsi="Times New Roman" w:cs="Times New Roman"/>
          <w:b/>
          <w:bCs/>
          <w:sz w:val="24"/>
          <w:szCs w:val="24"/>
          <w:u w:val="single"/>
        </w:rPr>
      </w:pPr>
    </w:p>
    <w:p w14:paraId="3B558455" w14:textId="77777777" w:rsidR="006E2F62" w:rsidRDefault="006E2F62" w:rsidP="004B4744">
      <w:pPr>
        <w:jc w:val="both"/>
        <w:rPr>
          <w:rFonts w:ascii="Times New Roman" w:hAnsi="Times New Roman" w:cs="Times New Roman"/>
          <w:b/>
          <w:bCs/>
          <w:sz w:val="24"/>
          <w:szCs w:val="24"/>
          <w:u w:val="single"/>
        </w:rPr>
      </w:pPr>
    </w:p>
    <w:p w14:paraId="74702517" w14:textId="77777777" w:rsidR="006E2F62" w:rsidRDefault="006E2F62" w:rsidP="004B4744">
      <w:pPr>
        <w:jc w:val="both"/>
        <w:rPr>
          <w:rFonts w:ascii="Times New Roman" w:hAnsi="Times New Roman" w:cs="Times New Roman"/>
          <w:b/>
          <w:bCs/>
          <w:sz w:val="24"/>
          <w:szCs w:val="24"/>
          <w:u w:val="single"/>
        </w:rPr>
      </w:pPr>
    </w:p>
    <w:p w14:paraId="3249236D" w14:textId="77777777" w:rsidR="006E2F62" w:rsidRDefault="006E2F62" w:rsidP="004B4744">
      <w:pPr>
        <w:jc w:val="both"/>
        <w:rPr>
          <w:rFonts w:ascii="Times New Roman" w:hAnsi="Times New Roman" w:cs="Times New Roman"/>
          <w:b/>
          <w:bCs/>
          <w:sz w:val="24"/>
          <w:szCs w:val="24"/>
          <w:u w:val="single"/>
        </w:rPr>
      </w:pPr>
    </w:p>
    <w:p w14:paraId="5ECA6151" w14:textId="77777777" w:rsidR="006E2F62" w:rsidRDefault="006E2F62" w:rsidP="004B4744">
      <w:pPr>
        <w:jc w:val="both"/>
        <w:rPr>
          <w:rFonts w:ascii="Times New Roman" w:hAnsi="Times New Roman" w:cs="Times New Roman"/>
          <w:b/>
          <w:bCs/>
          <w:sz w:val="24"/>
          <w:szCs w:val="24"/>
          <w:u w:val="single"/>
        </w:rPr>
      </w:pPr>
    </w:p>
    <w:p w14:paraId="6260C4A7" w14:textId="77777777" w:rsidR="006E2F62" w:rsidRDefault="006E2F62" w:rsidP="004B4744">
      <w:pPr>
        <w:jc w:val="both"/>
        <w:rPr>
          <w:rFonts w:ascii="Times New Roman" w:hAnsi="Times New Roman" w:cs="Times New Roman"/>
          <w:b/>
          <w:bCs/>
          <w:sz w:val="24"/>
          <w:szCs w:val="24"/>
          <w:u w:val="single"/>
        </w:rPr>
      </w:pPr>
    </w:p>
    <w:p w14:paraId="03D319C1" w14:textId="77777777" w:rsidR="006E2F62" w:rsidRDefault="006E2F62" w:rsidP="004B4744">
      <w:pPr>
        <w:jc w:val="both"/>
        <w:rPr>
          <w:rFonts w:ascii="Times New Roman" w:hAnsi="Times New Roman" w:cs="Times New Roman"/>
          <w:b/>
          <w:bCs/>
          <w:sz w:val="24"/>
          <w:szCs w:val="24"/>
          <w:u w:val="single"/>
        </w:rPr>
      </w:pPr>
    </w:p>
    <w:p w14:paraId="26AE4670" w14:textId="77777777" w:rsidR="006E2F62" w:rsidRDefault="006E2F62" w:rsidP="004B4744">
      <w:pPr>
        <w:jc w:val="both"/>
        <w:rPr>
          <w:rFonts w:ascii="Times New Roman" w:hAnsi="Times New Roman" w:cs="Times New Roman"/>
          <w:b/>
          <w:bCs/>
          <w:sz w:val="24"/>
          <w:szCs w:val="24"/>
          <w:u w:val="single"/>
        </w:rPr>
      </w:pPr>
    </w:p>
    <w:p w14:paraId="44B9F420" w14:textId="7E25B262" w:rsidR="008C4AA8" w:rsidRDefault="0094695B" w:rsidP="004B4744">
      <w:pPr>
        <w:jc w:val="both"/>
        <w:rPr>
          <w:rFonts w:ascii="Times New Roman" w:hAnsi="Times New Roman" w:cs="Times New Roman"/>
          <w:b/>
          <w:bCs/>
          <w:sz w:val="24"/>
          <w:szCs w:val="24"/>
          <w:u w:val="single"/>
        </w:rPr>
      </w:pPr>
      <w:r w:rsidRPr="0094695B">
        <w:rPr>
          <w:rFonts w:ascii="Times New Roman" w:hAnsi="Times New Roman" w:cs="Times New Roman"/>
          <w:b/>
          <w:bCs/>
          <w:sz w:val="24"/>
          <w:szCs w:val="24"/>
          <w:u w:val="single"/>
        </w:rPr>
        <w:lastRenderedPageBreak/>
        <w:t>DASHBOARD</w:t>
      </w:r>
      <w:r w:rsidR="00E65A81">
        <w:rPr>
          <w:rFonts w:ascii="Times New Roman" w:hAnsi="Times New Roman" w:cs="Times New Roman"/>
          <w:b/>
          <w:bCs/>
          <w:sz w:val="24"/>
          <w:szCs w:val="24"/>
          <w:u w:val="single"/>
        </w:rPr>
        <w:t>S</w:t>
      </w:r>
      <w:r w:rsidR="00841CE0">
        <w:rPr>
          <w:rFonts w:ascii="Times New Roman" w:hAnsi="Times New Roman" w:cs="Times New Roman"/>
          <w:b/>
          <w:bCs/>
          <w:sz w:val="24"/>
          <w:szCs w:val="24"/>
          <w:u w:val="single"/>
        </w:rPr>
        <w:t>:</w:t>
      </w:r>
    </w:p>
    <w:p w14:paraId="065C8070" w14:textId="77777777" w:rsidR="00CF7374" w:rsidRDefault="00CF7374" w:rsidP="004B4744">
      <w:pPr>
        <w:jc w:val="both"/>
        <w:rPr>
          <w:rFonts w:ascii="Times New Roman" w:hAnsi="Times New Roman" w:cs="Times New Roman"/>
          <w:b/>
          <w:bCs/>
          <w:sz w:val="24"/>
          <w:szCs w:val="24"/>
          <w:u w:val="single"/>
        </w:rPr>
      </w:pPr>
    </w:p>
    <w:p w14:paraId="2375AD5B" w14:textId="6BB16BAC" w:rsidR="00CF7374" w:rsidRPr="00135859" w:rsidRDefault="00CF7374" w:rsidP="00135859">
      <w:pPr>
        <w:jc w:val="both"/>
        <w:rPr>
          <w:noProof/>
        </w:rPr>
      </w:pPr>
      <w:r>
        <w:rPr>
          <w:noProof/>
        </w:rPr>
        <w:drawing>
          <wp:inline distT="0" distB="0" distL="0" distR="0" wp14:anchorId="671A0AAB" wp14:editId="5EAEEE94">
            <wp:extent cx="5731510" cy="3246120"/>
            <wp:effectExtent l="76200" t="76200" r="135890" b="125730"/>
            <wp:docPr id="15520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F859E0" w14:textId="77777777" w:rsidR="00CF7374" w:rsidRDefault="00CF7374" w:rsidP="00CF7374">
      <w:pPr>
        <w:rPr>
          <w:noProof/>
        </w:rPr>
      </w:pPr>
    </w:p>
    <w:p w14:paraId="2575906E" w14:textId="6725D6D2" w:rsidR="00CF7374" w:rsidRDefault="00CF7374" w:rsidP="00CF7374">
      <w:pPr>
        <w:tabs>
          <w:tab w:val="left" w:pos="2064"/>
        </w:tabs>
        <w:rPr>
          <w:noProof/>
        </w:rPr>
      </w:pPr>
      <w:r>
        <w:rPr>
          <w:noProof/>
        </w:rPr>
        <w:drawing>
          <wp:inline distT="0" distB="0" distL="0" distR="0" wp14:anchorId="21854746" wp14:editId="189AC9D6">
            <wp:extent cx="5731510" cy="2021840"/>
            <wp:effectExtent l="76200" t="76200" r="135890" b="130810"/>
            <wp:docPr id="1472689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21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0762D2" w14:textId="61FD91C3" w:rsidR="006E2F62" w:rsidRPr="001C2796" w:rsidRDefault="006E2F62" w:rsidP="00D3487F">
      <w:pPr>
        <w:jc w:val="both"/>
        <w:rPr>
          <w:rFonts w:ascii="Times New Roman" w:hAnsi="Times New Roman" w:cs="Times New Roman"/>
          <w:b/>
          <w:bCs/>
          <w:sz w:val="24"/>
          <w:szCs w:val="24"/>
          <w:lang w:val="en-IN"/>
        </w:rPr>
      </w:pPr>
      <w:r w:rsidRPr="001C2796">
        <w:rPr>
          <w:rFonts w:ascii="Times New Roman" w:hAnsi="Times New Roman" w:cs="Times New Roman"/>
          <w:b/>
          <w:bCs/>
          <w:sz w:val="24"/>
          <w:szCs w:val="24"/>
          <w:lang w:val="en-IN"/>
        </w:rPr>
        <w:t>1. Market-Level Indicators</w:t>
      </w:r>
      <w:r w:rsidRPr="00D3487F">
        <w:rPr>
          <w:rFonts w:ascii="Times New Roman" w:hAnsi="Times New Roman" w:cs="Times New Roman"/>
          <w:b/>
          <w:bCs/>
          <w:sz w:val="24"/>
          <w:szCs w:val="24"/>
          <w:lang w:val="en-IN"/>
        </w:rPr>
        <w:t xml:space="preserve"> (KPIs)</w:t>
      </w:r>
    </w:p>
    <w:p w14:paraId="4466FF62" w14:textId="77777777" w:rsidR="006E2F62" w:rsidRPr="001C2796" w:rsidRDefault="006E2F62"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The KPI section gives an instant understanding of the overall market:</w:t>
      </w:r>
    </w:p>
    <w:p w14:paraId="3E603E6C" w14:textId="77777777" w:rsidR="006E2F62" w:rsidRPr="001C2796" w:rsidRDefault="006E2F62" w:rsidP="00D3487F">
      <w:pPr>
        <w:numPr>
          <w:ilvl w:val="0"/>
          <w:numId w:val="1"/>
        </w:numPr>
        <w:jc w:val="both"/>
        <w:rPr>
          <w:rFonts w:ascii="Times New Roman" w:hAnsi="Times New Roman" w:cs="Times New Roman"/>
          <w:sz w:val="24"/>
          <w:szCs w:val="24"/>
          <w:lang w:val="en-IN"/>
        </w:rPr>
      </w:pPr>
      <w:r w:rsidRPr="001C2796">
        <w:rPr>
          <w:rFonts w:ascii="Times New Roman" w:hAnsi="Times New Roman" w:cs="Times New Roman"/>
          <w:b/>
          <w:bCs/>
          <w:sz w:val="24"/>
          <w:szCs w:val="24"/>
          <w:lang w:val="en-IN"/>
        </w:rPr>
        <w:t xml:space="preserve">Average Price per </w:t>
      </w:r>
      <w:proofErr w:type="spellStart"/>
      <w:r w:rsidRPr="001C2796">
        <w:rPr>
          <w:rFonts w:ascii="Times New Roman" w:hAnsi="Times New Roman" w:cs="Times New Roman"/>
          <w:b/>
          <w:bCs/>
          <w:sz w:val="24"/>
          <w:szCs w:val="24"/>
          <w:lang w:val="en-IN"/>
        </w:rPr>
        <w:t>SqFt</w:t>
      </w:r>
      <w:proofErr w:type="spellEnd"/>
      <w:r w:rsidRPr="001C2796">
        <w:rPr>
          <w:rFonts w:ascii="Times New Roman" w:hAnsi="Times New Roman" w:cs="Times New Roman"/>
          <w:b/>
          <w:bCs/>
          <w:sz w:val="24"/>
          <w:szCs w:val="24"/>
          <w:lang w:val="en-IN"/>
        </w:rPr>
        <w:t>:</w:t>
      </w:r>
      <w:r w:rsidRPr="001C2796">
        <w:rPr>
          <w:rFonts w:ascii="Times New Roman" w:hAnsi="Times New Roman" w:cs="Times New Roman"/>
          <w:sz w:val="24"/>
          <w:szCs w:val="24"/>
          <w:lang w:val="en-IN"/>
        </w:rPr>
        <w:t xml:space="preserve"> 0.13 Lakhs (₹13,000), indicating a relatively premium market.</w:t>
      </w:r>
    </w:p>
    <w:p w14:paraId="0D479DB0" w14:textId="77777777" w:rsidR="006E2F62" w:rsidRPr="001C2796" w:rsidRDefault="006E2F62" w:rsidP="00D3487F">
      <w:pPr>
        <w:numPr>
          <w:ilvl w:val="0"/>
          <w:numId w:val="1"/>
        </w:numPr>
        <w:jc w:val="both"/>
        <w:rPr>
          <w:rFonts w:ascii="Times New Roman" w:hAnsi="Times New Roman" w:cs="Times New Roman"/>
          <w:sz w:val="24"/>
          <w:szCs w:val="24"/>
          <w:lang w:val="en-IN"/>
        </w:rPr>
      </w:pPr>
      <w:r w:rsidRPr="001C2796">
        <w:rPr>
          <w:rFonts w:ascii="Times New Roman" w:hAnsi="Times New Roman" w:cs="Times New Roman"/>
          <w:b/>
          <w:bCs/>
          <w:sz w:val="24"/>
          <w:szCs w:val="24"/>
          <w:lang w:val="en-IN"/>
        </w:rPr>
        <w:t>Average Property Size:</w:t>
      </w:r>
      <w:r w:rsidRPr="001C2796">
        <w:rPr>
          <w:rFonts w:ascii="Times New Roman" w:hAnsi="Times New Roman" w:cs="Times New Roman"/>
          <w:sz w:val="24"/>
          <w:szCs w:val="24"/>
          <w:lang w:val="en-IN"/>
        </w:rPr>
        <w:t xml:space="preserve"> 2,750 </w:t>
      </w:r>
      <w:proofErr w:type="spellStart"/>
      <w:r w:rsidRPr="001C2796">
        <w:rPr>
          <w:rFonts w:ascii="Times New Roman" w:hAnsi="Times New Roman" w:cs="Times New Roman"/>
          <w:sz w:val="24"/>
          <w:szCs w:val="24"/>
          <w:lang w:val="en-IN"/>
        </w:rPr>
        <w:t>SqFt</w:t>
      </w:r>
      <w:proofErr w:type="spellEnd"/>
      <w:r w:rsidRPr="001C2796">
        <w:rPr>
          <w:rFonts w:ascii="Times New Roman" w:hAnsi="Times New Roman" w:cs="Times New Roman"/>
          <w:sz w:val="24"/>
          <w:szCs w:val="24"/>
          <w:lang w:val="en-IN"/>
        </w:rPr>
        <w:t>, suggesting dominance of mid-to-large residential units.</w:t>
      </w:r>
    </w:p>
    <w:p w14:paraId="0F79245C" w14:textId="77777777" w:rsidR="006E2F62" w:rsidRPr="001C2796" w:rsidRDefault="006E2F62" w:rsidP="00D3487F">
      <w:pPr>
        <w:numPr>
          <w:ilvl w:val="0"/>
          <w:numId w:val="1"/>
        </w:numPr>
        <w:jc w:val="both"/>
        <w:rPr>
          <w:rFonts w:ascii="Times New Roman" w:hAnsi="Times New Roman" w:cs="Times New Roman"/>
          <w:sz w:val="24"/>
          <w:szCs w:val="24"/>
          <w:lang w:val="en-IN"/>
        </w:rPr>
      </w:pPr>
      <w:r w:rsidRPr="001C2796">
        <w:rPr>
          <w:rFonts w:ascii="Times New Roman" w:hAnsi="Times New Roman" w:cs="Times New Roman"/>
          <w:b/>
          <w:bCs/>
          <w:sz w:val="24"/>
          <w:szCs w:val="24"/>
          <w:lang w:val="en-IN"/>
        </w:rPr>
        <w:t>Average Price:</w:t>
      </w:r>
      <w:r w:rsidRPr="001C2796">
        <w:rPr>
          <w:rFonts w:ascii="Times New Roman" w:hAnsi="Times New Roman" w:cs="Times New Roman"/>
          <w:sz w:val="24"/>
          <w:szCs w:val="24"/>
          <w:lang w:val="en-IN"/>
        </w:rPr>
        <w:t xml:space="preserve"> 254.59 Lakhs, showing high-value transactions typical of metropolitan cities.</w:t>
      </w:r>
    </w:p>
    <w:p w14:paraId="4557A5A0" w14:textId="77777777" w:rsidR="006E2F62" w:rsidRPr="00D3487F" w:rsidRDefault="006E2F62" w:rsidP="00D3487F">
      <w:pPr>
        <w:jc w:val="both"/>
        <w:rPr>
          <w:rFonts w:ascii="Times New Roman" w:hAnsi="Times New Roman" w:cs="Times New Roman"/>
          <w:b/>
          <w:bCs/>
          <w:sz w:val="24"/>
          <w:szCs w:val="24"/>
          <w:lang w:val="en-IN"/>
        </w:rPr>
      </w:pPr>
      <w:r w:rsidRPr="00D3487F">
        <w:rPr>
          <w:rFonts w:ascii="Times New Roman" w:hAnsi="Times New Roman" w:cs="Times New Roman"/>
          <w:b/>
          <w:bCs/>
          <w:sz w:val="24"/>
          <w:szCs w:val="24"/>
          <w:lang w:val="en-IN"/>
        </w:rPr>
        <w:lastRenderedPageBreak/>
        <w:t>2. Property Type Composition</w:t>
      </w:r>
    </w:p>
    <w:p w14:paraId="4E79D273" w14:textId="77777777" w:rsidR="006E2F62" w:rsidRPr="00D3487F" w:rsidRDefault="006E2F62" w:rsidP="00D3487F">
      <w:pPr>
        <w:pStyle w:val="ListParagraph"/>
        <w:numPr>
          <w:ilvl w:val="0"/>
          <w:numId w:val="1"/>
        </w:numPr>
        <w:jc w:val="both"/>
        <w:rPr>
          <w:rFonts w:ascii="Times New Roman" w:hAnsi="Times New Roman" w:cs="Times New Roman"/>
          <w:sz w:val="24"/>
          <w:szCs w:val="24"/>
          <w:lang w:val="en-IN"/>
        </w:rPr>
      </w:pPr>
      <w:r w:rsidRPr="00D3487F">
        <w:rPr>
          <w:rFonts w:ascii="Times New Roman" w:hAnsi="Times New Roman" w:cs="Times New Roman"/>
          <w:sz w:val="24"/>
          <w:szCs w:val="24"/>
          <w:lang w:val="en-IN"/>
        </w:rPr>
        <w:t xml:space="preserve">A pie chart showing </w:t>
      </w:r>
      <w:r w:rsidRPr="00D3487F">
        <w:rPr>
          <w:rFonts w:ascii="Times New Roman" w:hAnsi="Times New Roman" w:cs="Times New Roman"/>
          <w:b/>
          <w:bCs/>
          <w:sz w:val="24"/>
          <w:szCs w:val="24"/>
          <w:lang w:val="en-IN"/>
        </w:rPr>
        <w:t>distribution of Property Types</w:t>
      </w:r>
      <w:r w:rsidRPr="00D3487F">
        <w:rPr>
          <w:rFonts w:ascii="Times New Roman" w:hAnsi="Times New Roman" w:cs="Times New Roman"/>
          <w:sz w:val="24"/>
          <w:szCs w:val="24"/>
          <w:lang w:val="en-IN"/>
        </w:rPr>
        <w:t xml:space="preserve"> (Apartment, Independent House, Villa) reveals an almost equal split.</w:t>
      </w:r>
    </w:p>
    <w:p w14:paraId="328B7220" w14:textId="77777777" w:rsidR="006E2F62" w:rsidRPr="00D3487F" w:rsidRDefault="006E2F62" w:rsidP="00D3487F">
      <w:pPr>
        <w:pStyle w:val="ListParagraph"/>
        <w:numPr>
          <w:ilvl w:val="0"/>
          <w:numId w:val="1"/>
        </w:numPr>
        <w:jc w:val="both"/>
        <w:rPr>
          <w:rFonts w:ascii="Times New Roman" w:hAnsi="Times New Roman" w:cs="Times New Roman"/>
          <w:sz w:val="24"/>
          <w:szCs w:val="24"/>
          <w:lang w:val="en-IN"/>
        </w:rPr>
      </w:pPr>
      <w:r w:rsidRPr="00D3487F">
        <w:rPr>
          <w:rFonts w:ascii="Times New Roman" w:hAnsi="Times New Roman" w:cs="Times New Roman"/>
          <w:sz w:val="24"/>
          <w:szCs w:val="24"/>
          <w:lang w:val="en-IN"/>
        </w:rPr>
        <w:t xml:space="preserve">This indicates that the dataset captures a </w:t>
      </w:r>
      <w:r w:rsidRPr="00D3487F">
        <w:rPr>
          <w:rFonts w:ascii="Times New Roman" w:hAnsi="Times New Roman" w:cs="Times New Roman"/>
          <w:b/>
          <w:bCs/>
          <w:sz w:val="24"/>
          <w:szCs w:val="24"/>
          <w:lang w:val="en-IN"/>
        </w:rPr>
        <w:t>balanced representation of all major residential formats</w:t>
      </w:r>
      <w:r w:rsidRPr="00D3487F">
        <w:rPr>
          <w:rFonts w:ascii="Times New Roman" w:hAnsi="Times New Roman" w:cs="Times New Roman"/>
          <w:sz w:val="24"/>
          <w:szCs w:val="24"/>
          <w:lang w:val="en-IN"/>
        </w:rPr>
        <w:t>, making comparative price analysis more reliable.</w:t>
      </w:r>
    </w:p>
    <w:p w14:paraId="3A472FBC" w14:textId="1FFA6FFE" w:rsidR="006E2F62" w:rsidRPr="001C2796" w:rsidRDefault="006E2F62" w:rsidP="00D3487F">
      <w:pPr>
        <w:jc w:val="both"/>
        <w:rPr>
          <w:rFonts w:ascii="Times New Roman" w:hAnsi="Times New Roman" w:cs="Times New Roman"/>
          <w:b/>
          <w:bCs/>
          <w:sz w:val="24"/>
          <w:szCs w:val="24"/>
          <w:lang w:val="en-IN"/>
        </w:rPr>
      </w:pPr>
      <w:r w:rsidRPr="001C2796">
        <w:rPr>
          <w:rFonts w:ascii="Times New Roman" w:hAnsi="Times New Roman" w:cs="Times New Roman"/>
          <w:b/>
          <w:bCs/>
          <w:sz w:val="24"/>
          <w:szCs w:val="24"/>
          <w:lang w:val="en-IN"/>
        </w:rPr>
        <w:t>3. Price Trend by Year Built</w:t>
      </w:r>
    </w:p>
    <w:p w14:paraId="57FF232D" w14:textId="77777777" w:rsidR="006E2F62" w:rsidRPr="001C2796" w:rsidRDefault="006E2F62"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 xml:space="preserve">The line chart comparing </w:t>
      </w:r>
      <w:proofErr w:type="spellStart"/>
      <w:r w:rsidRPr="001C2796">
        <w:rPr>
          <w:rFonts w:ascii="Times New Roman" w:hAnsi="Times New Roman" w:cs="Times New Roman"/>
          <w:b/>
          <w:bCs/>
          <w:sz w:val="24"/>
          <w:szCs w:val="24"/>
          <w:lang w:val="en-IN"/>
        </w:rPr>
        <w:t>Avg</w:t>
      </w:r>
      <w:proofErr w:type="spellEnd"/>
      <w:r w:rsidRPr="001C2796">
        <w:rPr>
          <w:rFonts w:ascii="Times New Roman" w:hAnsi="Times New Roman" w:cs="Times New Roman"/>
          <w:b/>
          <w:bCs/>
          <w:sz w:val="24"/>
          <w:szCs w:val="24"/>
          <w:lang w:val="en-IN"/>
        </w:rPr>
        <w:t xml:space="preserve"> Price over construction years</w:t>
      </w:r>
      <w:r w:rsidRPr="001C2796">
        <w:rPr>
          <w:rFonts w:ascii="Times New Roman" w:hAnsi="Times New Roman" w:cs="Times New Roman"/>
          <w:sz w:val="24"/>
          <w:szCs w:val="24"/>
          <w:lang w:val="en-IN"/>
        </w:rPr>
        <w:t>, divided into:</w:t>
      </w:r>
    </w:p>
    <w:p w14:paraId="71F5540E" w14:textId="77777777" w:rsidR="006E2F62" w:rsidRPr="001C2796" w:rsidRDefault="006E2F62" w:rsidP="00D3487F">
      <w:pPr>
        <w:numPr>
          <w:ilvl w:val="0"/>
          <w:numId w:val="2"/>
        </w:numPr>
        <w:jc w:val="both"/>
        <w:rPr>
          <w:rFonts w:ascii="Times New Roman" w:hAnsi="Times New Roman" w:cs="Times New Roman"/>
          <w:sz w:val="24"/>
          <w:szCs w:val="24"/>
          <w:lang w:val="en-IN"/>
        </w:rPr>
      </w:pPr>
      <w:proofErr w:type="spellStart"/>
      <w:r w:rsidRPr="001C2796">
        <w:rPr>
          <w:rFonts w:ascii="Times New Roman" w:hAnsi="Times New Roman" w:cs="Times New Roman"/>
          <w:sz w:val="24"/>
          <w:szCs w:val="24"/>
          <w:lang w:val="en-IN"/>
        </w:rPr>
        <w:t>Ready_to_Move</w:t>
      </w:r>
      <w:proofErr w:type="spellEnd"/>
    </w:p>
    <w:p w14:paraId="6BA68DB3" w14:textId="77777777" w:rsidR="006E2F62" w:rsidRPr="001C2796" w:rsidRDefault="006E2F62" w:rsidP="00D3487F">
      <w:pPr>
        <w:numPr>
          <w:ilvl w:val="0"/>
          <w:numId w:val="2"/>
        </w:numPr>
        <w:jc w:val="both"/>
        <w:rPr>
          <w:rFonts w:ascii="Times New Roman" w:hAnsi="Times New Roman" w:cs="Times New Roman"/>
          <w:sz w:val="24"/>
          <w:szCs w:val="24"/>
          <w:lang w:val="en-IN"/>
        </w:rPr>
      </w:pPr>
      <w:proofErr w:type="spellStart"/>
      <w:r w:rsidRPr="001C2796">
        <w:rPr>
          <w:rFonts w:ascii="Times New Roman" w:hAnsi="Times New Roman" w:cs="Times New Roman"/>
          <w:sz w:val="24"/>
          <w:szCs w:val="24"/>
          <w:lang w:val="en-IN"/>
        </w:rPr>
        <w:t>Under_Construction</w:t>
      </w:r>
      <w:proofErr w:type="spellEnd"/>
    </w:p>
    <w:p w14:paraId="10C884AB" w14:textId="434E3CDC" w:rsidR="006E2F62" w:rsidRPr="00D3487F" w:rsidRDefault="006E2F62" w:rsidP="00D3487F">
      <w:pPr>
        <w:jc w:val="both"/>
        <w:rPr>
          <w:rFonts w:ascii="Times New Roman" w:hAnsi="Times New Roman" w:cs="Times New Roman"/>
          <w:sz w:val="24"/>
          <w:szCs w:val="24"/>
          <w:lang w:val="en-IN"/>
        </w:rPr>
      </w:pPr>
      <w:r w:rsidRPr="00D3487F">
        <w:rPr>
          <w:rFonts w:ascii="Times New Roman" w:hAnsi="Times New Roman" w:cs="Times New Roman"/>
          <w:sz w:val="24"/>
          <w:szCs w:val="24"/>
          <w:lang w:val="en-IN"/>
        </w:rPr>
        <w:t xml:space="preserve">It </w:t>
      </w:r>
      <w:r w:rsidRPr="001C2796">
        <w:rPr>
          <w:rFonts w:ascii="Times New Roman" w:hAnsi="Times New Roman" w:cs="Times New Roman"/>
          <w:sz w:val="24"/>
          <w:szCs w:val="24"/>
          <w:lang w:val="en-IN"/>
        </w:rPr>
        <w:t>shows that both categories follow similar pricing patterns.</w:t>
      </w:r>
      <w:r w:rsidRPr="00D3487F">
        <w:rPr>
          <w:rFonts w:ascii="Times New Roman" w:hAnsi="Times New Roman" w:cs="Times New Roman"/>
          <w:sz w:val="24"/>
          <w:szCs w:val="24"/>
          <w:lang w:val="en-IN"/>
        </w:rPr>
        <w:t xml:space="preserve"> </w:t>
      </w:r>
      <w:r w:rsidRPr="001C2796">
        <w:rPr>
          <w:rFonts w:ascii="Times New Roman" w:hAnsi="Times New Roman" w:cs="Times New Roman"/>
          <w:sz w:val="24"/>
          <w:szCs w:val="24"/>
          <w:lang w:val="en-IN"/>
        </w:rPr>
        <w:t>Despite fluctuations across years, pricing remains relatively stable, reflecting consistent market conditions and steady buyer demand.</w:t>
      </w:r>
      <w:r w:rsidRPr="00D3487F">
        <w:rPr>
          <w:rFonts w:ascii="Times New Roman" w:hAnsi="Times New Roman" w:cs="Times New Roman"/>
          <w:sz w:val="24"/>
          <w:szCs w:val="24"/>
          <w:lang w:val="en-IN"/>
        </w:rPr>
        <w:t xml:space="preserve"> </w:t>
      </w:r>
      <w:r w:rsidRPr="001C2796">
        <w:rPr>
          <w:rFonts w:ascii="Times New Roman" w:hAnsi="Times New Roman" w:cs="Times New Roman"/>
          <w:sz w:val="24"/>
          <w:szCs w:val="24"/>
          <w:lang w:val="en-IN"/>
        </w:rPr>
        <w:t>This trend supports long-term planning for developers and investors.</w:t>
      </w:r>
    </w:p>
    <w:p w14:paraId="275D0A34" w14:textId="77777777" w:rsidR="006E2F62" w:rsidRPr="00D3487F" w:rsidRDefault="006E2F62" w:rsidP="00D3487F">
      <w:pPr>
        <w:jc w:val="both"/>
        <w:rPr>
          <w:rFonts w:ascii="Times New Roman" w:hAnsi="Times New Roman" w:cs="Times New Roman"/>
          <w:sz w:val="24"/>
          <w:szCs w:val="24"/>
          <w:lang w:val="en-IN"/>
        </w:rPr>
      </w:pPr>
    </w:p>
    <w:p w14:paraId="51CFC848" w14:textId="77777777" w:rsidR="00D3487F" w:rsidRPr="001C2796" w:rsidRDefault="00D3487F" w:rsidP="00D3487F">
      <w:pPr>
        <w:jc w:val="both"/>
        <w:rPr>
          <w:rFonts w:ascii="Times New Roman" w:hAnsi="Times New Roman" w:cs="Times New Roman"/>
          <w:b/>
          <w:bCs/>
          <w:sz w:val="24"/>
          <w:szCs w:val="24"/>
          <w:lang w:val="en-IN"/>
        </w:rPr>
      </w:pPr>
      <w:r w:rsidRPr="001C2796">
        <w:rPr>
          <w:rFonts w:ascii="Times New Roman" w:hAnsi="Times New Roman" w:cs="Times New Roman"/>
          <w:b/>
          <w:bCs/>
          <w:sz w:val="24"/>
          <w:szCs w:val="24"/>
          <w:lang w:val="en-IN"/>
        </w:rPr>
        <w:t>4. Effect of Furnishing on Pricing</w:t>
      </w:r>
    </w:p>
    <w:p w14:paraId="2B435164" w14:textId="001817EC"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The waterfall chart analy</w:t>
      </w:r>
      <w:r w:rsidRPr="00D3487F">
        <w:rPr>
          <w:rFonts w:ascii="Times New Roman" w:hAnsi="Times New Roman" w:cs="Times New Roman"/>
          <w:sz w:val="24"/>
          <w:szCs w:val="24"/>
          <w:lang w:val="en-IN"/>
        </w:rPr>
        <w:t>s</w:t>
      </w:r>
      <w:r w:rsidRPr="001C2796">
        <w:rPr>
          <w:rFonts w:ascii="Times New Roman" w:hAnsi="Times New Roman" w:cs="Times New Roman"/>
          <w:sz w:val="24"/>
          <w:szCs w:val="24"/>
          <w:lang w:val="en-IN"/>
        </w:rPr>
        <w:t xml:space="preserve">ing </w:t>
      </w:r>
      <w:proofErr w:type="spellStart"/>
      <w:r w:rsidRPr="001C2796">
        <w:rPr>
          <w:rFonts w:ascii="Times New Roman" w:hAnsi="Times New Roman" w:cs="Times New Roman"/>
          <w:b/>
          <w:bCs/>
          <w:sz w:val="24"/>
          <w:szCs w:val="24"/>
          <w:lang w:val="en-IN"/>
        </w:rPr>
        <w:t>Avg</w:t>
      </w:r>
      <w:proofErr w:type="spellEnd"/>
      <w:r w:rsidRPr="001C2796">
        <w:rPr>
          <w:rFonts w:ascii="Times New Roman" w:hAnsi="Times New Roman" w:cs="Times New Roman"/>
          <w:b/>
          <w:bCs/>
          <w:sz w:val="24"/>
          <w:szCs w:val="24"/>
          <w:lang w:val="en-IN"/>
        </w:rPr>
        <w:t xml:space="preserve"> Price by Furnished Status</w:t>
      </w:r>
      <w:r w:rsidRPr="001C2796">
        <w:rPr>
          <w:rFonts w:ascii="Times New Roman" w:hAnsi="Times New Roman" w:cs="Times New Roman"/>
          <w:sz w:val="24"/>
          <w:szCs w:val="24"/>
          <w:lang w:val="en-IN"/>
        </w:rPr>
        <w:t xml:space="preserve"> shows minor differences among:</w:t>
      </w:r>
    </w:p>
    <w:p w14:paraId="50963DFF" w14:textId="7443E227" w:rsidR="00D3487F" w:rsidRPr="001C2796" w:rsidRDefault="00D3487F" w:rsidP="00D3487F">
      <w:pPr>
        <w:numPr>
          <w:ilvl w:val="0"/>
          <w:numId w:val="3"/>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Unfurnished</w:t>
      </w:r>
    </w:p>
    <w:p w14:paraId="2ED54338" w14:textId="77777777" w:rsidR="00D3487F" w:rsidRPr="001C2796" w:rsidRDefault="00D3487F" w:rsidP="00D3487F">
      <w:pPr>
        <w:numPr>
          <w:ilvl w:val="0"/>
          <w:numId w:val="3"/>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Semi-Furnished</w:t>
      </w:r>
    </w:p>
    <w:p w14:paraId="46807E2E" w14:textId="77777777" w:rsidR="00D3487F" w:rsidRPr="001C2796" w:rsidRDefault="00D3487F" w:rsidP="00D3487F">
      <w:pPr>
        <w:numPr>
          <w:ilvl w:val="0"/>
          <w:numId w:val="3"/>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Furnished</w:t>
      </w:r>
    </w:p>
    <w:p w14:paraId="4A758573" w14:textId="1AAFF75D"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 xml:space="preserve">All categories contribute nearly equally to the total price, indicating that </w:t>
      </w:r>
      <w:r w:rsidRPr="001C2796">
        <w:rPr>
          <w:rFonts w:ascii="Times New Roman" w:hAnsi="Times New Roman" w:cs="Times New Roman"/>
          <w:b/>
          <w:bCs/>
          <w:sz w:val="24"/>
          <w:szCs w:val="24"/>
          <w:lang w:val="en-IN"/>
        </w:rPr>
        <w:t>furnishing level does not significantly influence overall pricing</w:t>
      </w:r>
      <w:r w:rsidRPr="001C2796">
        <w:rPr>
          <w:rFonts w:ascii="Times New Roman" w:hAnsi="Times New Roman" w:cs="Times New Roman"/>
          <w:sz w:val="24"/>
          <w:szCs w:val="24"/>
          <w:lang w:val="en-IN"/>
        </w:rPr>
        <w:t xml:space="preserve"> in this dataset.</w:t>
      </w:r>
      <w:r w:rsidR="00135859">
        <w:rPr>
          <w:rFonts w:ascii="Times New Roman" w:hAnsi="Times New Roman" w:cs="Times New Roman"/>
          <w:sz w:val="24"/>
          <w:szCs w:val="24"/>
          <w:lang w:val="en-IN"/>
        </w:rPr>
        <w:t xml:space="preserve"> </w:t>
      </w:r>
      <w:r w:rsidRPr="001C2796">
        <w:rPr>
          <w:rFonts w:ascii="Times New Roman" w:hAnsi="Times New Roman" w:cs="Times New Roman"/>
          <w:sz w:val="24"/>
          <w:szCs w:val="24"/>
          <w:lang w:val="en-IN"/>
        </w:rPr>
        <w:t>This insight is particularly relevant for owners assessing renovation or furnishing investments.</w:t>
      </w:r>
    </w:p>
    <w:p w14:paraId="0C253703" w14:textId="77777777" w:rsidR="006E2F62" w:rsidRPr="001C2796" w:rsidRDefault="006E2F62" w:rsidP="00D3487F">
      <w:pPr>
        <w:jc w:val="both"/>
        <w:rPr>
          <w:rFonts w:ascii="Times New Roman" w:hAnsi="Times New Roman" w:cs="Times New Roman"/>
          <w:sz w:val="24"/>
          <w:szCs w:val="24"/>
          <w:lang w:val="en-IN"/>
        </w:rPr>
      </w:pPr>
    </w:p>
    <w:p w14:paraId="463447B5" w14:textId="77777777" w:rsidR="00D3487F" w:rsidRPr="001C2796" w:rsidRDefault="00D3487F" w:rsidP="00D3487F">
      <w:pPr>
        <w:jc w:val="both"/>
        <w:rPr>
          <w:rFonts w:ascii="Times New Roman" w:hAnsi="Times New Roman" w:cs="Times New Roman"/>
          <w:b/>
          <w:bCs/>
          <w:sz w:val="24"/>
          <w:szCs w:val="24"/>
          <w:lang w:val="en-IN"/>
        </w:rPr>
      </w:pPr>
      <w:r w:rsidRPr="001C2796">
        <w:rPr>
          <w:rFonts w:ascii="Times New Roman" w:hAnsi="Times New Roman" w:cs="Times New Roman"/>
          <w:b/>
          <w:bCs/>
          <w:sz w:val="24"/>
          <w:szCs w:val="24"/>
          <w:lang w:val="en-IN"/>
        </w:rPr>
        <w:t>5. City-Wise Average Price Ranking</w:t>
      </w:r>
    </w:p>
    <w:p w14:paraId="5EAFB7A1" w14:textId="77777777"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 xml:space="preserve">The area chart visualizing </w:t>
      </w:r>
      <w:proofErr w:type="spellStart"/>
      <w:r w:rsidRPr="001C2796">
        <w:rPr>
          <w:rFonts w:ascii="Times New Roman" w:hAnsi="Times New Roman" w:cs="Times New Roman"/>
          <w:b/>
          <w:bCs/>
          <w:sz w:val="24"/>
          <w:szCs w:val="24"/>
          <w:lang w:val="en-IN"/>
        </w:rPr>
        <w:t>Avg</w:t>
      </w:r>
      <w:proofErr w:type="spellEnd"/>
      <w:r w:rsidRPr="001C2796">
        <w:rPr>
          <w:rFonts w:ascii="Times New Roman" w:hAnsi="Times New Roman" w:cs="Times New Roman"/>
          <w:b/>
          <w:bCs/>
          <w:sz w:val="24"/>
          <w:szCs w:val="24"/>
          <w:lang w:val="en-IN"/>
        </w:rPr>
        <w:t xml:space="preserve"> Price by City</w:t>
      </w:r>
      <w:r w:rsidRPr="001C2796">
        <w:rPr>
          <w:rFonts w:ascii="Times New Roman" w:hAnsi="Times New Roman" w:cs="Times New Roman"/>
          <w:sz w:val="24"/>
          <w:szCs w:val="24"/>
          <w:lang w:val="en-IN"/>
        </w:rPr>
        <w:t xml:space="preserve"> highlights:</w:t>
      </w:r>
    </w:p>
    <w:p w14:paraId="16248344" w14:textId="77777777" w:rsidR="00D3487F" w:rsidRPr="001C2796" w:rsidRDefault="00D3487F" w:rsidP="00D3487F">
      <w:pPr>
        <w:numPr>
          <w:ilvl w:val="0"/>
          <w:numId w:val="4"/>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Higher prices in cities like Bangalore, Surat, Kochi, and Gaya.</w:t>
      </w:r>
    </w:p>
    <w:p w14:paraId="11CC9123" w14:textId="77777777" w:rsidR="00D3487F" w:rsidRPr="001C2796" w:rsidRDefault="00D3487F" w:rsidP="00D3487F">
      <w:pPr>
        <w:numPr>
          <w:ilvl w:val="0"/>
          <w:numId w:val="4"/>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Lower prices in smaller markets such as Cuttack, Tirupati, and Bilaspur.</w:t>
      </w:r>
    </w:p>
    <w:p w14:paraId="36740287" w14:textId="6CE06296" w:rsidR="00135859"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 xml:space="preserve">This ranking provides a clear perspective on </w:t>
      </w:r>
      <w:r w:rsidRPr="001C2796">
        <w:rPr>
          <w:rFonts w:ascii="Times New Roman" w:hAnsi="Times New Roman" w:cs="Times New Roman"/>
          <w:b/>
          <w:bCs/>
          <w:sz w:val="24"/>
          <w:szCs w:val="24"/>
          <w:lang w:val="en-IN"/>
        </w:rPr>
        <w:t>regional affordability</w:t>
      </w:r>
      <w:r w:rsidRPr="001C2796">
        <w:rPr>
          <w:rFonts w:ascii="Times New Roman" w:hAnsi="Times New Roman" w:cs="Times New Roman"/>
          <w:sz w:val="24"/>
          <w:szCs w:val="24"/>
          <w:lang w:val="en-IN"/>
        </w:rPr>
        <w:t xml:space="preserve"> and helps users identify both high-end and budget-friendly cities.</w:t>
      </w:r>
    </w:p>
    <w:p w14:paraId="794F94CA" w14:textId="77777777" w:rsidR="00135859" w:rsidRDefault="00135859" w:rsidP="00D3487F">
      <w:pPr>
        <w:jc w:val="both"/>
        <w:rPr>
          <w:rFonts w:ascii="Times New Roman" w:hAnsi="Times New Roman" w:cs="Times New Roman"/>
          <w:sz w:val="24"/>
          <w:szCs w:val="24"/>
          <w:lang w:val="en-IN"/>
        </w:rPr>
      </w:pPr>
    </w:p>
    <w:p w14:paraId="52A787ED" w14:textId="77777777" w:rsidR="00135859" w:rsidRDefault="00135859" w:rsidP="00D3487F">
      <w:pPr>
        <w:jc w:val="both"/>
        <w:rPr>
          <w:rFonts w:ascii="Times New Roman" w:hAnsi="Times New Roman" w:cs="Times New Roman"/>
          <w:sz w:val="24"/>
          <w:szCs w:val="24"/>
          <w:lang w:val="en-IN"/>
        </w:rPr>
      </w:pPr>
    </w:p>
    <w:p w14:paraId="794873E3" w14:textId="77777777" w:rsidR="00135859" w:rsidRDefault="00135859" w:rsidP="00D3487F">
      <w:pPr>
        <w:jc w:val="both"/>
        <w:rPr>
          <w:rFonts w:ascii="Times New Roman" w:hAnsi="Times New Roman" w:cs="Times New Roman"/>
          <w:sz w:val="24"/>
          <w:szCs w:val="24"/>
          <w:lang w:val="en-IN"/>
        </w:rPr>
      </w:pPr>
    </w:p>
    <w:p w14:paraId="792F036B" w14:textId="77777777" w:rsidR="00135859" w:rsidRDefault="00135859" w:rsidP="00D3487F">
      <w:pPr>
        <w:jc w:val="both"/>
        <w:rPr>
          <w:rFonts w:ascii="Times New Roman" w:hAnsi="Times New Roman" w:cs="Times New Roman"/>
          <w:sz w:val="24"/>
          <w:szCs w:val="24"/>
          <w:lang w:val="en-IN"/>
        </w:rPr>
      </w:pPr>
    </w:p>
    <w:p w14:paraId="581E782C" w14:textId="77777777" w:rsidR="00135859" w:rsidRPr="00135859" w:rsidRDefault="00135859" w:rsidP="00D3487F">
      <w:pPr>
        <w:jc w:val="both"/>
        <w:rPr>
          <w:rFonts w:ascii="Times New Roman" w:hAnsi="Times New Roman" w:cs="Times New Roman"/>
          <w:sz w:val="24"/>
          <w:szCs w:val="24"/>
          <w:lang w:val="en-IN"/>
        </w:rPr>
      </w:pPr>
    </w:p>
    <w:p w14:paraId="3DB227B8" w14:textId="0C6FC20C" w:rsidR="00D3487F" w:rsidRPr="001C2796" w:rsidRDefault="00D3487F" w:rsidP="00D3487F">
      <w:pPr>
        <w:jc w:val="both"/>
        <w:rPr>
          <w:rFonts w:ascii="Times New Roman" w:hAnsi="Times New Roman" w:cs="Times New Roman"/>
          <w:b/>
          <w:bCs/>
          <w:sz w:val="24"/>
          <w:szCs w:val="24"/>
          <w:lang w:val="en-IN"/>
        </w:rPr>
      </w:pPr>
      <w:r w:rsidRPr="001C2796">
        <w:rPr>
          <w:rFonts w:ascii="Times New Roman" w:hAnsi="Times New Roman" w:cs="Times New Roman"/>
          <w:b/>
          <w:bCs/>
          <w:sz w:val="24"/>
          <w:szCs w:val="24"/>
          <w:lang w:val="en-IN"/>
        </w:rPr>
        <w:lastRenderedPageBreak/>
        <w:t>6. Ownership Pattern by Availability Status</w:t>
      </w:r>
    </w:p>
    <w:p w14:paraId="76AA8579" w14:textId="77777777"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 xml:space="preserve">The new 100% stacked bar chart comparing </w:t>
      </w:r>
      <w:proofErr w:type="spellStart"/>
      <w:r w:rsidRPr="001C2796">
        <w:rPr>
          <w:rFonts w:ascii="Times New Roman" w:hAnsi="Times New Roman" w:cs="Times New Roman"/>
          <w:b/>
          <w:bCs/>
          <w:sz w:val="24"/>
          <w:szCs w:val="24"/>
          <w:lang w:val="en-IN"/>
        </w:rPr>
        <w:t>Owner_Type</w:t>
      </w:r>
      <w:proofErr w:type="spellEnd"/>
      <w:r w:rsidRPr="001C2796">
        <w:rPr>
          <w:rFonts w:ascii="Times New Roman" w:hAnsi="Times New Roman" w:cs="Times New Roman"/>
          <w:sz w:val="24"/>
          <w:szCs w:val="24"/>
          <w:lang w:val="en-IN"/>
        </w:rPr>
        <w:t xml:space="preserve"> (Broker, Builder, Owner) across:</w:t>
      </w:r>
    </w:p>
    <w:p w14:paraId="06CF65AD" w14:textId="77777777" w:rsidR="00D3487F" w:rsidRPr="001C2796" w:rsidRDefault="00D3487F" w:rsidP="00D3487F">
      <w:pPr>
        <w:numPr>
          <w:ilvl w:val="0"/>
          <w:numId w:val="5"/>
        </w:numPr>
        <w:jc w:val="both"/>
        <w:rPr>
          <w:rFonts w:ascii="Times New Roman" w:hAnsi="Times New Roman" w:cs="Times New Roman"/>
          <w:sz w:val="24"/>
          <w:szCs w:val="24"/>
          <w:lang w:val="en-IN"/>
        </w:rPr>
      </w:pPr>
      <w:proofErr w:type="spellStart"/>
      <w:r w:rsidRPr="001C2796">
        <w:rPr>
          <w:rFonts w:ascii="Times New Roman" w:hAnsi="Times New Roman" w:cs="Times New Roman"/>
          <w:b/>
          <w:bCs/>
          <w:sz w:val="24"/>
          <w:szCs w:val="24"/>
          <w:lang w:val="en-IN"/>
        </w:rPr>
        <w:t>Under_Construction</w:t>
      </w:r>
      <w:proofErr w:type="spellEnd"/>
    </w:p>
    <w:p w14:paraId="5D7C54EB" w14:textId="77777777" w:rsidR="00D3487F" w:rsidRPr="001C2796" w:rsidRDefault="00D3487F" w:rsidP="00D3487F">
      <w:pPr>
        <w:numPr>
          <w:ilvl w:val="0"/>
          <w:numId w:val="5"/>
        </w:numPr>
        <w:jc w:val="both"/>
        <w:rPr>
          <w:rFonts w:ascii="Times New Roman" w:hAnsi="Times New Roman" w:cs="Times New Roman"/>
          <w:sz w:val="24"/>
          <w:szCs w:val="24"/>
          <w:lang w:val="en-IN"/>
        </w:rPr>
      </w:pPr>
      <w:proofErr w:type="spellStart"/>
      <w:r w:rsidRPr="001C2796">
        <w:rPr>
          <w:rFonts w:ascii="Times New Roman" w:hAnsi="Times New Roman" w:cs="Times New Roman"/>
          <w:b/>
          <w:bCs/>
          <w:sz w:val="24"/>
          <w:szCs w:val="24"/>
          <w:lang w:val="en-IN"/>
        </w:rPr>
        <w:t>Ready_to_Move</w:t>
      </w:r>
      <w:proofErr w:type="spellEnd"/>
    </w:p>
    <w:p w14:paraId="05D2A89F" w14:textId="77777777"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shows a remarkably balanced distribution:</w:t>
      </w:r>
    </w:p>
    <w:p w14:paraId="7D9B88CA" w14:textId="77777777" w:rsidR="00D3487F" w:rsidRPr="001C2796" w:rsidRDefault="00D3487F" w:rsidP="00D3487F">
      <w:pPr>
        <w:numPr>
          <w:ilvl w:val="0"/>
          <w:numId w:val="6"/>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 xml:space="preserve">Each owner type accounts for </w:t>
      </w:r>
      <w:r w:rsidRPr="001C2796">
        <w:rPr>
          <w:rFonts w:ascii="Times New Roman" w:hAnsi="Times New Roman" w:cs="Times New Roman"/>
          <w:b/>
          <w:bCs/>
          <w:sz w:val="24"/>
          <w:szCs w:val="24"/>
          <w:lang w:val="en-IN"/>
        </w:rPr>
        <w:t>approximately one-third</w:t>
      </w:r>
      <w:r w:rsidRPr="001C2796">
        <w:rPr>
          <w:rFonts w:ascii="Times New Roman" w:hAnsi="Times New Roman" w:cs="Times New Roman"/>
          <w:sz w:val="24"/>
          <w:szCs w:val="24"/>
          <w:lang w:val="en-IN"/>
        </w:rPr>
        <w:t xml:space="preserve"> of listings in both availability categories.</w:t>
      </w:r>
    </w:p>
    <w:p w14:paraId="52DBB3F4" w14:textId="77777777"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 xml:space="preserve">This indicates a </w:t>
      </w:r>
      <w:r w:rsidRPr="001C2796">
        <w:rPr>
          <w:rFonts w:ascii="Times New Roman" w:hAnsi="Times New Roman" w:cs="Times New Roman"/>
          <w:b/>
          <w:bCs/>
          <w:sz w:val="24"/>
          <w:szCs w:val="24"/>
          <w:lang w:val="en-IN"/>
        </w:rPr>
        <w:t>highly uniform market structure</w:t>
      </w:r>
      <w:r w:rsidRPr="001C2796">
        <w:rPr>
          <w:rFonts w:ascii="Times New Roman" w:hAnsi="Times New Roman" w:cs="Times New Roman"/>
          <w:sz w:val="24"/>
          <w:szCs w:val="24"/>
          <w:lang w:val="en-IN"/>
        </w:rPr>
        <w:t>, where the role of brokers, builders, and individual owners remains consistent regardless of whether the property is new or already completed.</w:t>
      </w:r>
    </w:p>
    <w:p w14:paraId="51937A2C" w14:textId="77777777"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Key insights:</w:t>
      </w:r>
    </w:p>
    <w:p w14:paraId="21C2BE5B" w14:textId="77777777" w:rsidR="00D3487F" w:rsidRPr="001C2796" w:rsidRDefault="00D3487F" w:rsidP="00D3487F">
      <w:pPr>
        <w:numPr>
          <w:ilvl w:val="0"/>
          <w:numId w:val="7"/>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Builders are not disproportionally dominant in under-construction properties.</w:t>
      </w:r>
    </w:p>
    <w:p w14:paraId="470D70C4" w14:textId="77777777" w:rsidR="00D3487F" w:rsidRPr="001C2796" w:rsidRDefault="00D3487F" w:rsidP="00D3487F">
      <w:pPr>
        <w:numPr>
          <w:ilvl w:val="0"/>
          <w:numId w:val="7"/>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Owners and brokers maintain similar participation in both categories.</w:t>
      </w:r>
    </w:p>
    <w:p w14:paraId="69ABE285" w14:textId="77777777" w:rsidR="00D3487F" w:rsidRPr="001C2796" w:rsidRDefault="00D3487F" w:rsidP="00D3487F">
      <w:pPr>
        <w:numPr>
          <w:ilvl w:val="0"/>
          <w:numId w:val="7"/>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The uniform distribution suggests stable and well-distributed market competition.</w:t>
      </w:r>
    </w:p>
    <w:p w14:paraId="7791755B" w14:textId="77777777" w:rsidR="00D3487F" w:rsidRPr="00D3487F" w:rsidRDefault="00D3487F" w:rsidP="00D3487F">
      <w:pPr>
        <w:jc w:val="both"/>
        <w:rPr>
          <w:rFonts w:ascii="Times New Roman" w:hAnsi="Times New Roman" w:cs="Times New Roman"/>
          <w:sz w:val="24"/>
          <w:szCs w:val="24"/>
          <w:lang w:val="en-IN"/>
        </w:rPr>
      </w:pPr>
    </w:p>
    <w:p w14:paraId="14BF8CD8" w14:textId="77777777" w:rsidR="00D3487F" w:rsidRPr="001C2796" w:rsidRDefault="00D3487F" w:rsidP="00D3487F">
      <w:pPr>
        <w:jc w:val="both"/>
        <w:rPr>
          <w:rFonts w:ascii="Times New Roman" w:hAnsi="Times New Roman" w:cs="Times New Roman"/>
          <w:b/>
          <w:bCs/>
          <w:sz w:val="24"/>
          <w:szCs w:val="24"/>
          <w:lang w:val="en-IN"/>
        </w:rPr>
      </w:pPr>
      <w:r w:rsidRPr="001C2796">
        <w:rPr>
          <w:rFonts w:ascii="Times New Roman" w:hAnsi="Times New Roman" w:cs="Times New Roman"/>
          <w:b/>
          <w:bCs/>
          <w:sz w:val="24"/>
          <w:szCs w:val="24"/>
          <w:lang w:val="en-IN"/>
        </w:rPr>
        <w:t>7. Interactive Filters for Custom Exploration</w:t>
      </w:r>
    </w:p>
    <w:p w14:paraId="138B09AC" w14:textId="77777777"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 xml:space="preserve">Filters such as </w:t>
      </w:r>
      <w:r w:rsidRPr="001C2796">
        <w:rPr>
          <w:rFonts w:ascii="Times New Roman" w:hAnsi="Times New Roman" w:cs="Times New Roman"/>
          <w:b/>
          <w:bCs/>
          <w:sz w:val="24"/>
          <w:szCs w:val="24"/>
          <w:lang w:val="en-IN"/>
        </w:rPr>
        <w:t>BHK, State, Public Transport Rating, Property Type, and Price Range</w:t>
      </w:r>
      <w:r w:rsidRPr="001C2796">
        <w:rPr>
          <w:rFonts w:ascii="Times New Roman" w:hAnsi="Times New Roman" w:cs="Times New Roman"/>
          <w:sz w:val="24"/>
          <w:szCs w:val="24"/>
          <w:lang w:val="en-IN"/>
        </w:rPr>
        <w:t xml:space="preserve"> enable users to </w:t>
      </w:r>
      <w:proofErr w:type="spellStart"/>
      <w:r w:rsidRPr="001C2796">
        <w:rPr>
          <w:rFonts w:ascii="Times New Roman" w:hAnsi="Times New Roman" w:cs="Times New Roman"/>
          <w:sz w:val="24"/>
          <w:szCs w:val="24"/>
          <w:lang w:val="en-IN"/>
        </w:rPr>
        <w:t>analyze</w:t>
      </w:r>
      <w:proofErr w:type="spellEnd"/>
      <w:r w:rsidRPr="001C2796">
        <w:rPr>
          <w:rFonts w:ascii="Times New Roman" w:hAnsi="Times New Roman" w:cs="Times New Roman"/>
          <w:sz w:val="24"/>
          <w:szCs w:val="24"/>
          <w:lang w:val="en-IN"/>
        </w:rPr>
        <w:t xml:space="preserve"> specific market segments.</w:t>
      </w:r>
    </w:p>
    <w:p w14:paraId="57FEBEBC" w14:textId="77777777" w:rsidR="00D3487F" w:rsidRPr="001C2796" w:rsidRDefault="00D3487F" w:rsidP="00D3487F">
      <w:p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These slicers support questions like:</w:t>
      </w:r>
    </w:p>
    <w:p w14:paraId="62E8156D" w14:textId="77777777" w:rsidR="00D3487F" w:rsidRPr="001C2796" w:rsidRDefault="00D3487F" w:rsidP="00D3487F">
      <w:pPr>
        <w:numPr>
          <w:ilvl w:val="0"/>
          <w:numId w:val="8"/>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How do 3 BHK prices vary across states?</w:t>
      </w:r>
    </w:p>
    <w:p w14:paraId="61145CEE" w14:textId="77777777" w:rsidR="00135859" w:rsidRDefault="00D3487F" w:rsidP="00D3487F">
      <w:pPr>
        <w:numPr>
          <w:ilvl w:val="0"/>
          <w:numId w:val="8"/>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Do properties with “High” public transport accessibility command a premium?</w:t>
      </w:r>
    </w:p>
    <w:p w14:paraId="30D2EFEB" w14:textId="0CD84D26" w:rsidR="00D3487F" w:rsidRPr="00135859" w:rsidRDefault="00D3487F" w:rsidP="00D3487F">
      <w:pPr>
        <w:numPr>
          <w:ilvl w:val="0"/>
          <w:numId w:val="8"/>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How do prices shift within a specific budget range?</w:t>
      </w:r>
    </w:p>
    <w:p w14:paraId="17324960" w14:textId="77777777" w:rsidR="00135859" w:rsidRDefault="00135859" w:rsidP="00D3487F">
      <w:pPr>
        <w:jc w:val="both"/>
        <w:rPr>
          <w:rFonts w:ascii="Times New Roman" w:hAnsi="Times New Roman" w:cs="Times New Roman"/>
          <w:sz w:val="24"/>
          <w:szCs w:val="24"/>
          <w:lang w:val="en-IN"/>
        </w:rPr>
      </w:pPr>
    </w:p>
    <w:p w14:paraId="4E77841E" w14:textId="653E0427" w:rsidR="00D3487F" w:rsidRPr="001C2796" w:rsidRDefault="00D3487F" w:rsidP="00D3487F">
      <w:pPr>
        <w:jc w:val="both"/>
        <w:rPr>
          <w:rFonts w:ascii="Times New Roman" w:hAnsi="Times New Roman" w:cs="Times New Roman"/>
          <w:b/>
          <w:bCs/>
          <w:sz w:val="24"/>
          <w:szCs w:val="24"/>
          <w:lang w:val="en-IN"/>
        </w:rPr>
      </w:pPr>
      <w:r w:rsidRPr="001C2796">
        <w:rPr>
          <w:rFonts w:ascii="Times New Roman" w:hAnsi="Times New Roman" w:cs="Times New Roman"/>
          <w:b/>
          <w:bCs/>
          <w:sz w:val="24"/>
          <w:szCs w:val="24"/>
          <w:lang w:val="en-IN"/>
        </w:rPr>
        <w:t>Overall Conclusion</w:t>
      </w:r>
    </w:p>
    <w:p w14:paraId="56DC6B53" w14:textId="77777777" w:rsidR="00D3487F" w:rsidRPr="001C2796" w:rsidRDefault="00D3487F" w:rsidP="00D3487F">
      <w:pPr>
        <w:numPr>
          <w:ilvl w:val="0"/>
          <w:numId w:val="9"/>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The market is high-value, with premium per-</w:t>
      </w:r>
      <w:proofErr w:type="spellStart"/>
      <w:r w:rsidRPr="001C2796">
        <w:rPr>
          <w:rFonts w:ascii="Times New Roman" w:hAnsi="Times New Roman" w:cs="Times New Roman"/>
          <w:sz w:val="24"/>
          <w:szCs w:val="24"/>
          <w:lang w:val="en-IN"/>
        </w:rPr>
        <w:t>sq</w:t>
      </w:r>
      <w:proofErr w:type="spellEnd"/>
      <w:r w:rsidRPr="001C2796">
        <w:rPr>
          <w:rFonts w:ascii="Times New Roman" w:hAnsi="Times New Roman" w:cs="Times New Roman"/>
          <w:sz w:val="24"/>
          <w:szCs w:val="24"/>
          <w:lang w:val="en-IN"/>
        </w:rPr>
        <w:t xml:space="preserve"> ft rates and relatively large average unit sizes.</w:t>
      </w:r>
    </w:p>
    <w:p w14:paraId="610E2D8F" w14:textId="763A29E3" w:rsidR="00D3487F" w:rsidRPr="001C2796" w:rsidRDefault="00D3487F" w:rsidP="00D3487F">
      <w:pPr>
        <w:numPr>
          <w:ilvl w:val="0"/>
          <w:numId w:val="9"/>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Property types are</w:t>
      </w:r>
      <w:r>
        <w:rPr>
          <w:rFonts w:ascii="Times New Roman" w:hAnsi="Times New Roman" w:cs="Times New Roman"/>
          <w:sz w:val="24"/>
          <w:szCs w:val="24"/>
          <w:lang w:val="en-IN"/>
        </w:rPr>
        <w:t xml:space="preserve"> almost</w:t>
      </w:r>
      <w:r w:rsidRPr="001C2796">
        <w:rPr>
          <w:rFonts w:ascii="Times New Roman" w:hAnsi="Times New Roman" w:cs="Times New Roman"/>
          <w:sz w:val="24"/>
          <w:szCs w:val="24"/>
          <w:lang w:val="en-IN"/>
        </w:rPr>
        <w:t xml:space="preserve"> evenly represented, supporting balanced analysis.</w:t>
      </w:r>
    </w:p>
    <w:p w14:paraId="77F6C20E" w14:textId="77777777" w:rsidR="00D3487F" w:rsidRPr="001C2796" w:rsidRDefault="00D3487F" w:rsidP="00D3487F">
      <w:pPr>
        <w:numPr>
          <w:ilvl w:val="0"/>
          <w:numId w:val="9"/>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Long-term pricing trends are stable and largely unaffected by construction status.</w:t>
      </w:r>
    </w:p>
    <w:p w14:paraId="507F7DA2" w14:textId="77777777" w:rsidR="00D3487F" w:rsidRPr="001C2796" w:rsidRDefault="00D3487F" w:rsidP="00D3487F">
      <w:pPr>
        <w:numPr>
          <w:ilvl w:val="0"/>
          <w:numId w:val="9"/>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Furnishing levels have limited impact on pricing, whereas location is a major driver.</w:t>
      </w:r>
    </w:p>
    <w:p w14:paraId="46039514" w14:textId="77777777" w:rsidR="00D3487F" w:rsidRPr="001C2796" w:rsidRDefault="00D3487F" w:rsidP="00D3487F">
      <w:pPr>
        <w:numPr>
          <w:ilvl w:val="0"/>
          <w:numId w:val="9"/>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City-level pricing variation is significant, defining clear premium and affordable markets.</w:t>
      </w:r>
    </w:p>
    <w:p w14:paraId="1B9BD5E5" w14:textId="18687201" w:rsidR="006E2F62" w:rsidRPr="003C62B9" w:rsidRDefault="00D3487F" w:rsidP="00D3487F">
      <w:pPr>
        <w:numPr>
          <w:ilvl w:val="0"/>
          <w:numId w:val="9"/>
        </w:numPr>
        <w:jc w:val="both"/>
        <w:rPr>
          <w:rFonts w:ascii="Times New Roman" w:hAnsi="Times New Roman" w:cs="Times New Roman"/>
          <w:sz w:val="24"/>
          <w:szCs w:val="24"/>
          <w:lang w:val="en-IN"/>
        </w:rPr>
      </w:pPr>
      <w:r w:rsidRPr="001C2796">
        <w:rPr>
          <w:rFonts w:ascii="Times New Roman" w:hAnsi="Times New Roman" w:cs="Times New Roman"/>
          <w:sz w:val="24"/>
          <w:szCs w:val="24"/>
          <w:lang w:val="en-IN"/>
        </w:rPr>
        <w:t>Ownership patterns remain uniform across both ready and under-construction projects, indicating a consistent market ecosystem.</w:t>
      </w:r>
    </w:p>
    <w:sectPr w:rsidR="006E2F62" w:rsidRPr="003C62B9" w:rsidSect="004B4744">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44A0" w14:textId="77777777" w:rsidR="00264E11" w:rsidRDefault="00264E11" w:rsidP="00CF7374">
      <w:pPr>
        <w:spacing w:after="0" w:line="240" w:lineRule="auto"/>
      </w:pPr>
      <w:r>
        <w:separator/>
      </w:r>
    </w:p>
  </w:endnote>
  <w:endnote w:type="continuationSeparator" w:id="0">
    <w:p w14:paraId="17D11FB0" w14:textId="77777777" w:rsidR="00264E11" w:rsidRDefault="00264E11" w:rsidP="00CF7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CC4F0" w14:textId="77777777" w:rsidR="00264E11" w:rsidRDefault="00264E11" w:rsidP="00CF7374">
      <w:pPr>
        <w:spacing w:after="0" w:line="240" w:lineRule="auto"/>
      </w:pPr>
      <w:r>
        <w:separator/>
      </w:r>
    </w:p>
  </w:footnote>
  <w:footnote w:type="continuationSeparator" w:id="0">
    <w:p w14:paraId="74FA5D40" w14:textId="77777777" w:rsidR="00264E11" w:rsidRDefault="00264E11" w:rsidP="00CF7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3A8E"/>
    <w:multiLevelType w:val="multilevel"/>
    <w:tmpl w:val="0F9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F7A86"/>
    <w:multiLevelType w:val="multilevel"/>
    <w:tmpl w:val="50D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4CDD"/>
    <w:multiLevelType w:val="multilevel"/>
    <w:tmpl w:val="EEC6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0147B"/>
    <w:multiLevelType w:val="multilevel"/>
    <w:tmpl w:val="B8B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815B9"/>
    <w:multiLevelType w:val="multilevel"/>
    <w:tmpl w:val="0594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E511C"/>
    <w:multiLevelType w:val="multilevel"/>
    <w:tmpl w:val="B58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F0BA0"/>
    <w:multiLevelType w:val="multilevel"/>
    <w:tmpl w:val="66A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377A8"/>
    <w:multiLevelType w:val="multilevel"/>
    <w:tmpl w:val="835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C6737"/>
    <w:multiLevelType w:val="multilevel"/>
    <w:tmpl w:val="C72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722601">
    <w:abstractNumId w:val="5"/>
  </w:num>
  <w:num w:numId="2" w16cid:durableId="1736321218">
    <w:abstractNumId w:val="2"/>
  </w:num>
  <w:num w:numId="3" w16cid:durableId="727455510">
    <w:abstractNumId w:val="6"/>
  </w:num>
  <w:num w:numId="4" w16cid:durableId="1633629594">
    <w:abstractNumId w:val="7"/>
  </w:num>
  <w:num w:numId="5" w16cid:durableId="278073516">
    <w:abstractNumId w:val="0"/>
  </w:num>
  <w:num w:numId="6" w16cid:durableId="136655244">
    <w:abstractNumId w:val="4"/>
  </w:num>
  <w:num w:numId="7" w16cid:durableId="475412083">
    <w:abstractNumId w:val="1"/>
  </w:num>
  <w:num w:numId="8" w16cid:durableId="458768134">
    <w:abstractNumId w:val="3"/>
  </w:num>
  <w:num w:numId="9" w16cid:durableId="8678413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44"/>
    <w:rsid w:val="00026D3F"/>
    <w:rsid w:val="00135859"/>
    <w:rsid w:val="001C2B9C"/>
    <w:rsid w:val="001D5D7B"/>
    <w:rsid w:val="00264E11"/>
    <w:rsid w:val="00310719"/>
    <w:rsid w:val="003C62B9"/>
    <w:rsid w:val="00475806"/>
    <w:rsid w:val="004B4744"/>
    <w:rsid w:val="00546E70"/>
    <w:rsid w:val="00682478"/>
    <w:rsid w:val="006E2F62"/>
    <w:rsid w:val="007B7951"/>
    <w:rsid w:val="00841CE0"/>
    <w:rsid w:val="008C4AA8"/>
    <w:rsid w:val="008E26D9"/>
    <w:rsid w:val="0094695B"/>
    <w:rsid w:val="00CF7374"/>
    <w:rsid w:val="00D3487F"/>
    <w:rsid w:val="00E65A81"/>
    <w:rsid w:val="00F024F3"/>
    <w:rsid w:val="00F82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9C6A"/>
  <w15:chartTrackingRefBased/>
  <w15:docId w15:val="{61A2FD98-9BFF-4345-AA63-0F2ABA64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744"/>
    <w:rPr>
      <w:lang w:val="en-US"/>
    </w:rPr>
  </w:style>
  <w:style w:type="paragraph" w:styleId="Heading1">
    <w:name w:val="heading 1"/>
    <w:basedOn w:val="Normal"/>
    <w:next w:val="Normal"/>
    <w:link w:val="Heading1Char"/>
    <w:uiPriority w:val="9"/>
    <w:qFormat/>
    <w:rsid w:val="004B4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744"/>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4B4744"/>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4B4744"/>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4B4744"/>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4B4744"/>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4B474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B474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B474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B474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B4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74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B4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74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B4744"/>
    <w:pPr>
      <w:spacing w:before="160"/>
      <w:jc w:val="center"/>
    </w:pPr>
    <w:rPr>
      <w:i/>
      <w:iCs/>
      <w:color w:val="404040" w:themeColor="text1" w:themeTint="BF"/>
    </w:rPr>
  </w:style>
  <w:style w:type="character" w:customStyle="1" w:styleId="QuoteChar">
    <w:name w:val="Quote Char"/>
    <w:basedOn w:val="DefaultParagraphFont"/>
    <w:link w:val="Quote"/>
    <w:uiPriority w:val="29"/>
    <w:rsid w:val="004B4744"/>
    <w:rPr>
      <w:i/>
      <w:iCs/>
      <w:color w:val="404040" w:themeColor="text1" w:themeTint="BF"/>
      <w:lang w:val="en-US"/>
    </w:rPr>
  </w:style>
  <w:style w:type="paragraph" w:styleId="ListParagraph">
    <w:name w:val="List Paragraph"/>
    <w:basedOn w:val="Normal"/>
    <w:uiPriority w:val="34"/>
    <w:qFormat/>
    <w:rsid w:val="004B4744"/>
    <w:pPr>
      <w:ind w:left="720"/>
      <w:contextualSpacing/>
    </w:pPr>
  </w:style>
  <w:style w:type="character" w:styleId="IntenseEmphasis">
    <w:name w:val="Intense Emphasis"/>
    <w:basedOn w:val="DefaultParagraphFont"/>
    <w:uiPriority w:val="21"/>
    <w:qFormat/>
    <w:rsid w:val="004B4744"/>
    <w:rPr>
      <w:i/>
      <w:iCs/>
      <w:color w:val="2F5496" w:themeColor="accent1" w:themeShade="BF"/>
    </w:rPr>
  </w:style>
  <w:style w:type="paragraph" w:styleId="IntenseQuote">
    <w:name w:val="Intense Quote"/>
    <w:basedOn w:val="Normal"/>
    <w:next w:val="Normal"/>
    <w:link w:val="IntenseQuoteChar"/>
    <w:uiPriority w:val="30"/>
    <w:qFormat/>
    <w:rsid w:val="004B4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744"/>
    <w:rPr>
      <w:i/>
      <w:iCs/>
      <w:color w:val="2F5496" w:themeColor="accent1" w:themeShade="BF"/>
      <w:lang w:val="en-US"/>
    </w:rPr>
  </w:style>
  <w:style w:type="character" w:styleId="IntenseReference">
    <w:name w:val="Intense Reference"/>
    <w:basedOn w:val="DefaultParagraphFont"/>
    <w:uiPriority w:val="32"/>
    <w:qFormat/>
    <w:rsid w:val="004B4744"/>
    <w:rPr>
      <w:b/>
      <w:bCs/>
      <w:smallCaps/>
      <w:color w:val="2F5496" w:themeColor="accent1" w:themeShade="BF"/>
      <w:spacing w:val="5"/>
    </w:rPr>
  </w:style>
  <w:style w:type="paragraph" w:styleId="Header">
    <w:name w:val="header"/>
    <w:basedOn w:val="Normal"/>
    <w:link w:val="HeaderChar"/>
    <w:uiPriority w:val="99"/>
    <w:unhideWhenUsed/>
    <w:rsid w:val="00CF73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374"/>
    <w:rPr>
      <w:lang w:val="en-US"/>
    </w:rPr>
  </w:style>
  <w:style w:type="paragraph" w:styleId="Footer">
    <w:name w:val="footer"/>
    <w:basedOn w:val="Normal"/>
    <w:link w:val="FooterChar"/>
    <w:uiPriority w:val="99"/>
    <w:unhideWhenUsed/>
    <w:rsid w:val="00CF73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37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12</cp:revision>
  <cp:lastPrinted>2025-12-11T07:10:00Z</cp:lastPrinted>
  <dcterms:created xsi:type="dcterms:W3CDTF">2025-12-11T06:09:00Z</dcterms:created>
  <dcterms:modified xsi:type="dcterms:W3CDTF">2025-12-11T07:36:00Z</dcterms:modified>
</cp:coreProperties>
</file>