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08BF" w14:textId="2A8E3FA8" w:rsidR="00A63D22" w:rsidRPr="00F540AC" w:rsidRDefault="00834826" w:rsidP="00603B4A">
      <w:pPr>
        <w:pStyle w:val="Title"/>
        <w:jc w:val="left"/>
        <w:rPr>
          <w:lang w:val="en-GB"/>
        </w:rPr>
      </w:pPr>
      <w:r w:rsidRPr="00603B4A">
        <w:t xml:space="preserve">The impact of dietary fiber on mental health: A population-based </w:t>
      </w:r>
      <w:r w:rsidR="001D5B67">
        <w:rPr>
          <w:lang w:val="en-GB"/>
        </w:rPr>
        <w:t>survey</w:t>
      </w:r>
    </w:p>
    <w:p w14:paraId="04C277FE" w14:textId="77777777" w:rsidR="00FF141A" w:rsidRDefault="00FF141A" w:rsidP="00603B4A">
      <w:pPr>
        <w:spacing w:line="276" w:lineRule="auto"/>
        <w:jc w:val="left"/>
        <w:rPr>
          <w:lang w:val="en-US"/>
        </w:rPr>
        <w:sectPr w:rsidR="00FF141A">
          <w:pgSz w:w="11906" w:h="16838"/>
          <w:pgMar w:top="1440" w:right="1440" w:bottom="1440" w:left="1440" w:header="708" w:footer="708" w:gutter="0"/>
          <w:cols w:space="708"/>
          <w:docGrid w:linePitch="360"/>
        </w:sectPr>
      </w:pPr>
    </w:p>
    <w:p w14:paraId="3381FDED" w14:textId="490E0165" w:rsidR="00FF141A" w:rsidRDefault="00834826" w:rsidP="005D7F83">
      <w:pPr>
        <w:spacing w:line="240" w:lineRule="auto"/>
        <w:jc w:val="left"/>
        <w:rPr>
          <w:lang w:val="en-US"/>
        </w:rPr>
        <w:sectPr w:rsidR="00FF141A" w:rsidSect="00FF141A">
          <w:type w:val="continuous"/>
          <w:pgSz w:w="11906" w:h="16838"/>
          <w:pgMar w:top="1440" w:right="1440" w:bottom="1440" w:left="1440" w:header="708" w:footer="708" w:gutter="0"/>
          <w:cols w:num="2" w:space="708"/>
          <w:docGrid w:linePitch="360"/>
        </w:sectPr>
      </w:pPr>
      <w:r w:rsidRPr="0096063E">
        <w:rPr>
          <w:lang w:val="en-US"/>
        </w:rPr>
        <w:t>Thomas Roosdorp</w:t>
      </w:r>
      <w:r w:rsidR="005D7F83">
        <w:rPr>
          <w:lang w:val="en-US"/>
        </w:rPr>
        <w:tab/>
      </w:r>
      <w:r w:rsidRPr="0096063E">
        <w:rPr>
          <w:lang w:val="en-US"/>
        </w:rPr>
        <w:t>2023-01-1</w:t>
      </w:r>
      <w:r w:rsidR="00CF200D">
        <w:rPr>
          <w:lang w:val="en-US"/>
        </w:rPr>
        <w:t>3</w:t>
      </w:r>
    </w:p>
    <w:p w14:paraId="69D48921" w14:textId="6D641450" w:rsidR="001E12FA" w:rsidRPr="0096063E" w:rsidRDefault="001E12FA" w:rsidP="00985D78">
      <w:pPr>
        <w:pStyle w:val="Heading1"/>
        <w:rPr>
          <w:lang w:val="en-US"/>
        </w:rPr>
      </w:pPr>
      <w:r w:rsidRPr="0096063E">
        <w:rPr>
          <w:lang w:val="en-US"/>
        </w:rPr>
        <w:t>Background</w:t>
      </w:r>
    </w:p>
    <w:p w14:paraId="13E25859" w14:textId="24843ECE" w:rsidR="00834826" w:rsidRPr="0096063E" w:rsidRDefault="00834826" w:rsidP="00985D78">
      <w:pPr>
        <w:rPr>
          <w:lang w:val="en-US"/>
        </w:rPr>
      </w:pPr>
      <w:r w:rsidRPr="0096063E">
        <w:rPr>
          <w:lang w:val="en-US"/>
        </w:rPr>
        <w:t>Mental health disorders, such as anxiety, are a major public health concern with significant impacts on individuals and society</w:t>
      </w:r>
      <w:r w:rsidR="008C7FE9">
        <w:rPr>
          <w:lang w:val="en-US"/>
        </w:rPr>
        <w:t xml:space="preserve"> </w:t>
      </w:r>
      <w:r w:rsidR="008C7FE9" w:rsidRPr="008C7FE9">
        <w:rPr>
          <w:rFonts w:cs="Times New Roman"/>
        </w:rPr>
        <w:t>(1)</w:t>
      </w:r>
      <w:r w:rsidRPr="0096063E">
        <w:rPr>
          <w:lang w:val="en-US"/>
        </w:rPr>
        <w:t xml:space="preserve">. </w:t>
      </w:r>
      <w:r w:rsidR="009A07FA" w:rsidRPr="009A07FA">
        <w:rPr>
          <w:lang w:val="en-US"/>
        </w:rPr>
        <w:t xml:space="preserve">Anxiety can be defined by </w:t>
      </w:r>
      <w:r w:rsidR="009A07FA">
        <w:rPr>
          <w:lang w:val="en-US"/>
        </w:rPr>
        <w:t xml:space="preserve">the </w:t>
      </w:r>
      <w:r w:rsidR="009A07FA" w:rsidRPr="009A07FA">
        <w:rPr>
          <w:lang w:val="en-US"/>
        </w:rPr>
        <w:t>emotions of worry, fear, and unease, and it can be induced by multiple causes, including genetics, life experiences, and the environment.</w:t>
      </w:r>
      <w:r w:rsidR="009A07FA">
        <w:rPr>
          <w:lang w:val="en-US"/>
        </w:rPr>
        <w:t xml:space="preserve"> </w:t>
      </w:r>
      <w:r w:rsidRPr="0096063E">
        <w:rPr>
          <w:lang w:val="en-US"/>
        </w:rPr>
        <w:t>Effective treatments for anxiety, such as cognitive-behavioral therapy and medication, are available, but there is a need for additional treatments that are more accessible, cost-effective, and have fewer side effects</w:t>
      </w:r>
      <w:r w:rsidR="008C7FE9">
        <w:rPr>
          <w:lang w:val="en-US"/>
        </w:rPr>
        <w:t xml:space="preserve"> </w:t>
      </w:r>
      <w:r w:rsidR="008C7FE9" w:rsidRPr="008C7FE9">
        <w:rPr>
          <w:rFonts w:cs="Times New Roman"/>
        </w:rPr>
        <w:t>(1)</w:t>
      </w:r>
      <w:r w:rsidRPr="0096063E">
        <w:rPr>
          <w:lang w:val="en-US"/>
        </w:rPr>
        <w:t>.</w:t>
      </w:r>
    </w:p>
    <w:p w14:paraId="3C148BD0" w14:textId="1375D3FD" w:rsidR="00031CA8" w:rsidRPr="0096063E" w:rsidRDefault="009A07FA" w:rsidP="00985D78">
      <w:pPr>
        <w:rPr>
          <w:lang w:val="en-US"/>
        </w:rPr>
      </w:pPr>
      <w:r w:rsidRPr="009A07FA">
        <w:rPr>
          <w:lang w:val="en-US"/>
        </w:rPr>
        <w:t>The bidirectional communication between the gut and the brain is referred to as the gut-brain axis</w:t>
      </w:r>
      <w:r>
        <w:rPr>
          <w:lang w:val="en-US"/>
        </w:rPr>
        <w:t xml:space="preserve"> </w:t>
      </w:r>
      <w:r w:rsidR="00A2297B" w:rsidRPr="00A2297B">
        <w:rPr>
          <w:rFonts w:cs="Times New Roman"/>
        </w:rPr>
        <w:t>(2,</w:t>
      </w:r>
      <w:r w:rsidR="00645D32">
        <w:rPr>
          <w:rFonts w:cs="Times New Roman"/>
          <w:lang w:val="en-GB"/>
        </w:rPr>
        <w:t xml:space="preserve"> </w:t>
      </w:r>
      <w:r w:rsidR="00A2297B" w:rsidRPr="00A2297B">
        <w:rPr>
          <w:rFonts w:cs="Times New Roman"/>
        </w:rPr>
        <w:t>3)</w:t>
      </w:r>
      <w:r w:rsidR="00834826" w:rsidRPr="0096063E">
        <w:rPr>
          <w:lang w:val="en-US"/>
        </w:rPr>
        <w:t xml:space="preserve">. </w:t>
      </w:r>
      <w:r>
        <w:rPr>
          <w:lang w:val="en-US"/>
        </w:rPr>
        <w:t xml:space="preserve">This communication is also influenced by the gut microbiome, which is a collection of microorganisms that live in the gut. </w:t>
      </w:r>
      <w:r w:rsidR="00834826" w:rsidRPr="0096063E">
        <w:rPr>
          <w:lang w:val="en-US"/>
        </w:rPr>
        <w:t>Research has shown that the gut microbiome can influence the brain and behavior</w:t>
      </w:r>
      <w:r w:rsidR="00FF141A">
        <w:rPr>
          <w:lang w:val="en-US"/>
        </w:rPr>
        <w:t>,</w:t>
      </w:r>
      <w:r w:rsidR="00834826" w:rsidRPr="0096063E">
        <w:rPr>
          <w:lang w:val="en-US"/>
        </w:rPr>
        <w:t xml:space="preserve"> and that changes in the gut microbiome can affect mental health</w:t>
      </w:r>
      <w:r w:rsidR="0061571D" w:rsidRPr="0096063E">
        <w:rPr>
          <w:lang w:val="en-US"/>
        </w:rPr>
        <w:t xml:space="preserve"> </w:t>
      </w:r>
      <w:r w:rsidR="0061571D" w:rsidRPr="0096063E">
        <w:rPr>
          <w:rFonts w:cs="Times New Roman"/>
          <w:lang w:val="en-US"/>
        </w:rPr>
        <w:t>(2)</w:t>
      </w:r>
      <w:r w:rsidR="00834826" w:rsidRPr="0096063E">
        <w:rPr>
          <w:lang w:val="en-US"/>
        </w:rPr>
        <w:t>. Conversely, mental health conditions, such as depression and anxiety, can also affect the gut microbiome</w:t>
      </w:r>
      <w:r w:rsidR="008B0440" w:rsidRPr="0096063E">
        <w:rPr>
          <w:lang w:val="en-US"/>
        </w:rPr>
        <w:t xml:space="preserve"> </w:t>
      </w:r>
      <w:r w:rsidR="00A2297B" w:rsidRPr="00A2297B">
        <w:rPr>
          <w:rFonts w:cs="Times New Roman"/>
        </w:rPr>
        <w:t>(3)</w:t>
      </w:r>
      <w:r w:rsidR="00834826" w:rsidRPr="0096063E">
        <w:rPr>
          <w:lang w:val="en-US"/>
        </w:rPr>
        <w:t xml:space="preserve">. </w:t>
      </w:r>
    </w:p>
    <w:p w14:paraId="1A9E86C6" w14:textId="604D13C5" w:rsidR="00985D78" w:rsidRPr="00031CA8" w:rsidRDefault="00985D78" w:rsidP="00985D78">
      <w:pPr>
        <w:rPr>
          <w:lang w:val="en-US"/>
        </w:rPr>
      </w:pPr>
      <w:r w:rsidRPr="00031CA8">
        <w:rPr>
          <w:lang w:val="en-US"/>
        </w:rPr>
        <w:t>Fiber is a type of carbohydrate that is found in plant-based foods, such as fruits, vegetables, legumes, and whole grains</w:t>
      </w:r>
      <w:r w:rsidRPr="0096063E">
        <w:rPr>
          <w:lang w:val="en-US"/>
        </w:rPr>
        <w:t xml:space="preserve"> </w:t>
      </w:r>
      <w:r w:rsidR="00A2297B" w:rsidRPr="00A2297B">
        <w:rPr>
          <w:rFonts w:cs="Times New Roman"/>
        </w:rPr>
        <w:t>(4)</w:t>
      </w:r>
      <w:r w:rsidRPr="00031CA8">
        <w:rPr>
          <w:lang w:val="en-US"/>
        </w:rPr>
        <w:t xml:space="preserve">. Fiber has </w:t>
      </w:r>
      <w:r w:rsidR="00645D32" w:rsidRPr="00031CA8">
        <w:rPr>
          <w:lang w:val="en-US"/>
        </w:rPr>
        <w:t>several</w:t>
      </w:r>
      <w:r w:rsidRPr="00031CA8">
        <w:rPr>
          <w:lang w:val="en-US"/>
        </w:rPr>
        <w:t xml:space="preserve"> </w:t>
      </w:r>
      <w:r w:rsidR="00645D32">
        <w:rPr>
          <w:lang w:val="en-US"/>
        </w:rPr>
        <w:t xml:space="preserve">documented </w:t>
      </w:r>
      <w:r w:rsidRPr="00031CA8">
        <w:rPr>
          <w:lang w:val="en-US"/>
        </w:rPr>
        <w:t>health benefits, including improving digestive health, lowering cholesterol levels, and helping to regulate blood sugar levels</w:t>
      </w:r>
      <w:r w:rsidRPr="0096063E">
        <w:rPr>
          <w:lang w:val="en-US"/>
        </w:rPr>
        <w:t xml:space="preserve"> </w:t>
      </w:r>
      <w:r w:rsidR="00A2297B" w:rsidRPr="00A2297B">
        <w:rPr>
          <w:rFonts w:cs="Times New Roman"/>
        </w:rPr>
        <w:t>(5)</w:t>
      </w:r>
      <w:r w:rsidRPr="00031CA8">
        <w:rPr>
          <w:lang w:val="en-US"/>
        </w:rPr>
        <w:t xml:space="preserve">. </w:t>
      </w:r>
      <w:r w:rsidR="0096063E" w:rsidRPr="0096063E">
        <w:rPr>
          <w:lang w:val="en-US"/>
        </w:rPr>
        <w:t>Fiber also plays a crucial role in the health of the gut microbiome</w:t>
      </w:r>
      <w:r w:rsidR="0096063E">
        <w:rPr>
          <w:lang w:val="en-US"/>
        </w:rPr>
        <w:t xml:space="preserve"> </w:t>
      </w:r>
      <w:r w:rsidRPr="0096063E">
        <w:rPr>
          <w:rFonts w:cs="Times New Roman"/>
          <w:lang w:val="en-US"/>
        </w:rPr>
        <w:t>(2)</w:t>
      </w:r>
      <w:r w:rsidRPr="00031CA8">
        <w:rPr>
          <w:lang w:val="en-US"/>
        </w:rPr>
        <w:t>.</w:t>
      </w:r>
      <w:r w:rsidRPr="0096063E">
        <w:rPr>
          <w:lang w:val="en-US"/>
        </w:rPr>
        <w:t xml:space="preserve"> </w:t>
      </w:r>
      <w:r w:rsidRPr="00031CA8">
        <w:rPr>
          <w:lang w:val="en-US"/>
        </w:rPr>
        <w:t>Additionally, high-fiber foods</w:t>
      </w:r>
      <w:r w:rsidR="00603B4A">
        <w:rPr>
          <w:lang w:val="en-US"/>
        </w:rPr>
        <w:t xml:space="preserve"> </w:t>
      </w:r>
      <w:r w:rsidRPr="00031CA8">
        <w:rPr>
          <w:lang w:val="en-US"/>
        </w:rPr>
        <w:t>tend to be rich in a variety of nutrients that are important for overall health and well-being, including vitamins, minerals, and antioxidants, which may also contribute to improved mental health</w:t>
      </w:r>
      <w:r w:rsidRPr="0096063E">
        <w:rPr>
          <w:lang w:val="en-US"/>
        </w:rPr>
        <w:t xml:space="preserve"> </w:t>
      </w:r>
      <w:r w:rsidR="00A2297B" w:rsidRPr="00A2297B">
        <w:rPr>
          <w:rFonts w:cs="Times New Roman"/>
        </w:rPr>
        <w:t>(4)</w:t>
      </w:r>
      <w:r w:rsidRPr="00031CA8">
        <w:rPr>
          <w:lang w:val="en-US"/>
        </w:rPr>
        <w:t>.</w:t>
      </w:r>
      <w:r w:rsidR="00826778">
        <w:rPr>
          <w:lang w:val="en-US"/>
        </w:rPr>
        <w:t xml:space="preserve"> The average fiber intake </w:t>
      </w:r>
      <w:r w:rsidR="00636720">
        <w:rPr>
          <w:lang w:val="en-US"/>
        </w:rPr>
        <w:t xml:space="preserve">in Sweden for adults </w:t>
      </w:r>
      <w:r w:rsidR="00826778">
        <w:rPr>
          <w:lang w:val="en-US"/>
        </w:rPr>
        <w:t>is estimated to be 20g/day</w:t>
      </w:r>
      <w:r w:rsidR="00645D32">
        <w:rPr>
          <w:lang w:val="en-US"/>
        </w:rPr>
        <w:t>, which is also lower than the recommended intake</w:t>
      </w:r>
      <w:r w:rsidR="00826778">
        <w:rPr>
          <w:lang w:val="en-US"/>
        </w:rPr>
        <w:t xml:space="preserve"> </w:t>
      </w:r>
      <w:r w:rsidR="00A2297B" w:rsidRPr="00A2297B">
        <w:rPr>
          <w:rFonts w:cs="Times New Roman"/>
        </w:rPr>
        <w:t>(6)</w:t>
      </w:r>
      <w:r w:rsidR="00826778">
        <w:rPr>
          <w:lang w:val="en-US"/>
        </w:rPr>
        <w:t>.</w:t>
      </w:r>
    </w:p>
    <w:p w14:paraId="7A0A79D8" w14:textId="2608EC06" w:rsidR="00031CA8" w:rsidRPr="0096063E" w:rsidRDefault="008C7FE9" w:rsidP="00985D78">
      <w:pPr>
        <w:rPr>
          <w:lang w:val="en-US"/>
        </w:rPr>
      </w:pPr>
      <w:r w:rsidRPr="008C7FE9">
        <w:rPr>
          <w:lang w:val="en-US"/>
        </w:rPr>
        <w:t xml:space="preserve">There is some evidence to support the hypothesis that dietary factors, notably the intake of </w:t>
      </w:r>
      <w:r w:rsidR="00603B4A">
        <w:rPr>
          <w:lang w:val="en-US"/>
        </w:rPr>
        <w:t xml:space="preserve">dietary </w:t>
      </w:r>
      <w:r w:rsidRPr="008C7FE9">
        <w:rPr>
          <w:lang w:val="en-US"/>
        </w:rPr>
        <w:t>fiber, may be connected with one's mental health</w:t>
      </w:r>
      <w:r>
        <w:rPr>
          <w:lang w:val="en-US"/>
        </w:rPr>
        <w:t xml:space="preserve"> </w:t>
      </w:r>
      <w:r w:rsidR="00A2297B" w:rsidRPr="00A2297B">
        <w:rPr>
          <w:rFonts w:cs="Times New Roman"/>
          <w:szCs w:val="24"/>
        </w:rPr>
        <w:t>(7–10)</w:t>
      </w:r>
      <w:r w:rsidR="00031CA8" w:rsidRPr="00031CA8">
        <w:rPr>
          <w:lang w:val="en-US"/>
        </w:rPr>
        <w:t xml:space="preserve">. </w:t>
      </w:r>
      <w:r w:rsidRPr="008C7FE9">
        <w:rPr>
          <w:lang w:val="en-US"/>
        </w:rPr>
        <w:t>It is not entirely understood how</w:t>
      </w:r>
      <w:r w:rsidR="00603B4A">
        <w:rPr>
          <w:lang w:val="en-US"/>
        </w:rPr>
        <w:t xml:space="preserve"> dietary</w:t>
      </w:r>
      <w:r w:rsidRPr="008C7FE9">
        <w:rPr>
          <w:lang w:val="en-US"/>
        </w:rPr>
        <w:t xml:space="preserve"> fiber may contribute to improved mental health; </w:t>
      </w:r>
      <w:r w:rsidR="00645D32" w:rsidRPr="008C7FE9">
        <w:rPr>
          <w:lang w:val="en-US"/>
        </w:rPr>
        <w:t>nevertheless,</w:t>
      </w:r>
      <w:r w:rsidR="00FF141A">
        <w:rPr>
          <w:lang w:val="en-US"/>
        </w:rPr>
        <w:t xml:space="preserve"> i</w:t>
      </w:r>
      <w:r w:rsidRPr="008C7FE9">
        <w:rPr>
          <w:lang w:val="en-US"/>
        </w:rPr>
        <w:t>t is suspected that</w:t>
      </w:r>
      <w:r w:rsidR="00603B4A">
        <w:rPr>
          <w:lang w:val="en-US"/>
        </w:rPr>
        <w:t xml:space="preserve"> dietary</w:t>
      </w:r>
      <w:r w:rsidRPr="008C7FE9">
        <w:rPr>
          <w:lang w:val="en-US"/>
        </w:rPr>
        <w:t xml:space="preserve"> fiber may assist </w:t>
      </w:r>
      <w:r w:rsidR="009A07FA">
        <w:rPr>
          <w:lang w:val="en-US"/>
        </w:rPr>
        <w:t>in</w:t>
      </w:r>
      <w:r w:rsidRPr="008C7FE9">
        <w:rPr>
          <w:lang w:val="en-US"/>
        </w:rPr>
        <w:t xml:space="preserve"> control</w:t>
      </w:r>
      <w:r w:rsidR="009A07FA">
        <w:rPr>
          <w:lang w:val="en-US"/>
        </w:rPr>
        <w:t>ling</w:t>
      </w:r>
      <w:r w:rsidRPr="008C7FE9">
        <w:rPr>
          <w:lang w:val="en-US"/>
        </w:rPr>
        <w:t xml:space="preserve"> the synthesis of certain neurotransmitters, such as serotonin, which are involved in </w:t>
      </w:r>
      <w:r w:rsidR="00FF141A">
        <w:rPr>
          <w:lang w:val="en-US"/>
        </w:rPr>
        <w:t xml:space="preserve">mood regulation </w:t>
      </w:r>
      <w:r w:rsidR="00A2297B" w:rsidRPr="00A2297B">
        <w:rPr>
          <w:rFonts w:cs="Times New Roman"/>
        </w:rPr>
        <w:t>(3)</w:t>
      </w:r>
      <w:r w:rsidR="00031CA8" w:rsidRPr="00031CA8">
        <w:rPr>
          <w:lang w:val="en-US"/>
        </w:rPr>
        <w:t xml:space="preserve">. </w:t>
      </w:r>
    </w:p>
    <w:p w14:paraId="7F986301" w14:textId="52434713" w:rsidR="009763D6" w:rsidRPr="0096063E" w:rsidRDefault="009763D6" w:rsidP="00985D78">
      <w:pPr>
        <w:pStyle w:val="Heading1"/>
        <w:rPr>
          <w:lang w:val="en-US"/>
        </w:rPr>
      </w:pPr>
      <w:r w:rsidRPr="0096063E">
        <w:rPr>
          <w:lang w:val="en-US"/>
        </w:rPr>
        <w:lastRenderedPageBreak/>
        <w:t>Justification</w:t>
      </w:r>
    </w:p>
    <w:p w14:paraId="5189086F" w14:textId="7928B035" w:rsidR="00031CA8" w:rsidRPr="00031CA8" w:rsidRDefault="00031CA8" w:rsidP="00985D78">
      <w:pPr>
        <w:rPr>
          <w:lang w:val="en-US"/>
        </w:rPr>
      </w:pPr>
      <w:r w:rsidRPr="00031CA8">
        <w:rPr>
          <w:lang w:val="en-US"/>
        </w:rPr>
        <w:t>Mental health disorders, such as depression and anxiety, are common and often debilitating conditions that can significantly impact a person's quality of life</w:t>
      </w:r>
      <w:r w:rsidR="001D0537">
        <w:rPr>
          <w:lang w:val="en-US"/>
        </w:rPr>
        <w:t xml:space="preserve"> (1)</w:t>
      </w:r>
      <w:r w:rsidRPr="00031CA8">
        <w:rPr>
          <w:lang w:val="en-US"/>
        </w:rPr>
        <w:t>. These disorders can also have serious consequences for physical health</w:t>
      </w:r>
      <w:r w:rsidR="0096063E">
        <w:rPr>
          <w:lang w:val="en-US"/>
        </w:rPr>
        <w:t xml:space="preserve"> </w:t>
      </w:r>
      <w:r w:rsidRPr="00031CA8">
        <w:rPr>
          <w:lang w:val="en-US"/>
        </w:rPr>
        <w:t>as well as social and economic well-being.</w:t>
      </w:r>
      <w:r w:rsidR="006C6D2D">
        <w:rPr>
          <w:lang w:val="en-US"/>
        </w:rPr>
        <w:t xml:space="preserve"> T</w:t>
      </w:r>
      <w:r w:rsidR="00E92503">
        <w:rPr>
          <w:lang w:val="en-US"/>
        </w:rPr>
        <w:t>he</w:t>
      </w:r>
      <w:r w:rsidR="00FB7BD2">
        <w:rPr>
          <w:lang w:val="en-US"/>
        </w:rPr>
        <w:t xml:space="preserve"> extrinsic</w:t>
      </w:r>
      <w:r w:rsidR="00E92503">
        <w:rPr>
          <w:lang w:val="en-US"/>
        </w:rPr>
        <w:t xml:space="preserve"> risk for </w:t>
      </w:r>
      <w:r w:rsidR="00FB7BD2">
        <w:rPr>
          <w:lang w:val="en-US"/>
        </w:rPr>
        <w:t xml:space="preserve">the </w:t>
      </w:r>
      <w:r w:rsidR="00E92503">
        <w:rPr>
          <w:lang w:val="en-US"/>
        </w:rPr>
        <w:t>participants is minimal</w:t>
      </w:r>
      <w:r w:rsidR="00D672D9">
        <w:rPr>
          <w:lang w:val="en-US"/>
        </w:rPr>
        <w:t>;</w:t>
      </w:r>
      <w:r w:rsidR="00E92503">
        <w:rPr>
          <w:lang w:val="en-US"/>
        </w:rPr>
        <w:t xml:space="preserve"> </w:t>
      </w:r>
      <w:r w:rsidR="00270A80">
        <w:rPr>
          <w:lang w:val="en-US"/>
        </w:rPr>
        <w:t>the participants</w:t>
      </w:r>
      <w:r w:rsidR="00E92503">
        <w:rPr>
          <w:lang w:val="en-US"/>
        </w:rPr>
        <w:t xml:space="preserve"> are informed</w:t>
      </w:r>
      <w:r w:rsidR="00FF141A">
        <w:rPr>
          <w:lang w:val="en-US"/>
        </w:rPr>
        <w:t xml:space="preserve"> of </w:t>
      </w:r>
      <w:r w:rsidR="00270A80">
        <w:rPr>
          <w:lang w:val="en-US"/>
        </w:rPr>
        <w:t>all known</w:t>
      </w:r>
      <w:r w:rsidR="00FF141A">
        <w:rPr>
          <w:lang w:val="en-US"/>
        </w:rPr>
        <w:t xml:space="preserve"> risks </w:t>
      </w:r>
      <w:r w:rsidR="00FB7BD2">
        <w:rPr>
          <w:lang w:val="en-US"/>
        </w:rPr>
        <w:t xml:space="preserve">and study relevant information </w:t>
      </w:r>
      <w:r w:rsidR="00FF141A">
        <w:rPr>
          <w:lang w:val="en-US"/>
        </w:rPr>
        <w:t>through the use of an invitation letter and consent form</w:t>
      </w:r>
      <w:r w:rsidR="00E92503">
        <w:rPr>
          <w:lang w:val="en-US"/>
        </w:rPr>
        <w:t>.</w:t>
      </w:r>
    </w:p>
    <w:p w14:paraId="6213EA58" w14:textId="6DA34683" w:rsidR="00031CA8" w:rsidRPr="0096063E" w:rsidRDefault="00031CA8" w:rsidP="00C03B0A">
      <w:pPr>
        <w:rPr>
          <w:lang w:val="en-US"/>
        </w:rPr>
      </w:pPr>
      <w:r w:rsidRPr="00031CA8">
        <w:rPr>
          <w:lang w:val="en-US"/>
        </w:rPr>
        <w:t>Conducting research on mental health disorders can help to improve our understanding of these conditions and how they can be effectively treated and managed. This can ultimately lead to the development of more effective and personalized treatments for people with mental health disorders, which can improve quality of life and reduce the burden on society.</w:t>
      </w:r>
    </w:p>
    <w:p w14:paraId="1A69A055" w14:textId="618262C4" w:rsidR="009763D6" w:rsidRPr="0096063E" w:rsidRDefault="009763D6" w:rsidP="005C0A4A">
      <w:pPr>
        <w:pStyle w:val="Heading1"/>
        <w:rPr>
          <w:lang w:val="en-US"/>
        </w:rPr>
      </w:pPr>
      <w:r w:rsidRPr="0096063E">
        <w:rPr>
          <w:lang w:val="en-US"/>
        </w:rPr>
        <w:t>Aim</w:t>
      </w:r>
    </w:p>
    <w:p w14:paraId="6C225BD5" w14:textId="287D1D09" w:rsidR="00031CA8" w:rsidRPr="0096063E" w:rsidRDefault="00031CA8" w:rsidP="005C0A4A">
      <w:pPr>
        <w:rPr>
          <w:lang w:val="en-US"/>
        </w:rPr>
      </w:pPr>
      <w:r w:rsidRPr="0096063E">
        <w:rPr>
          <w:lang w:val="en-US"/>
        </w:rPr>
        <w:t xml:space="preserve">The aim of this study is to explore the relationship between </w:t>
      </w:r>
      <w:r w:rsidR="00FF141A">
        <w:rPr>
          <w:lang w:val="en-US"/>
        </w:rPr>
        <w:t xml:space="preserve">general </w:t>
      </w:r>
      <w:r w:rsidR="00B9591F">
        <w:rPr>
          <w:lang w:val="en-US"/>
        </w:rPr>
        <w:t>anxiety</w:t>
      </w:r>
      <w:r w:rsidRPr="0096063E">
        <w:rPr>
          <w:lang w:val="en-US"/>
        </w:rPr>
        <w:t xml:space="preserve"> and</w:t>
      </w:r>
      <w:r w:rsidR="00D33747">
        <w:rPr>
          <w:lang w:val="en-US"/>
        </w:rPr>
        <w:t xml:space="preserve"> dietary</w:t>
      </w:r>
      <w:r w:rsidRPr="0096063E">
        <w:rPr>
          <w:lang w:val="en-US"/>
        </w:rPr>
        <w:t xml:space="preserve"> fiber intake </w:t>
      </w:r>
      <w:r w:rsidR="00985D78" w:rsidRPr="0096063E">
        <w:rPr>
          <w:lang w:val="en-US"/>
        </w:rPr>
        <w:t>to</w:t>
      </w:r>
      <w:r w:rsidRPr="0096063E">
        <w:rPr>
          <w:lang w:val="en-US"/>
        </w:rPr>
        <w:t xml:space="preserve"> determine whether increasing</w:t>
      </w:r>
      <w:r w:rsidR="00D33747">
        <w:rPr>
          <w:lang w:val="en-US"/>
        </w:rPr>
        <w:t xml:space="preserve"> dietary</w:t>
      </w:r>
      <w:r w:rsidRPr="0096063E">
        <w:rPr>
          <w:lang w:val="en-US"/>
        </w:rPr>
        <w:t xml:space="preserve"> fiber intake may be a useful strategy for improving mental health and reducing the risk of anxiety.</w:t>
      </w:r>
    </w:p>
    <w:p w14:paraId="7C46BA18" w14:textId="4609417E" w:rsidR="009763D6" w:rsidRPr="0096063E" w:rsidRDefault="009763D6" w:rsidP="005C0A4A">
      <w:pPr>
        <w:pStyle w:val="Heading1"/>
        <w:rPr>
          <w:lang w:val="en-US"/>
        </w:rPr>
      </w:pPr>
      <w:r w:rsidRPr="0096063E">
        <w:rPr>
          <w:lang w:val="en-US"/>
        </w:rPr>
        <w:t>Research question</w:t>
      </w:r>
    </w:p>
    <w:p w14:paraId="322C8CFA" w14:textId="7F7F0C5B" w:rsidR="0096063E" w:rsidRDefault="0096063E" w:rsidP="005C0A4A">
      <w:pPr>
        <w:rPr>
          <w:b/>
          <w:lang w:val="en-US"/>
        </w:rPr>
      </w:pPr>
      <w:r w:rsidRPr="0096063E">
        <w:rPr>
          <w:lang w:val="en-US"/>
        </w:rPr>
        <w:t xml:space="preserve">What role does low </w:t>
      </w:r>
      <w:r w:rsidR="00D33747">
        <w:rPr>
          <w:lang w:val="en-US"/>
        </w:rPr>
        <w:t xml:space="preserve">dietary </w:t>
      </w:r>
      <w:r w:rsidRPr="0096063E">
        <w:rPr>
          <w:lang w:val="en-US"/>
        </w:rPr>
        <w:t>fiber intake (</w:t>
      </w:r>
      <w:r w:rsidR="00B9591F">
        <w:rPr>
          <w:lang w:val="en-US"/>
        </w:rPr>
        <w:t>&lt;</w:t>
      </w:r>
      <w:r w:rsidRPr="0096063E">
        <w:rPr>
          <w:lang w:val="en-US"/>
        </w:rPr>
        <w:t xml:space="preserve">20g/d) </w:t>
      </w:r>
      <w:r w:rsidR="00B9591F">
        <w:rPr>
          <w:lang w:val="en-US"/>
        </w:rPr>
        <w:t>have</w:t>
      </w:r>
      <w:r w:rsidRPr="0096063E">
        <w:rPr>
          <w:lang w:val="en-US"/>
        </w:rPr>
        <w:t xml:space="preserve"> in the prevalence of </w:t>
      </w:r>
      <w:r w:rsidR="00E92503">
        <w:rPr>
          <w:lang w:val="en-US"/>
        </w:rPr>
        <w:t xml:space="preserve">general </w:t>
      </w:r>
      <w:r w:rsidRPr="0096063E">
        <w:rPr>
          <w:lang w:val="en-US"/>
        </w:rPr>
        <w:t>anxiety among Swedish adults (</w:t>
      </w:r>
      <w:r w:rsidR="00727309">
        <w:rPr>
          <w:lang w:val="en-US"/>
        </w:rPr>
        <w:t>20</w:t>
      </w:r>
      <w:r w:rsidR="00645D32" w:rsidRPr="00A2297B">
        <w:rPr>
          <w:rFonts w:cs="Times New Roman"/>
          <w:szCs w:val="24"/>
        </w:rPr>
        <w:t>–</w:t>
      </w:r>
      <w:r w:rsidR="00727309">
        <w:rPr>
          <w:lang w:val="en-US"/>
        </w:rPr>
        <w:t>64</w:t>
      </w:r>
      <w:r w:rsidRPr="0096063E">
        <w:rPr>
          <w:lang w:val="en-US"/>
        </w:rPr>
        <w:t xml:space="preserve"> years) versus those with high </w:t>
      </w:r>
      <w:r w:rsidR="00D33747">
        <w:rPr>
          <w:lang w:val="en-US"/>
        </w:rPr>
        <w:t xml:space="preserve">dietary </w:t>
      </w:r>
      <w:r w:rsidRPr="0096063E">
        <w:rPr>
          <w:lang w:val="en-US"/>
        </w:rPr>
        <w:t>fiber intake (&gt;20g/d)?</w:t>
      </w:r>
    </w:p>
    <w:p w14:paraId="2B75EA6A" w14:textId="7AD400B8" w:rsidR="001E12FA" w:rsidRPr="0096063E" w:rsidRDefault="001E12FA" w:rsidP="005C0A4A">
      <w:pPr>
        <w:pStyle w:val="Heading1"/>
        <w:rPr>
          <w:lang w:val="en-US"/>
        </w:rPr>
      </w:pPr>
      <w:r w:rsidRPr="0096063E">
        <w:rPr>
          <w:lang w:val="en-US"/>
        </w:rPr>
        <w:t>Method</w:t>
      </w:r>
      <w:r w:rsidR="009763D6" w:rsidRPr="0096063E">
        <w:rPr>
          <w:lang w:val="en-US"/>
        </w:rPr>
        <w:t>ology</w:t>
      </w:r>
    </w:p>
    <w:p w14:paraId="70413C04" w14:textId="2ED1C63B" w:rsidR="00F6074F" w:rsidRPr="0096063E" w:rsidRDefault="00F6074F" w:rsidP="005C0A4A">
      <w:pPr>
        <w:pStyle w:val="Heading2"/>
        <w:rPr>
          <w:lang w:val="en-US"/>
        </w:rPr>
      </w:pPr>
      <w:r w:rsidRPr="0096063E">
        <w:rPr>
          <w:lang w:val="en-US"/>
        </w:rPr>
        <w:t>Study design</w:t>
      </w:r>
    </w:p>
    <w:p w14:paraId="3F2E9B16" w14:textId="0DB7EA52" w:rsidR="00B9591F" w:rsidRDefault="00B9591F" w:rsidP="005C0A4A">
      <w:pPr>
        <w:rPr>
          <w:lang w:val="en-US"/>
        </w:rPr>
      </w:pPr>
      <w:r w:rsidRPr="00B9591F">
        <w:t>The</w:t>
      </w:r>
      <w:r w:rsidR="00AA2DB0">
        <w:rPr>
          <w:lang w:val="en-GB"/>
        </w:rPr>
        <w:t xml:space="preserve"> proposed</w:t>
      </w:r>
      <w:r w:rsidRPr="00B9591F">
        <w:t xml:space="preserve"> study design </w:t>
      </w:r>
      <w:r w:rsidR="00D33747">
        <w:rPr>
          <w:lang w:val="en-GB"/>
        </w:rPr>
        <w:t>is</w:t>
      </w:r>
      <w:r w:rsidRPr="00B9591F">
        <w:t xml:space="preserve"> a cross-sectional study in which data on exposures (fiber intake) and outcomes (</w:t>
      </w:r>
      <w:r>
        <w:rPr>
          <w:lang w:val="en-GB"/>
        </w:rPr>
        <w:t>general anxiety</w:t>
      </w:r>
      <w:r w:rsidR="00E92503">
        <w:rPr>
          <w:lang w:val="en-GB"/>
        </w:rPr>
        <w:t xml:space="preserve"> symptoms</w:t>
      </w:r>
      <w:r w:rsidRPr="00B9591F">
        <w:t xml:space="preserve">) </w:t>
      </w:r>
      <w:r w:rsidR="00D33747">
        <w:rPr>
          <w:lang w:val="en-GB"/>
        </w:rPr>
        <w:t>will be</w:t>
      </w:r>
      <w:r w:rsidRPr="00B9591F">
        <w:t xml:space="preserve"> collected at the same point in time. </w:t>
      </w:r>
    </w:p>
    <w:p w14:paraId="5D062E6A" w14:textId="04760871" w:rsidR="00F6074F" w:rsidRPr="0096063E" w:rsidRDefault="00F6074F" w:rsidP="005C0A4A">
      <w:pPr>
        <w:pStyle w:val="Heading2"/>
        <w:rPr>
          <w:lang w:val="en-US"/>
        </w:rPr>
      </w:pPr>
      <w:r w:rsidRPr="0096063E">
        <w:rPr>
          <w:lang w:val="en-US"/>
        </w:rPr>
        <w:t>Sampling strategy</w:t>
      </w:r>
    </w:p>
    <w:p w14:paraId="392476AD" w14:textId="29B6B542" w:rsidR="00615B7D" w:rsidRPr="00615B7D" w:rsidRDefault="00615B7D" w:rsidP="00615B7D">
      <w:r w:rsidRPr="00615B7D">
        <w:t>The proposed study aims to examine the relationship between fiber intake and mental health in the general population of Swedish adults between the ages of 20 and 64</w:t>
      </w:r>
      <w:r w:rsidR="002A2E2B">
        <w:rPr>
          <w:lang w:val="en-GB"/>
        </w:rPr>
        <w:t xml:space="preserve">, which is our </w:t>
      </w:r>
      <w:r w:rsidR="002A2E2B">
        <w:rPr>
          <w:i/>
          <w:iCs/>
          <w:lang w:val="en-GB"/>
        </w:rPr>
        <w:t>target population</w:t>
      </w:r>
      <w:r w:rsidRPr="00615B7D">
        <w:t xml:space="preserve">. The </w:t>
      </w:r>
      <w:r w:rsidRPr="00615B7D">
        <w:rPr>
          <w:i/>
          <w:iCs/>
        </w:rPr>
        <w:t>sample frame</w:t>
      </w:r>
      <w:r w:rsidRPr="00615B7D">
        <w:t xml:space="preserve"> for this study </w:t>
      </w:r>
      <w:r w:rsidR="002A2E2B">
        <w:rPr>
          <w:lang w:val="en-GB"/>
        </w:rPr>
        <w:t>would</w:t>
      </w:r>
      <w:r w:rsidRPr="00615B7D">
        <w:t xml:space="preserve"> be the Register of Total Population (RTB) from Statistics Sweden (SCB)</w:t>
      </w:r>
      <w:r w:rsidR="002A2E2B">
        <w:rPr>
          <w:lang w:val="en-GB"/>
        </w:rPr>
        <w:t xml:space="preserve"> </w:t>
      </w:r>
      <w:r w:rsidR="00A2297B" w:rsidRPr="00A2297B">
        <w:rPr>
          <w:rFonts w:cs="Times New Roman"/>
        </w:rPr>
        <w:t>(11)</w:t>
      </w:r>
      <w:r w:rsidRPr="00615B7D">
        <w:t xml:space="preserve">. This register includes information on approximately 99% of the Swedish population, including names and postal addresses. This sampling frame </w:t>
      </w:r>
      <w:r w:rsidR="002A2E2B">
        <w:rPr>
          <w:lang w:val="en-GB"/>
        </w:rPr>
        <w:t>would</w:t>
      </w:r>
      <w:r w:rsidRPr="00615B7D">
        <w:t xml:space="preserve"> be used to draw a sample of individuals from the target population for the study.</w:t>
      </w:r>
    </w:p>
    <w:p w14:paraId="2CD111AF" w14:textId="44898888" w:rsidR="00D33747" w:rsidRDefault="00615B7D" w:rsidP="002A2E2B">
      <w:r w:rsidRPr="00615B7D">
        <w:t xml:space="preserve">It is important to use a sampling frame that is representative of the target population in order to ensure that the findings of the study are generalizable to the larger population. By using the </w:t>
      </w:r>
      <w:r w:rsidRPr="00615B7D">
        <w:lastRenderedPageBreak/>
        <w:t xml:space="preserve">RTB as the sampling frame, </w:t>
      </w:r>
      <w:r w:rsidR="002A2E2B">
        <w:rPr>
          <w:lang w:val="en-GB"/>
        </w:rPr>
        <w:t xml:space="preserve">we </w:t>
      </w:r>
      <w:r w:rsidRPr="00615B7D">
        <w:t>can be confident that the sample is representative of the target population and that the results of the study can be generalized to the larger population of Swedish adults between the ages of 20</w:t>
      </w:r>
      <w:r w:rsidR="00645D32" w:rsidRPr="00A2297B">
        <w:rPr>
          <w:rFonts w:cs="Times New Roman"/>
          <w:szCs w:val="24"/>
        </w:rPr>
        <w:t>–</w:t>
      </w:r>
      <w:r w:rsidRPr="00615B7D">
        <w:t>64.</w:t>
      </w:r>
    </w:p>
    <w:p w14:paraId="2CFE2F5E" w14:textId="46B2F544" w:rsidR="002A2E2B" w:rsidRPr="002A2E2B" w:rsidRDefault="002A2E2B" w:rsidP="002A2E2B">
      <w:r w:rsidRPr="002A2E2B">
        <w:t xml:space="preserve">In order to ensure that our sample is representative of the target population, we will use </w:t>
      </w:r>
      <w:r w:rsidRPr="002A2E2B">
        <w:rPr>
          <w:i/>
          <w:iCs/>
        </w:rPr>
        <w:t>probability sampling</w:t>
      </w:r>
      <w:r w:rsidRPr="002A2E2B">
        <w:t xml:space="preserve">, specifically </w:t>
      </w:r>
      <w:r w:rsidRPr="002A2E2B">
        <w:rPr>
          <w:i/>
          <w:iCs/>
        </w:rPr>
        <w:t>systematic random sampling</w:t>
      </w:r>
      <w:r w:rsidRPr="002A2E2B">
        <w:t>. Probability sampling is a method of sampling that uses randomization to select individuals from the target population, and it allows us to make statistical inferences from our sample to the general population. This provides greater external validity for our results, as we can be confident that the sample is representative of the larger population. Systematic random sampling is a specific type of probability sampling in which individuals are selected from the sampling frame at regular intervals. This helps reduce the chance of bias in the sampling process.</w:t>
      </w:r>
    </w:p>
    <w:p w14:paraId="2E6C00AB" w14:textId="4910851A" w:rsidR="002A2E2B" w:rsidRPr="002A2E2B" w:rsidRDefault="002A2E2B" w:rsidP="002A2E2B">
      <w:r w:rsidRPr="002A2E2B">
        <w:t>In order to collect data from the sample participants, we will use a self-administered survey that will be mailed to them along with an invitation letter, a consent form, and a prepaid return envelope. The survey will be conducted using a postal service, and each sampling unit (i.e., individual participant) will be contacted by post. By using a self-administered survey and a postal service, we can minimize the potential for bias that may be introduced through face-to-face interactions. This will help to ensure the reliability and validity of the data collected.</w:t>
      </w:r>
    </w:p>
    <w:p w14:paraId="4508A0AB" w14:textId="49FF22D3" w:rsidR="00F6074F" w:rsidRDefault="00F6074F" w:rsidP="00985D78">
      <w:pPr>
        <w:pStyle w:val="Heading2"/>
        <w:rPr>
          <w:lang w:val="en-US"/>
        </w:rPr>
      </w:pPr>
      <w:r w:rsidRPr="0096063E">
        <w:rPr>
          <w:lang w:val="en-US"/>
        </w:rPr>
        <w:t>Sample size</w:t>
      </w:r>
    </w:p>
    <w:p w14:paraId="7A5B6268" w14:textId="4513F72F" w:rsidR="00FF141A" w:rsidRDefault="00FF141A" w:rsidP="00FF141A">
      <w:pPr>
        <w:rPr>
          <w:lang w:val="en-GB"/>
        </w:rPr>
      </w:pPr>
      <w:r>
        <w:rPr>
          <w:lang w:val="en-GB"/>
        </w:rPr>
        <w:t xml:space="preserve">Our proposed null hypothesis is that there is no difference between proportions of </w:t>
      </w:r>
      <w:r w:rsidR="00CE2954">
        <w:rPr>
          <w:lang w:val="en-GB"/>
        </w:rPr>
        <w:t xml:space="preserve">having </w:t>
      </w:r>
      <w:r>
        <w:rPr>
          <w:lang w:val="en-GB"/>
        </w:rPr>
        <w:t xml:space="preserve">anxiety between low and high fiber intake. We must also estimate the effect size and variability. </w:t>
      </w:r>
      <w:r w:rsidR="005350A8" w:rsidRPr="005350A8">
        <w:t>The</w:t>
      </w:r>
      <w:r>
        <w:rPr>
          <w:lang w:val="en-GB"/>
        </w:rPr>
        <w:t xml:space="preserve"> </w:t>
      </w:r>
      <w:r w:rsidR="005350A8" w:rsidRPr="005350A8">
        <w:t>United</w:t>
      </w:r>
      <w:r>
        <w:rPr>
          <w:lang w:val="en-GB"/>
        </w:rPr>
        <w:t xml:space="preserve"> </w:t>
      </w:r>
      <w:r w:rsidR="005350A8" w:rsidRPr="005350A8">
        <w:t>States</w:t>
      </w:r>
      <w:r>
        <w:rPr>
          <w:lang w:val="en-GB"/>
        </w:rPr>
        <w:t xml:space="preserve"> </w:t>
      </w:r>
      <w:r w:rsidR="005350A8" w:rsidRPr="005350A8">
        <w:t>Census</w:t>
      </w:r>
      <w:r>
        <w:rPr>
          <w:lang w:val="en-GB"/>
        </w:rPr>
        <w:t xml:space="preserve"> </w:t>
      </w:r>
      <w:r w:rsidR="005350A8" w:rsidRPr="005350A8">
        <w:t>Bureau</w:t>
      </w:r>
      <w:r>
        <w:rPr>
          <w:lang w:val="en-GB"/>
        </w:rPr>
        <w:t xml:space="preserve"> </w:t>
      </w:r>
      <w:r w:rsidR="005350A8" w:rsidRPr="005350A8">
        <w:t>assessed</w:t>
      </w:r>
      <w:r>
        <w:rPr>
          <w:lang w:val="en-GB"/>
        </w:rPr>
        <w:t xml:space="preserve"> </w:t>
      </w:r>
      <w:r w:rsidR="005350A8" w:rsidRPr="005350A8">
        <w:t>the</w:t>
      </w:r>
      <w:r>
        <w:rPr>
          <w:lang w:val="en-GB"/>
        </w:rPr>
        <w:t xml:space="preserve"> </w:t>
      </w:r>
      <w:r w:rsidR="005350A8" w:rsidRPr="005350A8">
        <w:t>prevalence</w:t>
      </w:r>
      <w:r>
        <w:rPr>
          <w:lang w:val="en-GB"/>
        </w:rPr>
        <w:t xml:space="preserve"> </w:t>
      </w:r>
      <w:r w:rsidR="005350A8" w:rsidRPr="005350A8">
        <w:t>of</w:t>
      </w:r>
      <w:r>
        <w:rPr>
          <w:lang w:val="en-GB"/>
        </w:rPr>
        <w:t xml:space="preserve"> </w:t>
      </w:r>
      <w:r w:rsidR="005350A8" w:rsidRPr="005350A8">
        <w:t>anxiety</w:t>
      </w:r>
      <w:r>
        <w:rPr>
          <w:lang w:val="en-GB"/>
        </w:rPr>
        <w:t xml:space="preserve"> </w:t>
      </w:r>
      <w:r w:rsidR="005350A8" w:rsidRPr="005350A8">
        <w:t>symptoms</w:t>
      </w:r>
      <w:r>
        <w:rPr>
          <w:lang w:val="en-GB"/>
        </w:rPr>
        <w:t xml:space="preserve"> </w:t>
      </w:r>
      <w:r w:rsidR="005350A8" w:rsidRPr="005350A8">
        <w:t>in</w:t>
      </w:r>
      <w:r>
        <w:rPr>
          <w:lang w:val="en-GB"/>
        </w:rPr>
        <w:t xml:space="preserve"> </w:t>
      </w:r>
      <w:r w:rsidR="005350A8" w:rsidRPr="005350A8">
        <w:t>2019-2020,</w:t>
      </w:r>
      <w:r>
        <w:rPr>
          <w:lang w:val="en-GB"/>
        </w:rPr>
        <w:t xml:space="preserve"> </w:t>
      </w:r>
      <w:r w:rsidR="005350A8" w:rsidRPr="005350A8">
        <w:t>finding a</w:t>
      </w:r>
      <w:r>
        <w:rPr>
          <w:lang w:val="en-GB"/>
        </w:rPr>
        <w:t xml:space="preserve"> </w:t>
      </w:r>
      <w:r w:rsidR="005350A8" w:rsidRPr="005350A8">
        <w:t>30%</w:t>
      </w:r>
      <w:r>
        <w:rPr>
          <w:lang w:val="en-GB"/>
        </w:rPr>
        <w:t xml:space="preserve"> </w:t>
      </w:r>
      <w:r w:rsidR="005350A8" w:rsidRPr="005350A8">
        <w:t>prevalence</w:t>
      </w:r>
      <w:r>
        <w:rPr>
          <w:lang w:val="en-GB"/>
        </w:rPr>
        <w:t xml:space="preserve"> </w:t>
      </w:r>
      <w:r w:rsidR="00A2297B" w:rsidRPr="00A2297B">
        <w:rPr>
          <w:rFonts w:cs="Times New Roman"/>
        </w:rPr>
        <w:t>(12)</w:t>
      </w:r>
      <w:r w:rsidR="005350A8">
        <w:rPr>
          <w:lang w:val="en-GB"/>
        </w:rPr>
        <w:t xml:space="preserve">. </w:t>
      </w:r>
      <w:r>
        <w:rPr>
          <w:lang w:val="en-GB"/>
        </w:rPr>
        <w:t>Furthermore, a</w:t>
      </w:r>
      <w:r w:rsidR="005350A8" w:rsidRPr="005350A8">
        <w:rPr>
          <w:lang w:val="en-GB"/>
        </w:rPr>
        <w:t xml:space="preserve"> cross-sectional study of Iranian adults found that those with the highest total dietary fiber intake had a lower incidence of anxiety, with an </w:t>
      </w:r>
      <w:r>
        <w:rPr>
          <w:lang w:val="en-GB"/>
        </w:rPr>
        <w:t>odds ratio (OR)</w:t>
      </w:r>
      <w:r w:rsidR="005350A8" w:rsidRPr="005350A8">
        <w:rPr>
          <w:lang w:val="en-GB"/>
        </w:rPr>
        <w:t xml:space="preserve"> of 0.50 (95</w:t>
      </w:r>
      <w:r w:rsidR="005350A8">
        <w:rPr>
          <w:lang w:val="en-GB"/>
        </w:rPr>
        <w:t xml:space="preserve">% </w:t>
      </w:r>
      <w:r w:rsidR="005350A8" w:rsidRPr="005350A8">
        <w:rPr>
          <w:lang w:val="en-GB"/>
        </w:rPr>
        <w:t>CI:</w:t>
      </w:r>
      <w:r w:rsidR="005350A8">
        <w:rPr>
          <w:lang w:val="en-GB"/>
        </w:rPr>
        <w:t xml:space="preserve"> </w:t>
      </w:r>
      <w:r w:rsidR="005350A8" w:rsidRPr="005350A8">
        <w:rPr>
          <w:lang w:val="en-GB"/>
        </w:rPr>
        <w:t>0.31, 0.80)</w:t>
      </w:r>
      <w:r w:rsidR="00081B61">
        <w:rPr>
          <w:lang w:val="en-GB"/>
        </w:rPr>
        <w:t xml:space="preserve"> </w:t>
      </w:r>
      <w:r w:rsidR="00A2297B" w:rsidRPr="00A2297B">
        <w:rPr>
          <w:rFonts w:cs="Times New Roman"/>
        </w:rPr>
        <w:t>(13)</w:t>
      </w:r>
      <w:r w:rsidR="00DA1020">
        <w:rPr>
          <w:lang w:val="en-GB"/>
        </w:rPr>
        <w:t>.</w:t>
      </w:r>
      <w:r w:rsidR="00081B61">
        <w:rPr>
          <w:lang w:val="en-GB"/>
        </w:rPr>
        <w:t xml:space="preserve"> </w:t>
      </w:r>
    </w:p>
    <w:p w14:paraId="34E8DF7A" w14:textId="194CBC9D" w:rsidR="00FF141A" w:rsidRDefault="00FF141A" w:rsidP="00FF141A">
      <w:pPr>
        <w:rPr>
          <w:lang w:val="en-GB"/>
        </w:rPr>
      </w:pPr>
      <w:r>
        <w:rPr>
          <w:lang w:val="en-GB"/>
        </w:rPr>
        <w:t xml:space="preserve">The two-sided </w:t>
      </w:r>
      <w:r>
        <w:rPr>
          <w:rFonts w:cs="Times New Roman"/>
          <w:lang w:val="en-GB"/>
        </w:rPr>
        <w:t>level of statistical significance (α)</w:t>
      </w:r>
      <w:r>
        <w:rPr>
          <w:lang w:val="en-GB"/>
        </w:rPr>
        <w:t xml:space="preserve"> is set to 0.05,</w:t>
      </w:r>
      <w:r w:rsidR="00E83FBB">
        <w:rPr>
          <w:lang w:val="en-GB"/>
        </w:rPr>
        <w:t xml:space="preserve"> </w:t>
      </w:r>
      <w:r w:rsidR="00A2110B">
        <w:rPr>
          <w:lang w:val="en-GB"/>
        </w:rPr>
        <w:t xml:space="preserve">and </w:t>
      </w:r>
      <w:r>
        <w:rPr>
          <w:rFonts w:cs="Times New Roman"/>
          <w:lang w:val="en-GB"/>
        </w:rPr>
        <w:t xml:space="preserve">power is set to 0.8. </w:t>
      </w:r>
      <w:r>
        <w:rPr>
          <w:i/>
          <w:iCs/>
          <w:lang w:val="en-GB"/>
        </w:rPr>
        <w:t>P</w:t>
      </w:r>
      <w:r w:rsidR="005D7F83">
        <w:rPr>
          <w:i/>
          <w:iCs/>
          <w:vertAlign w:val="subscript"/>
          <w:lang w:val="en-GB"/>
        </w:rPr>
        <w:t>1</w:t>
      </w:r>
      <w:r w:rsidR="00EB7655">
        <w:rPr>
          <w:lang w:val="en-GB"/>
        </w:rPr>
        <w:t xml:space="preserve"> </w:t>
      </w:r>
      <w:r>
        <w:rPr>
          <w:lang w:val="en-GB"/>
        </w:rPr>
        <w:t>represents the</w:t>
      </w:r>
      <w:r w:rsidR="00EB7655">
        <w:rPr>
          <w:lang w:val="en-GB"/>
        </w:rPr>
        <w:t xml:space="preserve"> proportion of anxiety with low fiber intake,</w:t>
      </w:r>
      <w:r w:rsidR="00CE2954">
        <w:rPr>
          <w:lang w:val="en-GB"/>
        </w:rPr>
        <w:t xml:space="preserve"> </w:t>
      </w:r>
      <w:r>
        <w:rPr>
          <w:i/>
          <w:iCs/>
          <w:lang w:val="en-GB"/>
        </w:rPr>
        <w:t>P</w:t>
      </w:r>
      <w:r w:rsidR="00E13A06">
        <w:rPr>
          <w:i/>
          <w:iCs/>
          <w:vertAlign w:val="subscript"/>
          <w:lang w:val="en-GB"/>
        </w:rPr>
        <w:t>2</w:t>
      </w:r>
      <w:r w:rsidR="00EB7655">
        <w:rPr>
          <w:lang w:val="en-GB"/>
        </w:rPr>
        <w:t xml:space="preserve"> </w:t>
      </w:r>
      <w:r>
        <w:rPr>
          <w:lang w:val="en-GB"/>
        </w:rPr>
        <w:t>represents</w:t>
      </w:r>
      <w:r w:rsidR="00EB7655">
        <w:rPr>
          <w:lang w:val="en-GB"/>
        </w:rPr>
        <w:t xml:space="preserve"> the </w:t>
      </w:r>
      <w:r w:rsidR="00CD0178">
        <w:rPr>
          <w:lang w:val="en-GB"/>
        </w:rPr>
        <w:t xml:space="preserve">expected </w:t>
      </w:r>
      <w:r w:rsidR="00EB7655">
        <w:rPr>
          <w:lang w:val="en-GB"/>
        </w:rPr>
        <w:t>proportion of anxiety with high fiber intake</w:t>
      </w:r>
      <w:r w:rsidR="00FB7BD2">
        <w:rPr>
          <w:lang w:val="en-GB"/>
        </w:rPr>
        <w:t>,</w:t>
      </w:r>
      <w:r w:rsidR="00D82BB9" w:rsidRPr="00D82BB9">
        <w:t xml:space="preserve"> </w:t>
      </w:r>
      <m:oMath>
        <m:acc>
          <m:accPr>
            <m:chr m:val="̅"/>
            <m:ctrlPr>
              <w:rPr>
                <w:rFonts w:ascii="Cambria Math" w:eastAsiaTheme="minorEastAsia" w:hAnsi="Cambria Math"/>
                <w:i/>
                <w:szCs w:val="24"/>
                <w:lang w:val="en-GB"/>
              </w:rPr>
            </m:ctrlPr>
          </m:accPr>
          <m:e>
            <m:r>
              <w:rPr>
                <w:rFonts w:ascii="Cambria Math" w:eastAsiaTheme="minorEastAsia" w:hAnsi="Cambria Math"/>
                <w:szCs w:val="24"/>
                <w:lang w:val="en-GB"/>
              </w:rPr>
              <m:t>P</m:t>
            </m:r>
          </m:e>
        </m:acc>
      </m:oMath>
      <w:r w:rsidR="004D1853">
        <w:rPr>
          <w:rFonts w:eastAsiaTheme="minorEastAsia"/>
          <w:sz w:val="20"/>
          <w:szCs w:val="20"/>
          <w:lang w:val="en-GB"/>
        </w:rPr>
        <w:t xml:space="preserve"> </w:t>
      </w:r>
      <w:r w:rsidR="00D82BB9">
        <w:rPr>
          <w:rFonts w:cs="Times New Roman"/>
          <w:lang w:val="en-GB"/>
        </w:rPr>
        <w:t xml:space="preserve">is the pooled proportion, </w:t>
      </w:r>
      <w:r w:rsidR="00D82BB9">
        <w:rPr>
          <w:rFonts w:cs="Times New Roman"/>
          <w:i/>
          <w:iCs/>
          <w:lang w:val="en-GB"/>
        </w:rPr>
        <w:t>q</w:t>
      </w:r>
      <w:r w:rsidR="00D82BB9" w:rsidRPr="00CE2954">
        <w:rPr>
          <w:rFonts w:cs="Times New Roman"/>
          <w:i/>
          <w:iCs/>
          <w:vertAlign w:val="subscript"/>
          <w:lang w:val="en-GB"/>
        </w:rPr>
        <w:t>1</w:t>
      </w:r>
      <w:r w:rsidR="00D82BB9">
        <w:rPr>
          <w:rFonts w:cs="Times New Roman"/>
          <w:lang w:val="en-GB"/>
        </w:rPr>
        <w:t xml:space="preserve"> and </w:t>
      </w:r>
      <w:r w:rsidR="00D82BB9">
        <w:rPr>
          <w:rFonts w:cs="Times New Roman"/>
          <w:i/>
          <w:iCs/>
          <w:lang w:val="en-GB"/>
        </w:rPr>
        <w:t>q</w:t>
      </w:r>
      <w:r w:rsidR="00D82BB9" w:rsidRPr="00CE2954">
        <w:rPr>
          <w:rFonts w:cs="Times New Roman"/>
          <w:i/>
          <w:iCs/>
          <w:vertAlign w:val="subscript"/>
          <w:lang w:val="en-GB"/>
        </w:rPr>
        <w:t>2</w:t>
      </w:r>
      <w:r w:rsidR="00D82BB9">
        <w:rPr>
          <w:rFonts w:cs="Times New Roman"/>
          <w:lang w:val="en-GB"/>
        </w:rPr>
        <w:t xml:space="preserve"> are the </w:t>
      </w:r>
      <w:r w:rsidR="00CE2954">
        <w:rPr>
          <w:rFonts w:cs="Times New Roman"/>
          <w:lang w:val="en-GB"/>
        </w:rPr>
        <w:t xml:space="preserve">group proportions </w:t>
      </w:r>
      <w:r w:rsidR="004D1853">
        <w:rPr>
          <w:rFonts w:cs="Times New Roman"/>
          <w:lang w:val="en-GB"/>
        </w:rPr>
        <w:t xml:space="preserve">(high vs low) </w:t>
      </w:r>
      <w:r w:rsidR="00CE2954">
        <w:rPr>
          <w:rFonts w:cs="Times New Roman"/>
          <w:lang w:val="en-GB"/>
        </w:rPr>
        <w:t xml:space="preserve">and assumes equal groups (i.e., 50/50), </w:t>
      </w:r>
      <w:r w:rsidR="00CE2954">
        <w:rPr>
          <w:rFonts w:cs="Times New Roman"/>
          <w:i/>
          <w:iCs/>
          <w:lang w:val="en-GB"/>
        </w:rPr>
        <w:t>Z</w:t>
      </w:r>
      <w:r w:rsidR="004D1853">
        <w:rPr>
          <w:rFonts w:cs="Times New Roman"/>
          <w:i/>
          <w:iCs/>
          <w:vertAlign w:val="subscript"/>
          <w:lang w:val="en-GB"/>
        </w:rPr>
        <w:t>1-</w:t>
      </w:r>
      <w:r w:rsidR="004D1853" w:rsidRPr="00CE2954">
        <w:rPr>
          <w:rFonts w:cs="Times New Roman"/>
          <w:i/>
          <w:iCs/>
          <w:vertAlign w:val="subscript"/>
          <w:lang w:val="en-GB"/>
        </w:rPr>
        <w:t>α</w:t>
      </w:r>
      <w:r w:rsidR="00CE2954">
        <w:rPr>
          <w:rFonts w:cs="Times New Roman"/>
          <w:lang w:val="en-GB"/>
        </w:rPr>
        <w:t xml:space="preserve"> and </w:t>
      </w:r>
      <w:r w:rsidR="00CE2954">
        <w:rPr>
          <w:rFonts w:cs="Times New Roman"/>
          <w:i/>
          <w:iCs/>
          <w:lang w:val="en-GB"/>
        </w:rPr>
        <w:t>Z</w:t>
      </w:r>
      <w:r w:rsidR="004D1853">
        <w:rPr>
          <w:rFonts w:cs="Times New Roman"/>
          <w:i/>
          <w:iCs/>
          <w:vertAlign w:val="subscript"/>
          <w:lang w:val="en-GB"/>
        </w:rPr>
        <w:t>1-</w:t>
      </w:r>
      <w:r w:rsidR="004D1853" w:rsidRPr="00CE2954">
        <w:rPr>
          <w:rFonts w:cs="Times New Roman"/>
          <w:i/>
          <w:iCs/>
          <w:vertAlign w:val="subscript"/>
          <w:lang w:val="en-GB"/>
        </w:rPr>
        <w:t>β</w:t>
      </w:r>
      <w:r w:rsidR="00CE2954">
        <w:rPr>
          <w:rFonts w:cs="Times New Roman"/>
          <w:lang w:val="en-GB"/>
        </w:rPr>
        <w:t xml:space="preserve"> are the standard normal deviates for </w:t>
      </w:r>
      <w:r w:rsidR="004D1853">
        <w:rPr>
          <w:rFonts w:cs="Times New Roman"/>
          <w:lang w:val="en-GB"/>
        </w:rPr>
        <w:t>1-</w:t>
      </w:r>
      <w:r w:rsidR="00CE2954">
        <w:rPr>
          <w:rFonts w:cs="Times New Roman"/>
          <w:lang w:val="en-GB"/>
        </w:rPr>
        <w:t xml:space="preserve">α and </w:t>
      </w:r>
      <w:r w:rsidR="004D1853">
        <w:rPr>
          <w:rFonts w:cs="Times New Roman"/>
          <w:lang w:val="en-GB"/>
        </w:rPr>
        <w:t>1-</w:t>
      </w:r>
      <w:r w:rsidR="00CE2954">
        <w:rPr>
          <w:rFonts w:cs="Times New Roman"/>
          <w:lang w:val="en-GB"/>
        </w:rPr>
        <w:t>β (</w:t>
      </w:r>
      <w:r w:rsidR="004D1853">
        <w:rPr>
          <w:rFonts w:cs="Times New Roman"/>
          <w:lang w:val="en-GB"/>
        </w:rPr>
        <w:t xml:space="preserve">i.e., </w:t>
      </w:r>
      <w:r w:rsidR="00CE2954">
        <w:rPr>
          <w:rFonts w:cs="Times New Roman"/>
          <w:lang w:val="en-GB"/>
        </w:rPr>
        <w:t>power)</w:t>
      </w:r>
      <w:r w:rsidR="004D1853">
        <w:rPr>
          <w:rFonts w:cs="Times New Roman"/>
          <w:lang w:val="en-GB"/>
        </w:rPr>
        <w:t xml:space="preserve"> respectively, </w:t>
      </w:r>
      <m:oMath>
        <m:d>
          <m:dPr>
            <m:begChr m:val="⌈"/>
            <m:endChr m:val="⌉"/>
            <m:ctrlPr>
              <w:rPr>
                <w:rFonts w:ascii="Cambria Math" w:eastAsiaTheme="minorEastAsia" w:hAnsi="Cambria Math"/>
                <w:i/>
                <w:szCs w:val="24"/>
                <w:lang w:val="en-GB"/>
              </w:rPr>
            </m:ctrlPr>
          </m:dPr>
          <m:e>
            <m:r>
              <w:rPr>
                <w:rFonts w:ascii="Cambria Math" w:eastAsiaTheme="minorEastAsia" w:hAnsi="Cambria Math"/>
                <w:szCs w:val="24"/>
                <w:lang w:val="en-GB"/>
              </w:rPr>
              <m:t>n</m:t>
            </m:r>
          </m:e>
        </m:d>
      </m:oMath>
      <w:r w:rsidR="004D1853">
        <w:rPr>
          <w:rFonts w:eastAsiaTheme="minorEastAsia" w:cs="Times New Roman"/>
          <w:szCs w:val="24"/>
          <w:lang w:val="en-GB"/>
        </w:rPr>
        <w:t xml:space="preserve"> is equal to ceiling function to </w:t>
      </w:r>
      <w:r w:rsidR="004D1853">
        <w:rPr>
          <w:rFonts w:eastAsiaTheme="minorEastAsia" w:cs="Times New Roman"/>
          <w:i/>
          <w:iCs/>
          <w:szCs w:val="24"/>
          <w:lang w:val="en-GB"/>
        </w:rPr>
        <w:t>n</w:t>
      </w:r>
      <w:r w:rsidR="005B71CF" w:rsidRPr="00D82BB9">
        <w:rPr>
          <w:rFonts w:cs="Times New Roman"/>
          <w:lang w:val="en-GB"/>
        </w:rPr>
        <w:t>:</w:t>
      </w:r>
    </w:p>
    <w:p w14:paraId="3F474F59" w14:textId="79CCA436" w:rsidR="00FF141A" w:rsidRPr="004D1853" w:rsidRDefault="00000000" w:rsidP="00FF141A">
      <w:pPr>
        <w:rPr>
          <w:rFonts w:eastAsiaTheme="minorEastAsia"/>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2</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OR×</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1</m:t>
                  </m:r>
                </m:sub>
              </m:sSub>
            </m:num>
            <m:den>
              <m:r>
                <w:rPr>
                  <w:rFonts w:ascii="Cambria Math" w:hAnsi="Cambria Math"/>
                  <w:sz w:val="20"/>
                  <w:szCs w:val="20"/>
                  <w:lang w:val="en-GB"/>
                </w:rPr>
                <m:t>(1-</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1</m:t>
                  </m:r>
                </m:sub>
              </m:sSub>
              <m:r>
                <w:rPr>
                  <w:rFonts w:ascii="Cambria Math" w:hAnsi="Cambria Math"/>
                  <w:sz w:val="20"/>
                  <w:szCs w:val="20"/>
                  <w:lang w:val="en-GB"/>
                </w:rPr>
                <m:t>)+</m:t>
              </m:r>
              <m:d>
                <m:dPr>
                  <m:ctrlPr>
                    <w:rPr>
                      <w:rFonts w:ascii="Cambria Math" w:hAnsi="Cambria Math"/>
                      <w:i/>
                      <w:sz w:val="20"/>
                      <w:szCs w:val="20"/>
                      <w:lang w:val="en-GB"/>
                    </w:rPr>
                  </m:ctrlPr>
                </m:dPr>
                <m:e>
                  <m:r>
                    <w:rPr>
                      <w:rFonts w:ascii="Cambria Math" w:hAnsi="Cambria Math"/>
                      <w:sz w:val="20"/>
                      <w:szCs w:val="20"/>
                      <w:lang w:val="en-GB"/>
                    </w:rPr>
                    <m:t>OR×</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1</m:t>
                      </m:r>
                    </m:sub>
                  </m:sSub>
                </m:e>
              </m:d>
            </m:den>
          </m:f>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0.5×0.3</m:t>
              </m:r>
            </m:num>
            <m:den>
              <m:r>
                <w:rPr>
                  <w:rFonts w:ascii="Cambria Math" w:hAnsi="Cambria Math"/>
                  <w:sz w:val="20"/>
                  <w:szCs w:val="20"/>
                  <w:lang w:val="en-GB"/>
                </w:rPr>
                <m:t>(1-0.3)+</m:t>
              </m:r>
              <m:d>
                <m:dPr>
                  <m:ctrlPr>
                    <w:rPr>
                      <w:rFonts w:ascii="Cambria Math" w:hAnsi="Cambria Math"/>
                      <w:i/>
                      <w:sz w:val="20"/>
                      <w:szCs w:val="20"/>
                      <w:lang w:val="en-GB"/>
                    </w:rPr>
                  </m:ctrlPr>
                </m:dPr>
                <m:e>
                  <m:r>
                    <w:rPr>
                      <w:rFonts w:ascii="Cambria Math" w:hAnsi="Cambria Math"/>
                      <w:sz w:val="20"/>
                      <w:szCs w:val="20"/>
                      <w:lang w:val="en-GB"/>
                    </w:rPr>
                    <m:t>0.5×0.3</m:t>
                  </m:r>
                </m:e>
              </m:d>
            </m:den>
          </m:f>
          <m:r>
            <w:rPr>
              <w:rFonts w:ascii="Cambria Math" w:hAnsi="Cambria Math"/>
              <w:sz w:val="20"/>
              <w:szCs w:val="20"/>
              <w:lang w:val="en-GB"/>
            </w:rPr>
            <m:t>=0.18</m:t>
          </m:r>
        </m:oMath>
      </m:oMathPara>
    </w:p>
    <w:bookmarkStart w:id="0" w:name="_Hlk124411081"/>
    <w:p w14:paraId="417E37F7" w14:textId="64FCCCF2" w:rsidR="002363A0" w:rsidRPr="004D1853" w:rsidRDefault="00000000" w:rsidP="00E13A06">
      <w:pPr>
        <w:rPr>
          <w:rFonts w:eastAsiaTheme="minorEastAsia"/>
          <w:sz w:val="20"/>
          <w:szCs w:val="20"/>
          <w:lang w:val="en-GB"/>
        </w:rPr>
      </w:pPr>
      <m:oMathPara>
        <m:oMath>
          <m:acc>
            <m:accPr>
              <m:chr m:val="̅"/>
              <m:ctrlPr>
                <w:rPr>
                  <w:rFonts w:ascii="Cambria Math" w:eastAsiaTheme="minorEastAsia" w:hAnsi="Cambria Math"/>
                  <w:i/>
                  <w:sz w:val="20"/>
                  <w:szCs w:val="20"/>
                  <w:lang w:val="en-GB"/>
                </w:rPr>
              </m:ctrlPr>
            </m:accPr>
            <m:e>
              <m:r>
                <w:rPr>
                  <w:rFonts w:ascii="Cambria Math" w:eastAsiaTheme="minorEastAsia" w:hAnsi="Cambria Math"/>
                  <w:sz w:val="20"/>
                  <w:szCs w:val="20"/>
                  <w:lang w:val="en-GB"/>
                </w:rPr>
                <m:t>P</m:t>
              </m:r>
            </m:e>
          </m:acc>
          <w:bookmarkEnd w:id="0"/>
          <m:r>
            <w:rPr>
              <w:rFonts w:ascii="Cambria Math" w:eastAsiaTheme="minorEastAsia" w:hAnsi="Cambria Math"/>
              <w:sz w:val="20"/>
              <w:szCs w:val="20"/>
              <w:lang w:val="en-GB"/>
            </w:rPr>
            <m:t>=</m:t>
          </m:r>
          <m:d>
            <m:dPr>
              <m:ctrlPr>
                <w:rPr>
                  <w:rFonts w:ascii="Cambria Math" w:eastAsiaTheme="minorEastAsia"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1</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q</m:t>
                  </m:r>
                </m:e>
                <m:sub>
                  <m:r>
                    <w:rPr>
                      <w:rFonts w:ascii="Cambria Math" w:hAnsi="Cambria Math"/>
                      <w:sz w:val="20"/>
                      <w:szCs w:val="20"/>
                      <w:lang w:val="en-GB"/>
                    </w:rPr>
                    <m:t>1</m:t>
                  </m:r>
                </m:sub>
              </m:sSub>
              <m:ctrlPr>
                <w:rPr>
                  <w:rFonts w:ascii="Cambria Math" w:hAnsi="Cambria Math"/>
                  <w:i/>
                  <w:sz w:val="20"/>
                  <w:szCs w:val="20"/>
                  <w:lang w:val="en-GB"/>
                </w:rPr>
              </m:ctrlPr>
            </m:e>
          </m:d>
          <m:r>
            <w:rPr>
              <w:rFonts w:ascii="Cambria Math" w:hAnsi="Cambria Math"/>
              <w:sz w:val="20"/>
              <w:szCs w:val="20"/>
              <w:lang w:val="en-GB"/>
            </w:rPr>
            <m:t>+</m:t>
          </m:r>
          <m:d>
            <m:dPr>
              <m:ctrlPr>
                <w:rPr>
                  <w:rFonts w:ascii="Cambria Math" w:eastAsiaTheme="minorEastAsia" w:hAnsi="Cambria Math"/>
                  <w:i/>
                  <w:sz w:val="20"/>
                  <w:szCs w:val="20"/>
                  <w:lang w:val="en-GB"/>
                </w:rPr>
              </m:ctrlPr>
            </m:dPr>
            <m:e>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2</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q</m:t>
                  </m:r>
                </m:e>
                <m:sub>
                  <m:r>
                    <w:rPr>
                      <w:rFonts w:ascii="Cambria Math" w:hAnsi="Cambria Math"/>
                      <w:sz w:val="20"/>
                      <w:szCs w:val="20"/>
                      <w:lang w:val="en-GB"/>
                    </w:rPr>
                    <m:t>2</m:t>
                  </m:r>
                </m:sub>
              </m:sSub>
              <m:ctrlPr>
                <w:rPr>
                  <w:rFonts w:ascii="Cambria Math" w:hAnsi="Cambria Math"/>
                  <w:i/>
                  <w:sz w:val="20"/>
                  <w:szCs w:val="20"/>
                  <w:lang w:val="en-GB"/>
                </w:rPr>
              </m:ctrlPr>
            </m:e>
          </m:d>
          <m:r>
            <w:rPr>
              <w:rFonts w:ascii="Cambria Math" w:hAnsi="Cambria Math"/>
              <w:sz w:val="20"/>
              <w:szCs w:val="20"/>
              <w:lang w:val="en-GB"/>
            </w:rPr>
            <m:t>=</m:t>
          </m:r>
          <m:d>
            <m:dPr>
              <m:ctrlPr>
                <w:rPr>
                  <w:rFonts w:ascii="Cambria Math" w:eastAsiaTheme="minorEastAsia" w:hAnsi="Cambria Math"/>
                  <w:i/>
                  <w:sz w:val="20"/>
                  <w:szCs w:val="20"/>
                  <w:lang w:val="en-GB"/>
                </w:rPr>
              </m:ctrlPr>
            </m:dPr>
            <m:e>
              <m:r>
                <w:rPr>
                  <w:rFonts w:ascii="Cambria Math" w:hAnsi="Cambria Math"/>
                  <w:sz w:val="20"/>
                  <w:szCs w:val="20"/>
                  <w:lang w:val="en-GB"/>
                </w:rPr>
                <m:t>0.3×0.5</m:t>
              </m:r>
              <m:ctrlPr>
                <w:rPr>
                  <w:rFonts w:ascii="Cambria Math" w:hAnsi="Cambria Math"/>
                  <w:i/>
                  <w:sz w:val="20"/>
                  <w:szCs w:val="20"/>
                  <w:lang w:val="en-GB"/>
                </w:rPr>
              </m:ctrlPr>
            </m:e>
          </m:d>
          <m:r>
            <w:rPr>
              <w:rFonts w:ascii="Cambria Math" w:hAnsi="Cambria Math"/>
              <w:sz w:val="20"/>
              <w:szCs w:val="20"/>
              <w:lang w:val="en-GB"/>
            </w:rPr>
            <m:t>+</m:t>
          </m:r>
          <m:d>
            <m:dPr>
              <m:ctrlPr>
                <w:rPr>
                  <w:rFonts w:ascii="Cambria Math" w:eastAsiaTheme="minorEastAsia" w:hAnsi="Cambria Math"/>
                  <w:i/>
                  <w:sz w:val="20"/>
                  <w:szCs w:val="20"/>
                  <w:lang w:val="en-GB"/>
                </w:rPr>
              </m:ctrlPr>
            </m:dPr>
            <m:e>
              <m:r>
                <w:rPr>
                  <w:rFonts w:ascii="Cambria Math" w:hAnsi="Cambria Math"/>
                  <w:sz w:val="20"/>
                  <w:szCs w:val="20"/>
                  <w:lang w:val="en-GB"/>
                </w:rPr>
                <m:t>0.18×0.5</m:t>
              </m:r>
              <m:ctrlPr>
                <w:rPr>
                  <w:rFonts w:ascii="Cambria Math" w:hAnsi="Cambria Math"/>
                  <w:i/>
                  <w:sz w:val="20"/>
                  <w:szCs w:val="20"/>
                  <w:lang w:val="en-GB"/>
                </w:rPr>
              </m:ctrlPr>
            </m:e>
          </m:d>
          <m:r>
            <w:rPr>
              <w:rFonts w:ascii="Cambria Math" w:hAnsi="Cambria Math"/>
              <w:sz w:val="20"/>
              <w:szCs w:val="20"/>
              <w:lang w:val="en-GB"/>
            </w:rPr>
            <m:t>=0.24</m:t>
          </m:r>
        </m:oMath>
      </m:oMathPara>
    </w:p>
    <w:p w14:paraId="05D0B594" w14:textId="1C762817" w:rsidR="002363A0" w:rsidRPr="004D1853" w:rsidRDefault="00000000" w:rsidP="00E13A06">
      <w:pPr>
        <w:rPr>
          <w:rFonts w:eastAsiaTheme="minorEastAsia"/>
          <w:sz w:val="20"/>
          <w:szCs w:val="20"/>
          <w:lang w:val="en-GB"/>
        </w:rPr>
      </w:pPr>
      <m:oMathPara>
        <m:oMath>
          <m:d>
            <m:dPr>
              <m:begChr m:val="⌈"/>
              <m:endChr m:val="⌉"/>
              <m:ctrlPr>
                <w:rPr>
                  <w:rFonts w:ascii="Cambria Math" w:eastAsiaTheme="minorEastAsia" w:hAnsi="Cambria Math"/>
                  <w:i/>
                  <w:sz w:val="20"/>
                  <w:szCs w:val="20"/>
                  <w:lang w:val="en-GB"/>
                </w:rPr>
              </m:ctrlPr>
            </m:dPr>
            <m:e>
              <m:r>
                <w:rPr>
                  <w:rFonts w:ascii="Cambria Math" w:eastAsiaTheme="minorEastAsia" w:hAnsi="Cambria Math"/>
                  <w:sz w:val="20"/>
                  <w:szCs w:val="20"/>
                  <w:lang w:val="en-GB"/>
                </w:rPr>
                <m:t>n</m:t>
              </m:r>
            </m:e>
          </m:d>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sSup>
                <m:sSupPr>
                  <m:ctrlPr>
                    <w:rPr>
                      <w:rFonts w:ascii="Cambria Math" w:eastAsiaTheme="minorEastAsia" w:hAnsi="Cambria Math"/>
                      <w:i/>
                      <w:sz w:val="20"/>
                      <w:szCs w:val="20"/>
                      <w:lang w:val="en-GB"/>
                    </w:rPr>
                  </m:ctrlPr>
                </m:sSupPr>
                <m:e>
                  <m:d>
                    <m:dPr>
                      <m:begChr m:val="{"/>
                      <m:endChr m:val="}"/>
                      <m:ctrlPr>
                        <w:rPr>
                          <w:rFonts w:ascii="Cambria Math" w:eastAsiaTheme="minorEastAsia" w:hAnsi="Cambria Math"/>
                          <w:i/>
                          <w:sz w:val="20"/>
                          <w:szCs w:val="20"/>
                          <w:lang w:val="en-GB"/>
                        </w:rPr>
                      </m:ctrlPr>
                    </m:dPr>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Z</m:t>
                          </m:r>
                        </m:e>
                        <m:sub>
                          <m:r>
                            <w:rPr>
                              <w:rFonts w:ascii="Cambria Math" w:eastAsiaTheme="minorEastAsia" w:hAnsi="Cambria Math"/>
                              <w:sz w:val="20"/>
                              <w:szCs w:val="20"/>
                              <w:lang w:val="en-GB"/>
                            </w:rPr>
                            <m:t>1-α</m:t>
                          </m:r>
                        </m:sub>
                      </m:sSub>
                      <m:rad>
                        <m:radPr>
                          <m:degHide m:val="1"/>
                          <m:ctrlPr>
                            <w:rPr>
                              <w:rFonts w:ascii="Cambria Math" w:eastAsiaTheme="minorEastAsia" w:hAnsi="Cambria Math"/>
                              <w:i/>
                              <w:sz w:val="20"/>
                              <w:szCs w:val="20"/>
                              <w:lang w:val="en-GB"/>
                            </w:rPr>
                          </m:ctrlPr>
                        </m:radPr>
                        <m:deg/>
                        <m:e>
                          <m:acc>
                            <m:accPr>
                              <m:chr m:val="̅"/>
                              <m:ctrlPr>
                                <w:rPr>
                                  <w:rFonts w:ascii="Cambria Math" w:eastAsiaTheme="minorEastAsia" w:hAnsi="Cambria Math"/>
                                  <w:i/>
                                  <w:sz w:val="20"/>
                                  <w:szCs w:val="20"/>
                                  <w:lang w:val="en-GB"/>
                                </w:rPr>
                              </m:ctrlPr>
                            </m:accPr>
                            <m:e>
                              <m:r>
                                <w:rPr>
                                  <w:rFonts w:ascii="Cambria Math" w:eastAsiaTheme="minorEastAsia" w:hAnsi="Cambria Math"/>
                                  <w:sz w:val="20"/>
                                  <w:szCs w:val="20"/>
                                  <w:lang w:val="en-GB"/>
                                </w:rPr>
                                <m:t>P</m:t>
                              </m:r>
                            </m:e>
                          </m:acc>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m:t>
                              </m:r>
                              <m:acc>
                                <m:accPr>
                                  <m:chr m:val="̅"/>
                                  <m:ctrlPr>
                                    <w:rPr>
                                      <w:rFonts w:ascii="Cambria Math" w:eastAsiaTheme="minorEastAsia" w:hAnsi="Cambria Math"/>
                                      <w:i/>
                                      <w:sz w:val="20"/>
                                      <w:szCs w:val="20"/>
                                      <w:lang w:val="en-GB"/>
                                    </w:rPr>
                                  </m:ctrlPr>
                                </m:accPr>
                                <m:e>
                                  <m:r>
                                    <w:rPr>
                                      <w:rFonts w:ascii="Cambria Math" w:eastAsiaTheme="minorEastAsia" w:hAnsi="Cambria Math"/>
                                      <w:sz w:val="20"/>
                                      <w:szCs w:val="20"/>
                                      <w:lang w:val="en-GB"/>
                                    </w:rPr>
                                    <m:t>P</m:t>
                                  </m:r>
                                </m:e>
                              </m:acc>
                            </m:e>
                          </m:d>
                          <m:d>
                            <m:dPr>
                              <m:ctrlPr>
                                <w:rPr>
                                  <w:rFonts w:ascii="Cambria Math" w:eastAsiaTheme="minorEastAsia" w:hAnsi="Cambria Math"/>
                                  <w:i/>
                                  <w:sz w:val="20"/>
                                  <w:szCs w:val="20"/>
                                  <w:lang w:val="en-GB"/>
                                </w:rPr>
                              </m:ctrlPr>
                            </m:dPr>
                            <m:e>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q</m:t>
                                      </m:r>
                                    </m:e>
                                    <m:sub>
                                      <m:r>
                                        <w:rPr>
                                          <w:rFonts w:ascii="Cambria Math" w:eastAsiaTheme="minorEastAsia" w:hAnsi="Cambria Math"/>
                                          <w:sz w:val="20"/>
                                          <w:szCs w:val="20"/>
                                          <w:lang w:val="en-GB"/>
                                        </w:rPr>
                                        <m:t>1</m:t>
                                      </m:r>
                                    </m:sub>
                                  </m:sSub>
                                </m:den>
                              </m:f>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q</m:t>
                                      </m:r>
                                    </m:e>
                                    <m:sub>
                                      <m:r>
                                        <w:rPr>
                                          <w:rFonts w:ascii="Cambria Math" w:eastAsiaTheme="minorEastAsia" w:hAnsi="Cambria Math"/>
                                          <w:sz w:val="20"/>
                                          <w:szCs w:val="20"/>
                                          <w:lang w:val="en-GB"/>
                                        </w:rPr>
                                        <m:t>2</m:t>
                                      </m:r>
                                    </m:sub>
                                  </m:sSub>
                                </m:den>
                              </m:f>
                            </m:e>
                          </m:d>
                        </m:e>
                      </m:rad>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Z</m:t>
                          </m:r>
                        </m:e>
                        <m:sub>
                          <m:r>
                            <w:rPr>
                              <w:rFonts w:ascii="Cambria Math" w:eastAsiaTheme="minorEastAsia" w:hAnsi="Cambria Math"/>
                              <w:sz w:val="20"/>
                              <w:szCs w:val="20"/>
                              <w:lang w:val="en-GB"/>
                            </w:rPr>
                            <m:t>1-β</m:t>
                          </m:r>
                        </m:sub>
                      </m:sSub>
                      <m:rad>
                        <m:radPr>
                          <m:degHide m:val="1"/>
                          <m:ctrlPr>
                            <w:rPr>
                              <w:rFonts w:ascii="Cambria Math" w:eastAsiaTheme="minorEastAsia" w:hAnsi="Cambria Math"/>
                              <w:i/>
                              <w:sz w:val="20"/>
                              <w:szCs w:val="20"/>
                              <w:lang w:val="en-GB"/>
                            </w:rPr>
                          </m:ctrlPr>
                        </m:radPr>
                        <m:deg/>
                        <m:e>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2</m:t>
                              </m:r>
                            </m:sub>
                          </m:sSub>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2</m:t>
                                  </m:r>
                                </m:sub>
                              </m:sSub>
                            </m:e>
                          </m:d>
                          <m:d>
                            <m:dPr>
                              <m:ctrlPr>
                                <w:rPr>
                                  <w:rFonts w:ascii="Cambria Math" w:eastAsiaTheme="minorEastAsia" w:hAnsi="Cambria Math"/>
                                  <w:i/>
                                  <w:sz w:val="20"/>
                                  <w:szCs w:val="20"/>
                                  <w:lang w:val="en-GB"/>
                                </w:rPr>
                              </m:ctrlPr>
                            </m:dPr>
                            <m:e>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q</m:t>
                                      </m:r>
                                    </m:e>
                                    <m:sub>
                                      <m:r>
                                        <w:rPr>
                                          <w:rFonts w:ascii="Cambria Math" w:eastAsiaTheme="minorEastAsia" w:hAnsi="Cambria Math"/>
                                          <w:sz w:val="20"/>
                                          <w:szCs w:val="20"/>
                                          <w:lang w:val="en-GB"/>
                                        </w:rPr>
                                        <m:t>2</m:t>
                                      </m:r>
                                    </m:sub>
                                  </m:sSub>
                                </m:den>
                              </m:f>
                            </m:e>
                          </m:d>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1</m:t>
                              </m:r>
                            </m:sub>
                          </m:sSub>
                          <m:r>
                            <w:rPr>
                              <w:rFonts w:ascii="Cambria Math" w:eastAsiaTheme="minorEastAsia" w:hAnsi="Cambria Math"/>
                              <w:sz w:val="20"/>
                              <w:szCs w:val="20"/>
                              <w:lang w:val="en-GB"/>
                            </w:rPr>
                            <m:t>(1-</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1</m:t>
                              </m:r>
                            </m:sub>
                          </m:sSub>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q</m:t>
                                  </m:r>
                                </m:e>
                                <m:sub>
                                  <m:r>
                                    <w:rPr>
                                      <w:rFonts w:ascii="Cambria Math" w:eastAsiaTheme="minorEastAsia" w:hAnsi="Cambria Math"/>
                                      <w:sz w:val="20"/>
                                      <w:szCs w:val="20"/>
                                      <w:lang w:val="en-GB"/>
                                    </w:rPr>
                                    <m:t>1</m:t>
                                  </m:r>
                                </m:sub>
                              </m:sSub>
                            </m:den>
                          </m:f>
                          <m:r>
                            <w:rPr>
                              <w:rFonts w:ascii="Cambria Math" w:eastAsiaTheme="minorEastAsia" w:hAnsi="Cambria Math"/>
                              <w:sz w:val="20"/>
                              <w:szCs w:val="20"/>
                              <w:lang w:val="en-GB"/>
                            </w:rPr>
                            <m:t>)</m:t>
                          </m:r>
                        </m:e>
                      </m:rad>
                    </m:e>
                  </m:d>
                </m:e>
                <m:sup>
                  <m:r>
                    <w:rPr>
                      <w:rFonts w:ascii="Cambria Math" w:eastAsiaTheme="minorEastAsia" w:hAnsi="Cambria Math"/>
                      <w:sz w:val="20"/>
                      <w:szCs w:val="20"/>
                      <w:lang w:val="en-GB"/>
                    </w:rPr>
                    <m:t>2</m:t>
                  </m:r>
                </m:sup>
              </m:sSup>
            </m:num>
            <m:den>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1</m:t>
                      </m:r>
                    </m:sub>
                  </m:sSub>
                  <m:r>
                    <w:rPr>
                      <w:rFonts w:ascii="Cambria Math" w:eastAsiaTheme="minorEastAsia" w:hAnsi="Cambria Math"/>
                      <w:sz w:val="20"/>
                      <w:szCs w:val="20"/>
                      <w:lang w:val="en-GB"/>
                    </w:rPr>
                    <m:t>+</m:t>
                  </m:r>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P</m:t>
                      </m:r>
                    </m:e>
                    <m:sub>
                      <m:r>
                        <w:rPr>
                          <w:rFonts w:ascii="Cambria Math" w:eastAsiaTheme="minorEastAsia" w:hAnsi="Cambria Math"/>
                          <w:sz w:val="20"/>
                          <w:szCs w:val="20"/>
                          <w:lang w:val="en-GB"/>
                        </w:rPr>
                        <m:t>2</m:t>
                      </m:r>
                    </m:sub>
                  </m:sSub>
                  <m:r>
                    <w:rPr>
                      <w:rFonts w:ascii="Cambria Math" w:eastAsiaTheme="minorEastAsia" w:hAnsi="Cambria Math"/>
                      <w:sz w:val="20"/>
                      <w:szCs w:val="20"/>
                      <w:lang w:val="en-GB"/>
                    </w:rPr>
                    <m:t>)</m:t>
                  </m:r>
                </m:e>
                <m:sup>
                  <m:r>
                    <w:rPr>
                      <w:rFonts w:ascii="Cambria Math" w:eastAsiaTheme="minorEastAsia" w:hAnsi="Cambria Math"/>
                      <w:sz w:val="20"/>
                      <w:szCs w:val="20"/>
                      <w:lang w:val="en-GB"/>
                    </w:rPr>
                    <m:t>2</m:t>
                  </m:r>
                </m:sup>
              </m:sSup>
            </m:den>
          </m:f>
        </m:oMath>
      </m:oMathPara>
    </w:p>
    <w:p w14:paraId="4475124D" w14:textId="3B47FC5F" w:rsidR="00F025CB" w:rsidRPr="00CE2954" w:rsidRDefault="00000000" w:rsidP="00E13A06">
      <w:pPr>
        <w:rPr>
          <w:rFonts w:eastAsiaTheme="minorEastAsia"/>
          <w:sz w:val="20"/>
          <w:szCs w:val="20"/>
          <w:lang w:val="en-GB"/>
        </w:rPr>
      </w:pPr>
      <m:oMathPara>
        <m:oMath>
          <m:d>
            <m:dPr>
              <m:begChr m:val="⌈"/>
              <m:endChr m:val="⌉"/>
              <m:ctrlPr>
                <w:rPr>
                  <w:rFonts w:ascii="Cambria Math" w:eastAsiaTheme="minorEastAsia" w:hAnsi="Cambria Math"/>
                  <w:i/>
                  <w:sz w:val="20"/>
                  <w:szCs w:val="20"/>
                  <w:lang w:val="en-GB"/>
                </w:rPr>
              </m:ctrlPr>
            </m:dPr>
            <m:e>
              <m:r>
                <w:rPr>
                  <w:rFonts w:ascii="Cambria Math" w:eastAsiaTheme="minorEastAsia" w:hAnsi="Cambria Math"/>
                  <w:sz w:val="20"/>
                  <w:szCs w:val="20"/>
                  <w:lang w:val="en-GB"/>
                </w:rPr>
                <m:t>n</m:t>
              </m:r>
            </m:e>
          </m:d>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sSup>
                <m:sSupPr>
                  <m:ctrlPr>
                    <w:rPr>
                      <w:rFonts w:ascii="Cambria Math" w:eastAsiaTheme="minorEastAsia" w:hAnsi="Cambria Math"/>
                      <w:i/>
                      <w:sz w:val="20"/>
                      <w:szCs w:val="20"/>
                      <w:lang w:val="en-GB"/>
                    </w:rPr>
                  </m:ctrlPr>
                </m:sSupPr>
                <m:e>
                  <m:d>
                    <m:dPr>
                      <m:begChr m:val="{"/>
                      <m:endChr m:val="}"/>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1.96</m:t>
                      </m:r>
                      <m:rad>
                        <m:radPr>
                          <m:degHide m:val="1"/>
                          <m:ctrlPr>
                            <w:rPr>
                              <w:rFonts w:ascii="Cambria Math" w:eastAsiaTheme="minorEastAsia" w:hAnsi="Cambria Math"/>
                              <w:i/>
                              <w:sz w:val="20"/>
                              <w:szCs w:val="20"/>
                              <w:lang w:val="en-GB"/>
                            </w:rPr>
                          </m:ctrlPr>
                        </m:radPr>
                        <m:deg/>
                        <m:e>
                          <m:r>
                            <w:rPr>
                              <w:rFonts w:ascii="Cambria Math" w:eastAsiaTheme="minorEastAsia" w:hAnsi="Cambria Math"/>
                              <w:sz w:val="20"/>
                              <w:szCs w:val="20"/>
                              <w:lang w:val="en-GB"/>
                            </w:rPr>
                            <m:t>0.24</m:t>
                          </m:r>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1-0.24</m:t>
                              </m:r>
                            </m:e>
                          </m:d>
                          <m:d>
                            <m:dPr>
                              <m:ctrlPr>
                                <w:rPr>
                                  <w:rFonts w:ascii="Cambria Math" w:eastAsiaTheme="minorEastAsia" w:hAnsi="Cambria Math"/>
                                  <w:i/>
                                  <w:sz w:val="20"/>
                                  <w:szCs w:val="20"/>
                                  <w:lang w:val="en-GB"/>
                                </w:rPr>
                              </m:ctrlPr>
                            </m:dPr>
                            <m:e>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r>
                                    <w:rPr>
                                      <w:rFonts w:ascii="Cambria Math" w:eastAsiaTheme="minorEastAsia" w:hAnsi="Cambria Math"/>
                                      <w:sz w:val="20"/>
                                      <w:szCs w:val="20"/>
                                      <w:lang w:val="en-GB"/>
                                    </w:rPr>
                                    <m:t>0.5</m:t>
                                  </m:r>
                                </m:den>
                              </m:f>
                              <m:r>
                                <w:rPr>
                                  <w:rFonts w:ascii="Cambria Math" w:eastAsiaTheme="minorEastAsia" w:hAnsi="Cambria Math"/>
                                  <w:sz w:val="20"/>
                                  <w:szCs w:val="20"/>
                                  <w:lang w:val="en-GB"/>
                                </w:rPr>
                                <m:t>+</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r>
                                    <w:rPr>
                                      <w:rFonts w:ascii="Cambria Math" w:eastAsiaTheme="minorEastAsia" w:hAnsi="Cambria Math"/>
                                      <w:sz w:val="20"/>
                                      <w:szCs w:val="20"/>
                                      <w:lang w:val="en-GB"/>
                                    </w:rPr>
                                    <m:t>0.5</m:t>
                                  </m:r>
                                </m:den>
                              </m:f>
                            </m:e>
                          </m:d>
                        </m:e>
                      </m:rad>
                      <m:r>
                        <w:rPr>
                          <w:rFonts w:ascii="Cambria Math" w:eastAsiaTheme="minorEastAsia" w:hAnsi="Cambria Math"/>
                          <w:sz w:val="20"/>
                          <w:szCs w:val="20"/>
                          <w:lang w:val="en-GB"/>
                        </w:rPr>
                        <m:t>+0.84</m:t>
                      </m:r>
                      <m:rad>
                        <m:radPr>
                          <m:degHide m:val="1"/>
                          <m:ctrlPr>
                            <w:rPr>
                              <w:rFonts w:ascii="Cambria Math" w:eastAsiaTheme="minorEastAsia" w:hAnsi="Cambria Math"/>
                              <w:i/>
                              <w:sz w:val="20"/>
                              <w:szCs w:val="20"/>
                              <w:lang w:val="en-GB"/>
                            </w:rPr>
                          </m:ctrlPr>
                        </m:radPr>
                        <m:deg/>
                        <m:e>
                          <m:r>
                            <w:rPr>
                              <w:rFonts w:ascii="Cambria Math" w:eastAsiaTheme="minorEastAsia" w:hAnsi="Cambria Math"/>
                              <w:sz w:val="20"/>
                              <w:szCs w:val="20"/>
                              <w:lang w:val="en-GB"/>
                            </w:rPr>
                            <m:t>0.18</m:t>
                          </m:r>
                          <m:d>
                            <m:dPr>
                              <m:ctrlPr>
                                <w:rPr>
                                  <w:rFonts w:ascii="Cambria Math" w:eastAsiaTheme="minorEastAsia" w:hAnsi="Cambria Math"/>
                                  <w:i/>
                                  <w:sz w:val="20"/>
                                  <w:szCs w:val="20"/>
                                  <w:lang w:val="en-GB"/>
                                </w:rPr>
                              </m:ctrlPr>
                            </m:dPr>
                            <m:e>
                              <m:r>
                                <w:rPr>
                                  <w:rFonts w:ascii="Cambria Math" w:eastAsiaTheme="minorEastAsia" w:hAnsi="Cambria Math"/>
                                  <w:sz w:val="20"/>
                                  <w:szCs w:val="20"/>
                                  <w:lang w:val="en-GB"/>
                                </w:rPr>
                                <m:t>1-0.18</m:t>
                              </m:r>
                            </m:e>
                          </m:d>
                          <m:d>
                            <m:dPr>
                              <m:ctrlPr>
                                <w:rPr>
                                  <w:rFonts w:ascii="Cambria Math" w:eastAsiaTheme="minorEastAsia" w:hAnsi="Cambria Math"/>
                                  <w:i/>
                                  <w:sz w:val="20"/>
                                  <w:szCs w:val="20"/>
                                  <w:lang w:val="en-GB"/>
                                </w:rPr>
                              </m:ctrlPr>
                            </m:dPr>
                            <m:e>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r>
                                    <w:rPr>
                                      <w:rFonts w:ascii="Cambria Math" w:eastAsiaTheme="minorEastAsia" w:hAnsi="Cambria Math"/>
                                      <w:sz w:val="20"/>
                                      <w:szCs w:val="20"/>
                                      <w:lang w:val="en-GB"/>
                                    </w:rPr>
                                    <m:t>0.5</m:t>
                                  </m:r>
                                </m:den>
                              </m:f>
                            </m:e>
                          </m:d>
                          <m:r>
                            <w:rPr>
                              <w:rFonts w:ascii="Cambria Math" w:eastAsiaTheme="minorEastAsia" w:hAnsi="Cambria Math"/>
                              <w:sz w:val="20"/>
                              <w:szCs w:val="20"/>
                              <w:lang w:val="en-GB"/>
                            </w:rPr>
                            <m:t>+0.3(1-0.3)(</m:t>
                          </m:r>
                          <m:f>
                            <m:fPr>
                              <m:ctrlPr>
                                <w:rPr>
                                  <w:rFonts w:ascii="Cambria Math" w:eastAsiaTheme="minorEastAsia" w:hAnsi="Cambria Math"/>
                                  <w:i/>
                                  <w:sz w:val="20"/>
                                  <w:szCs w:val="20"/>
                                  <w:lang w:val="en-GB"/>
                                </w:rPr>
                              </m:ctrlPr>
                            </m:fPr>
                            <m:num>
                              <m:r>
                                <w:rPr>
                                  <w:rFonts w:ascii="Cambria Math" w:eastAsiaTheme="minorEastAsia" w:hAnsi="Cambria Math"/>
                                  <w:sz w:val="20"/>
                                  <w:szCs w:val="20"/>
                                  <w:lang w:val="en-GB"/>
                                </w:rPr>
                                <m:t>1</m:t>
                              </m:r>
                            </m:num>
                            <m:den>
                              <m:r>
                                <w:rPr>
                                  <w:rFonts w:ascii="Cambria Math" w:eastAsiaTheme="minorEastAsia" w:hAnsi="Cambria Math"/>
                                  <w:sz w:val="20"/>
                                  <w:szCs w:val="20"/>
                                  <w:lang w:val="en-GB"/>
                                </w:rPr>
                                <m:t>0.5</m:t>
                              </m:r>
                            </m:den>
                          </m:f>
                          <m:r>
                            <w:rPr>
                              <w:rFonts w:ascii="Cambria Math" w:eastAsiaTheme="minorEastAsia" w:hAnsi="Cambria Math"/>
                              <w:sz w:val="20"/>
                              <w:szCs w:val="20"/>
                              <w:lang w:val="en-GB"/>
                            </w:rPr>
                            <m:t>)</m:t>
                          </m:r>
                        </m:e>
                      </m:rad>
                    </m:e>
                  </m:d>
                </m:e>
                <m:sup>
                  <m:r>
                    <w:rPr>
                      <w:rFonts w:ascii="Cambria Math" w:eastAsiaTheme="minorEastAsia" w:hAnsi="Cambria Math"/>
                      <w:sz w:val="20"/>
                      <w:szCs w:val="20"/>
                      <w:lang w:val="en-GB"/>
                    </w:rPr>
                    <m:t>2</m:t>
                  </m:r>
                </m:sup>
              </m:sSup>
            </m:num>
            <m:den>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(0.3+0.18)</m:t>
                  </m:r>
                </m:e>
                <m:sup>
                  <m:r>
                    <w:rPr>
                      <w:rFonts w:ascii="Cambria Math" w:eastAsiaTheme="minorEastAsia" w:hAnsi="Cambria Math"/>
                      <w:sz w:val="20"/>
                      <w:szCs w:val="20"/>
                      <w:lang w:val="en-GB"/>
                    </w:rPr>
                    <m:t>2</m:t>
                  </m:r>
                </m:sup>
              </m:sSup>
            </m:den>
          </m:f>
          <m:r>
            <w:rPr>
              <w:rFonts w:ascii="Cambria Math" w:eastAsiaTheme="minorEastAsia" w:hAnsi="Cambria Math"/>
              <w:sz w:val="20"/>
              <w:szCs w:val="20"/>
              <w:lang w:val="en-GB"/>
            </w:rPr>
            <m:t>=372</m:t>
          </m:r>
        </m:oMath>
      </m:oMathPara>
    </w:p>
    <w:p w14:paraId="3AA19BAF" w14:textId="0BCD04EC" w:rsidR="00CE2954" w:rsidRPr="002363A0" w:rsidRDefault="00CE2954" w:rsidP="00E13A06">
      <w:pPr>
        <w:rPr>
          <w:rFonts w:eastAsiaTheme="minorEastAsia"/>
          <w:lang w:val="en-GB"/>
        </w:rPr>
      </w:pPr>
      <w:r>
        <w:rPr>
          <w:rFonts w:eastAsiaTheme="minorEastAsia"/>
          <w:lang w:val="en-GB"/>
        </w:rPr>
        <w:t>This yields an estimated total sample size of 372.</w:t>
      </w:r>
    </w:p>
    <w:p w14:paraId="08D15473" w14:textId="73C8C544" w:rsidR="005B71CF" w:rsidRDefault="00FF141A" w:rsidP="00057580">
      <w:pPr>
        <w:rPr>
          <w:lang w:val="en-GB"/>
        </w:rPr>
      </w:pPr>
      <w:r>
        <w:rPr>
          <w:lang w:val="en-GB"/>
        </w:rPr>
        <w:t>We may also</w:t>
      </w:r>
      <w:r w:rsidRPr="00AF4F1C">
        <w:t xml:space="preserve"> need to consider design effects,</w:t>
      </w:r>
      <w:r w:rsidR="00FB7BD2">
        <w:rPr>
          <w:lang w:val="en-GB"/>
        </w:rPr>
        <w:t xml:space="preserve"> h</w:t>
      </w:r>
      <w:r>
        <w:rPr>
          <w:lang w:val="en-GB"/>
        </w:rPr>
        <w:t>owever, t</w:t>
      </w:r>
      <w:r w:rsidRPr="00081B61">
        <w:t>he design effect for systematic random sampling may be close to 1, meaning that it has a minimal impact on the precision of the estimate</w:t>
      </w:r>
      <w:r w:rsidR="00222683">
        <w:rPr>
          <w:lang w:val="en-GB"/>
        </w:rPr>
        <w:t xml:space="preserve"> </w:t>
      </w:r>
      <w:r w:rsidR="00A2297B" w:rsidRPr="00A2297B">
        <w:rPr>
          <w:rFonts w:cs="Times New Roman"/>
        </w:rPr>
        <w:t>(14)</w:t>
      </w:r>
      <w:r w:rsidRPr="00081B61">
        <w:t>.</w:t>
      </w:r>
      <w:r w:rsidR="00FB7BD2">
        <w:rPr>
          <w:lang w:val="en-GB"/>
        </w:rPr>
        <w:t xml:space="preserve"> </w:t>
      </w:r>
      <w:r>
        <w:rPr>
          <w:lang w:val="en-GB"/>
        </w:rPr>
        <w:t>Another factor that affects sample size is response rate</w:t>
      </w:r>
      <w:r w:rsidR="00FB7BD2">
        <w:rPr>
          <w:lang w:val="en-GB"/>
        </w:rPr>
        <w:t xml:space="preserve">, which may </w:t>
      </w:r>
      <w:r>
        <w:rPr>
          <w:lang w:val="en-GB"/>
        </w:rPr>
        <w:t>require a larger sample size</w:t>
      </w:r>
      <w:r w:rsidR="00FB7BD2">
        <w:rPr>
          <w:lang w:val="en-GB"/>
        </w:rPr>
        <w:t xml:space="preserve"> for low rates</w:t>
      </w:r>
      <w:r w:rsidR="00222683">
        <w:rPr>
          <w:lang w:val="en-GB"/>
        </w:rPr>
        <w:t xml:space="preserve"> </w:t>
      </w:r>
      <w:r w:rsidR="00A2297B" w:rsidRPr="00A2297B">
        <w:rPr>
          <w:rFonts w:cs="Times New Roman"/>
        </w:rPr>
        <w:t>(14)</w:t>
      </w:r>
      <w:r>
        <w:rPr>
          <w:lang w:val="en-GB"/>
        </w:rPr>
        <w:t xml:space="preserve">. Previous research on mental health in Sweden suggests a 50% response rate </w:t>
      </w:r>
      <w:r w:rsidR="00A2297B" w:rsidRPr="00A2297B">
        <w:rPr>
          <w:rFonts w:cs="Times New Roman"/>
        </w:rPr>
        <w:t>(15)</w:t>
      </w:r>
      <w:r>
        <w:rPr>
          <w:lang w:val="en-GB"/>
        </w:rPr>
        <w:t xml:space="preserve">. To account for the expected response rate of 50%, the sample size is multiplied by factor of </w:t>
      </w:r>
      <w:r w:rsidR="00645D32">
        <w:rPr>
          <w:lang w:val="en-GB"/>
        </w:rPr>
        <w:t>two</w:t>
      </w:r>
      <w:r>
        <w:rPr>
          <w:lang w:val="en-GB"/>
        </w:rPr>
        <w:t xml:space="preserve"> to get a final sample size of 744 individuals.</w:t>
      </w:r>
    </w:p>
    <w:p w14:paraId="291F07F9" w14:textId="779C0CB1" w:rsidR="00FF141A" w:rsidRDefault="00FF141A" w:rsidP="00057580">
      <w:pPr>
        <w:rPr>
          <w:lang w:val="en-GB"/>
        </w:rPr>
      </w:pPr>
      <w:r>
        <w:t>It</w:t>
      </w:r>
      <w:r>
        <w:rPr>
          <w:lang w:val="en-GB"/>
        </w:rPr>
        <w:t xml:space="preserve"> is</w:t>
      </w:r>
      <w:r>
        <w:t xml:space="preserve"> important to remember that these calculations are based on a number of assumptions and estimates, and the actual sample size may be different depending on </w:t>
      </w:r>
      <w:r>
        <w:rPr>
          <w:lang w:val="en-GB"/>
        </w:rPr>
        <w:t>other factors</w:t>
      </w:r>
      <w:r>
        <w:t>.</w:t>
      </w:r>
    </w:p>
    <w:p w14:paraId="18B44839" w14:textId="4CBB6A1F" w:rsidR="00F6074F" w:rsidRPr="0096063E" w:rsidRDefault="00F6074F" w:rsidP="00985D78">
      <w:pPr>
        <w:pStyle w:val="Heading2"/>
        <w:rPr>
          <w:lang w:val="en-US"/>
        </w:rPr>
      </w:pPr>
      <w:r w:rsidRPr="0096063E">
        <w:rPr>
          <w:lang w:val="en-US"/>
        </w:rPr>
        <w:t>Instrument design</w:t>
      </w:r>
    </w:p>
    <w:p w14:paraId="46E332DE" w14:textId="0892DF01" w:rsidR="00A020E5" w:rsidRDefault="00A020E5" w:rsidP="00A020E5">
      <w:pPr>
        <w:rPr>
          <w:lang w:val="en-US"/>
        </w:rPr>
      </w:pPr>
      <w:r>
        <w:rPr>
          <w:lang w:val="en-US"/>
        </w:rPr>
        <w:t>T</w:t>
      </w:r>
      <w:r w:rsidRPr="0096063E">
        <w:rPr>
          <w:lang w:val="en-US"/>
        </w:rPr>
        <w:t xml:space="preserve">he overall design of the questionnaire was modeled </w:t>
      </w:r>
      <w:r>
        <w:rPr>
          <w:lang w:val="en-US"/>
        </w:rPr>
        <w:t xml:space="preserve">using the </w:t>
      </w:r>
      <w:r w:rsidRPr="006C6D2D">
        <w:rPr>
          <w:i/>
          <w:iCs/>
          <w:lang w:val="en-US"/>
        </w:rPr>
        <w:t>Total Design Survey</w:t>
      </w:r>
      <w:r>
        <w:rPr>
          <w:lang w:val="en-US"/>
        </w:rPr>
        <w:t xml:space="preserve"> method</w:t>
      </w:r>
      <w:r w:rsidR="00D672D9">
        <w:rPr>
          <w:lang w:val="en-US"/>
        </w:rPr>
        <w:t>, w</w:t>
      </w:r>
      <w:r w:rsidRPr="0096063E">
        <w:rPr>
          <w:lang w:val="en-US"/>
        </w:rPr>
        <w:t xml:space="preserve">hich </w:t>
      </w:r>
      <w:r>
        <w:rPr>
          <w:lang w:val="en-US"/>
        </w:rPr>
        <w:t xml:space="preserve">helped </w:t>
      </w:r>
      <w:r w:rsidRPr="0096063E">
        <w:rPr>
          <w:lang w:val="en-US"/>
        </w:rPr>
        <w:t>focus on different design choices in response type for each question</w:t>
      </w:r>
      <w:r w:rsidR="00D672D9">
        <w:rPr>
          <w:lang w:val="en-US"/>
        </w:rPr>
        <w:t xml:space="preserve"> </w:t>
      </w:r>
      <w:r w:rsidR="00A2297B" w:rsidRPr="00A2297B">
        <w:rPr>
          <w:rFonts w:cs="Times New Roman"/>
        </w:rPr>
        <w:t>(16,</w:t>
      </w:r>
      <w:r w:rsidR="00645D32">
        <w:rPr>
          <w:rFonts w:cs="Times New Roman"/>
          <w:lang w:val="en-GB"/>
        </w:rPr>
        <w:t xml:space="preserve"> </w:t>
      </w:r>
      <w:r w:rsidR="00A2297B" w:rsidRPr="00A2297B">
        <w:rPr>
          <w:rFonts w:cs="Times New Roman"/>
        </w:rPr>
        <w:t>17)</w:t>
      </w:r>
      <w:r w:rsidRPr="0096063E">
        <w:rPr>
          <w:lang w:val="en-US"/>
        </w:rPr>
        <w:t xml:space="preserve">. </w:t>
      </w:r>
      <w:r w:rsidR="008B2F85" w:rsidRPr="008B2F85">
        <w:rPr>
          <w:lang w:val="en-US"/>
        </w:rPr>
        <w:t xml:space="preserve">This included sectioning with headers, colored bars, and varying </w:t>
      </w:r>
      <w:r w:rsidR="00FF141A">
        <w:rPr>
          <w:lang w:val="en-US"/>
        </w:rPr>
        <w:t>font</w:t>
      </w:r>
      <w:r w:rsidR="008B2F85" w:rsidRPr="008B2F85">
        <w:rPr>
          <w:lang w:val="en-US"/>
        </w:rPr>
        <w:t xml:space="preserve"> sizes.</w:t>
      </w:r>
      <w:r w:rsidR="008B2F85">
        <w:rPr>
          <w:lang w:val="en-US"/>
        </w:rPr>
        <w:t xml:space="preserve"> </w:t>
      </w:r>
      <w:r>
        <w:rPr>
          <w:lang w:val="en-US"/>
        </w:rPr>
        <w:t xml:space="preserve">The questions were </w:t>
      </w:r>
      <w:r w:rsidR="008B2F85">
        <w:rPr>
          <w:lang w:val="en-US"/>
        </w:rPr>
        <w:t>crafted</w:t>
      </w:r>
      <w:r>
        <w:rPr>
          <w:lang w:val="en-US"/>
        </w:rPr>
        <w:t xml:space="preserve"> to be of different types</w:t>
      </w:r>
      <w:r w:rsidR="008B2F85">
        <w:rPr>
          <w:lang w:val="en-US"/>
        </w:rPr>
        <w:t xml:space="preserve"> and scales</w:t>
      </w:r>
      <w:r w:rsidR="00D672D9">
        <w:rPr>
          <w:lang w:val="en-US"/>
        </w:rPr>
        <w:t>, s</w:t>
      </w:r>
      <w:r>
        <w:rPr>
          <w:lang w:val="en-US"/>
        </w:rPr>
        <w:t>uch as</w:t>
      </w:r>
      <w:r w:rsidR="00D672D9">
        <w:rPr>
          <w:lang w:val="en-US"/>
        </w:rPr>
        <w:t xml:space="preserve"> </w:t>
      </w:r>
      <w:r w:rsidR="008B2F85">
        <w:rPr>
          <w:lang w:val="en-US"/>
        </w:rPr>
        <w:t xml:space="preserve">categorical and 5-point scales. </w:t>
      </w:r>
      <w:r>
        <w:rPr>
          <w:lang w:val="en-US"/>
        </w:rPr>
        <w:t>As well as</w:t>
      </w:r>
      <w:r w:rsidR="00D672D9">
        <w:rPr>
          <w:lang w:val="en-US"/>
        </w:rPr>
        <w:t xml:space="preserve"> </w:t>
      </w:r>
      <w:r>
        <w:rPr>
          <w:lang w:val="en-US"/>
        </w:rPr>
        <w:t xml:space="preserve">questions </w:t>
      </w:r>
      <w:r w:rsidR="00CA6311">
        <w:rPr>
          <w:lang w:val="en-US"/>
        </w:rPr>
        <w:t>of different types such as</w:t>
      </w:r>
      <w:r>
        <w:rPr>
          <w:lang w:val="en-US"/>
        </w:rPr>
        <w:t xml:space="preserve"> ratings, frequencies, proportions, and multiple choice. The questionnaire was divided into three sections: dietary intake, anxiety symptoms, and demographics. </w:t>
      </w:r>
    </w:p>
    <w:p w14:paraId="5CAA8189" w14:textId="1B45B3CC" w:rsidR="00A020E5" w:rsidRDefault="00A020E5" w:rsidP="00A020E5">
      <w:pPr>
        <w:rPr>
          <w:lang w:val="en-US"/>
        </w:rPr>
      </w:pPr>
      <w:r>
        <w:rPr>
          <w:lang w:val="en-US"/>
        </w:rPr>
        <w:t xml:space="preserve">The </w:t>
      </w:r>
      <w:r w:rsidR="002D52A7">
        <w:rPr>
          <w:lang w:val="en-US"/>
        </w:rPr>
        <w:t xml:space="preserve">first </w:t>
      </w:r>
      <w:r>
        <w:rPr>
          <w:lang w:val="en-US"/>
        </w:rPr>
        <w:t xml:space="preserve">section with questions regarding dietary intake </w:t>
      </w:r>
      <w:r w:rsidR="00D672D9">
        <w:rPr>
          <w:lang w:val="en-US"/>
        </w:rPr>
        <w:t>was</w:t>
      </w:r>
      <w:r>
        <w:rPr>
          <w:lang w:val="en-US"/>
        </w:rPr>
        <w:t xml:space="preserve"> to some degree adapted from </w:t>
      </w:r>
      <w:r w:rsidR="00D672D9">
        <w:rPr>
          <w:lang w:val="en-US"/>
        </w:rPr>
        <w:t xml:space="preserve">the </w:t>
      </w:r>
      <w:r w:rsidRPr="00FF141A">
        <w:rPr>
          <w:i/>
          <w:iCs/>
          <w:lang w:val="en-US"/>
        </w:rPr>
        <w:t>National Cancer Institute’s Diet History Questionnaire III</w:t>
      </w:r>
      <w:r w:rsidRPr="0096063E">
        <w:rPr>
          <w:lang w:val="en-US"/>
        </w:rPr>
        <w:t xml:space="preserve"> (DHQ III)</w:t>
      </w:r>
      <w:r w:rsidR="00D672D9">
        <w:rPr>
          <w:lang w:val="en-US"/>
        </w:rPr>
        <w:t xml:space="preserve">, </w:t>
      </w:r>
      <w:r w:rsidR="001D5B67">
        <w:rPr>
          <w:lang w:val="en-US"/>
        </w:rPr>
        <w:t>in</w:t>
      </w:r>
      <w:r w:rsidR="00D672D9">
        <w:t xml:space="preserve"> which the frequency of consumption of fresh fruit and raw and cooked vegetables is measured</w:t>
      </w:r>
      <w:r w:rsidR="00D672D9" w:rsidRPr="0096063E">
        <w:rPr>
          <w:lang w:val="en-US"/>
        </w:rPr>
        <w:t xml:space="preserve"> </w:t>
      </w:r>
      <w:r w:rsidR="00A2297B" w:rsidRPr="00A2297B">
        <w:rPr>
          <w:rFonts w:cs="Times New Roman"/>
        </w:rPr>
        <w:t>(18)</w:t>
      </w:r>
      <w:r w:rsidR="00D672D9">
        <w:t>.</w:t>
      </w:r>
      <w:r w:rsidR="00D672D9">
        <w:rPr>
          <w:lang w:val="en-GB"/>
        </w:rPr>
        <w:t xml:space="preserve"> </w:t>
      </w:r>
      <w:r>
        <w:rPr>
          <w:lang w:val="en-US"/>
        </w:rPr>
        <w:t>As well</w:t>
      </w:r>
      <w:r w:rsidR="00D672D9">
        <w:rPr>
          <w:lang w:val="en-US"/>
        </w:rPr>
        <w:t>,</w:t>
      </w:r>
      <w:r>
        <w:rPr>
          <w:lang w:val="en-US"/>
        </w:rPr>
        <w:t xml:space="preserve"> questions measuring probiotic intake and supplementation as confounding factor</w:t>
      </w:r>
      <w:r w:rsidR="00D672D9">
        <w:rPr>
          <w:lang w:val="en-US"/>
        </w:rPr>
        <w:t>s</w:t>
      </w:r>
      <w:r>
        <w:rPr>
          <w:lang w:val="en-US"/>
        </w:rPr>
        <w:t xml:space="preserve"> were added</w:t>
      </w:r>
      <w:r w:rsidR="00D672D9">
        <w:rPr>
          <w:lang w:val="en-US"/>
        </w:rPr>
        <w:t>,</w:t>
      </w:r>
      <w:r>
        <w:rPr>
          <w:lang w:val="en-US"/>
        </w:rPr>
        <w:t xml:space="preserve"> as these can change the behavior of the gut microbes </w:t>
      </w:r>
      <w:r w:rsidR="00C67B7D" w:rsidRPr="00C67B7D">
        <w:rPr>
          <w:rFonts w:cs="Times New Roman"/>
        </w:rPr>
        <w:t>(2)</w:t>
      </w:r>
      <w:r>
        <w:rPr>
          <w:lang w:val="en-US"/>
        </w:rPr>
        <w:t xml:space="preserve">. </w:t>
      </w:r>
      <w:r w:rsidR="008B2F85">
        <w:rPr>
          <w:lang w:val="en-US"/>
        </w:rPr>
        <w:t xml:space="preserve">Assessment criteria adapted for dietary habits used in nutrition epidemiology </w:t>
      </w:r>
      <w:r w:rsidR="00D672D9">
        <w:rPr>
          <w:lang w:val="en-US"/>
        </w:rPr>
        <w:t>were</w:t>
      </w:r>
      <w:r w:rsidR="008B2F85">
        <w:rPr>
          <w:lang w:val="en-US"/>
        </w:rPr>
        <w:t xml:space="preserve"> also used</w:t>
      </w:r>
      <w:r>
        <w:rPr>
          <w:lang w:val="en-US"/>
        </w:rPr>
        <w:t xml:space="preserve"> </w:t>
      </w:r>
      <w:r w:rsidR="00A2297B" w:rsidRPr="00A2297B">
        <w:rPr>
          <w:rFonts w:cs="Times New Roman"/>
        </w:rPr>
        <w:t>(19,</w:t>
      </w:r>
      <w:r w:rsidR="00645D32">
        <w:rPr>
          <w:rFonts w:cs="Times New Roman"/>
          <w:lang w:val="en-GB"/>
        </w:rPr>
        <w:t xml:space="preserve"> </w:t>
      </w:r>
      <w:r w:rsidR="00A2297B" w:rsidRPr="00A2297B">
        <w:rPr>
          <w:rFonts w:cs="Times New Roman"/>
        </w:rPr>
        <w:t>20)</w:t>
      </w:r>
      <w:r>
        <w:rPr>
          <w:lang w:val="en-US"/>
        </w:rPr>
        <w:t>.</w:t>
      </w:r>
    </w:p>
    <w:p w14:paraId="1A386E45" w14:textId="4B43FD57" w:rsidR="006B5338" w:rsidRDefault="00A020E5" w:rsidP="00A020E5">
      <w:pPr>
        <w:rPr>
          <w:lang w:val="en-US"/>
        </w:rPr>
      </w:pPr>
      <w:r>
        <w:rPr>
          <w:lang w:val="en-US"/>
        </w:rPr>
        <w:t>The second section about anxiety symptoms w</w:t>
      </w:r>
      <w:r w:rsidR="00D672D9">
        <w:rPr>
          <w:lang w:val="en-US"/>
        </w:rPr>
        <w:t>as</w:t>
      </w:r>
      <w:r>
        <w:rPr>
          <w:lang w:val="en-US"/>
        </w:rPr>
        <w:t xml:space="preserve"> adapted from validated questionnaires, </w:t>
      </w:r>
      <w:r w:rsidRPr="0096063E">
        <w:rPr>
          <w:lang w:val="en-US"/>
        </w:rPr>
        <w:t>such as</w:t>
      </w:r>
      <w:r w:rsidR="00D672D9">
        <w:rPr>
          <w:lang w:val="en-US"/>
        </w:rPr>
        <w:t xml:space="preserve"> the</w:t>
      </w:r>
      <w:r w:rsidRPr="0096063E">
        <w:rPr>
          <w:lang w:val="en-US"/>
        </w:rPr>
        <w:t xml:space="preserve"> </w:t>
      </w:r>
      <w:r w:rsidRPr="00FF141A">
        <w:rPr>
          <w:i/>
          <w:iCs/>
          <w:lang w:val="en-US"/>
        </w:rPr>
        <w:t>Hamilton Anxiety Scal</w:t>
      </w:r>
      <w:r w:rsidR="00C67B7D" w:rsidRPr="00FF141A">
        <w:rPr>
          <w:i/>
          <w:iCs/>
          <w:lang w:val="en-US"/>
        </w:rPr>
        <w:t>e</w:t>
      </w:r>
      <w:r w:rsidR="00C67B7D">
        <w:rPr>
          <w:lang w:val="en-US"/>
        </w:rPr>
        <w:t xml:space="preserve"> and</w:t>
      </w:r>
      <w:r w:rsidRPr="0096063E">
        <w:rPr>
          <w:lang w:val="en-US"/>
        </w:rPr>
        <w:t xml:space="preserve"> </w:t>
      </w:r>
      <w:r w:rsidRPr="00FF141A">
        <w:rPr>
          <w:i/>
          <w:iCs/>
          <w:lang w:val="en-US"/>
        </w:rPr>
        <w:t>Anxiety Symptoms Questionnaire</w:t>
      </w:r>
      <w:r w:rsidRPr="0096063E">
        <w:rPr>
          <w:lang w:val="en-US"/>
        </w:rPr>
        <w:t xml:space="preserve"> (ASQ) </w:t>
      </w:r>
      <w:r w:rsidR="00A2297B" w:rsidRPr="00A2297B">
        <w:rPr>
          <w:rFonts w:cs="Times New Roman"/>
        </w:rPr>
        <w:t>(21,</w:t>
      </w:r>
      <w:r w:rsidR="00645D32">
        <w:rPr>
          <w:rFonts w:cs="Times New Roman"/>
          <w:lang w:val="en-GB"/>
        </w:rPr>
        <w:t xml:space="preserve"> </w:t>
      </w:r>
      <w:r w:rsidR="00A2297B" w:rsidRPr="00A2297B">
        <w:rPr>
          <w:rFonts w:cs="Times New Roman"/>
        </w:rPr>
        <w:t>22)</w:t>
      </w:r>
      <w:r w:rsidRPr="0096063E">
        <w:rPr>
          <w:lang w:val="en-US"/>
        </w:rPr>
        <w:t>.</w:t>
      </w:r>
      <w:r w:rsidR="005445B2" w:rsidRPr="0096063E">
        <w:rPr>
          <w:lang w:val="en-US"/>
        </w:rPr>
        <w:t xml:space="preserve"> </w:t>
      </w:r>
      <w:r w:rsidR="00C67B7D">
        <w:rPr>
          <w:lang w:val="en-US"/>
        </w:rPr>
        <w:t xml:space="preserve">A multi-choice response regarding a range of symptoms associated with anxiety was </w:t>
      </w:r>
      <w:r w:rsidR="00FF141A">
        <w:rPr>
          <w:lang w:val="en-US"/>
        </w:rPr>
        <w:t xml:space="preserve">also </w:t>
      </w:r>
      <w:r w:rsidR="00C67B7D">
        <w:rPr>
          <w:lang w:val="en-US"/>
        </w:rPr>
        <w:t>added.</w:t>
      </w:r>
    </w:p>
    <w:p w14:paraId="384B743F" w14:textId="5E19B871" w:rsidR="00DF0AD7" w:rsidRPr="0096063E" w:rsidRDefault="00A020E5" w:rsidP="00985D78">
      <w:pPr>
        <w:rPr>
          <w:lang w:val="en-US"/>
        </w:rPr>
      </w:pPr>
      <w:r>
        <w:rPr>
          <w:lang w:val="en-US"/>
        </w:rPr>
        <w:lastRenderedPageBreak/>
        <w:t>The last section</w:t>
      </w:r>
      <w:r w:rsidR="00CA6311">
        <w:rPr>
          <w:lang w:val="en-US"/>
        </w:rPr>
        <w:t xml:space="preserve"> is</w:t>
      </w:r>
      <w:r>
        <w:rPr>
          <w:lang w:val="en-US"/>
        </w:rPr>
        <w:t xml:space="preserve"> </w:t>
      </w:r>
      <w:r w:rsidR="008B2F85">
        <w:rPr>
          <w:lang w:val="en-US"/>
        </w:rPr>
        <w:t>intend</w:t>
      </w:r>
      <w:r w:rsidR="00CA6311">
        <w:rPr>
          <w:lang w:val="en-US"/>
        </w:rPr>
        <w:t xml:space="preserve">ed </w:t>
      </w:r>
      <w:r w:rsidR="008B2F85">
        <w:rPr>
          <w:lang w:val="en-US"/>
        </w:rPr>
        <w:t>to</w:t>
      </w:r>
      <w:r>
        <w:rPr>
          <w:lang w:val="en-US"/>
        </w:rPr>
        <w:t xml:space="preserve"> measur</w:t>
      </w:r>
      <w:r w:rsidR="008B2F85">
        <w:rPr>
          <w:lang w:val="en-US"/>
        </w:rPr>
        <w:t>e</w:t>
      </w:r>
      <w:r>
        <w:rPr>
          <w:lang w:val="en-US"/>
        </w:rPr>
        <w:t xml:space="preserve"> demographic characteristics, such as age and gender. However, q</w:t>
      </w:r>
      <w:r w:rsidR="00DF0AD7">
        <w:rPr>
          <w:lang w:val="en-US"/>
        </w:rPr>
        <w:t>uestions regarding gender</w:t>
      </w:r>
      <w:r w:rsidR="00D672D9">
        <w:rPr>
          <w:lang w:val="en-US"/>
        </w:rPr>
        <w:t xml:space="preserve"> or </w:t>
      </w:r>
      <w:r w:rsidR="00DF0AD7">
        <w:rPr>
          <w:lang w:val="en-US"/>
        </w:rPr>
        <w:t>sex can be sensitive to some</w:t>
      </w:r>
      <w:r w:rsidR="00D672D9">
        <w:rPr>
          <w:lang w:val="en-US"/>
        </w:rPr>
        <w:t>,</w:t>
      </w:r>
      <w:r w:rsidR="00DF0AD7">
        <w:rPr>
          <w:lang w:val="en-US"/>
        </w:rPr>
        <w:t xml:space="preserve"> and thus it is important for researchers to uphold those ethical standards that do not misrepresent people’s gender due to the common practice of the binary approach (</w:t>
      </w:r>
      <w:r w:rsidR="004F1E62">
        <w:rPr>
          <w:lang w:val="en-US"/>
        </w:rPr>
        <w:t>e.g</w:t>
      </w:r>
      <w:r w:rsidR="00DF0AD7">
        <w:rPr>
          <w:lang w:val="en-US"/>
        </w:rPr>
        <w:t>., female</w:t>
      </w:r>
      <w:r w:rsidR="00D672D9">
        <w:rPr>
          <w:lang w:val="en-US"/>
        </w:rPr>
        <w:t xml:space="preserve"> or </w:t>
      </w:r>
      <w:r w:rsidR="00DF0AD7">
        <w:rPr>
          <w:lang w:val="en-US"/>
        </w:rPr>
        <w:t xml:space="preserve">male) </w:t>
      </w:r>
      <w:r w:rsidR="00A2297B" w:rsidRPr="00A2297B">
        <w:rPr>
          <w:rFonts w:cs="Times New Roman"/>
        </w:rPr>
        <w:t>(23)</w:t>
      </w:r>
      <w:r w:rsidR="00DF0AD7">
        <w:rPr>
          <w:lang w:val="en-US"/>
        </w:rPr>
        <w:t xml:space="preserve">. Our initial approach was to add a </w:t>
      </w:r>
      <w:r w:rsidR="008C7FE9">
        <w:rPr>
          <w:lang w:val="en-US"/>
        </w:rPr>
        <w:t>four-choice</w:t>
      </w:r>
      <w:r w:rsidR="00DF0AD7">
        <w:rPr>
          <w:lang w:val="en-US"/>
        </w:rPr>
        <w:t xml:space="preserve"> scale regarding gender: female, male, non-binary, other</w:t>
      </w:r>
      <w:r w:rsidR="00D672D9">
        <w:rPr>
          <w:lang w:val="en-US"/>
        </w:rPr>
        <w:t xml:space="preserve"> </w:t>
      </w:r>
      <w:r w:rsidR="006C6D2D">
        <w:rPr>
          <w:lang w:val="en-US"/>
        </w:rPr>
        <w:t>/</w:t>
      </w:r>
      <w:r w:rsidR="00D672D9">
        <w:rPr>
          <w:lang w:val="en-US"/>
        </w:rPr>
        <w:t xml:space="preserve"> </w:t>
      </w:r>
      <w:r w:rsidR="00DF0AD7">
        <w:rPr>
          <w:lang w:val="en-US"/>
        </w:rPr>
        <w:t>prefer not to say</w:t>
      </w:r>
      <w:r w:rsidR="002D52A7">
        <w:rPr>
          <w:lang w:val="en-US"/>
        </w:rPr>
        <w:t xml:space="preserve"> </w:t>
      </w:r>
      <w:r w:rsidR="00A2297B" w:rsidRPr="00A2297B">
        <w:rPr>
          <w:rFonts w:cs="Times New Roman"/>
        </w:rPr>
        <w:t>(23)</w:t>
      </w:r>
      <w:r w:rsidR="00DF0AD7">
        <w:rPr>
          <w:lang w:val="en-US"/>
        </w:rPr>
        <w:t>.</w:t>
      </w:r>
    </w:p>
    <w:p w14:paraId="4A5FF62F" w14:textId="2A32545D" w:rsidR="00F6074F" w:rsidRPr="0096063E" w:rsidRDefault="00F6074F" w:rsidP="00985D78">
      <w:pPr>
        <w:pStyle w:val="Heading2"/>
        <w:rPr>
          <w:lang w:val="en-US"/>
        </w:rPr>
      </w:pPr>
      <w:r w:rsidRPr="0096063E">
        <w:rPr>
          <w:lang w:val="en-US"/>
        </w:rPr>
        <w:t>Pilot testing</w:t>
      </w:r>
    </w:p>
    <w:p w14:paraId="221080DE" w14:textId="017779D2" w:rsidR="005C0A4A" w:rsidRPr="005C0A4A" w:rsidRDefault="005C0A4A" w:rsidP="00603B4A">
      <w:r w:rsidRPr="005C0A4A">
        <w:t xml:space="preserve">A small pilot study was conducted in order to test the feasibility and effectiveness of the survey instrument that was developed to examine the relationship between fiber intake and </w:t>
      </w:r>
      <w:r w:rsidR="00CA6311">
        <w:rPr>
          <w:lang w:val="en-GB"/>
        </w:rPr>
        <w:t>general anxiety</w:t>
      </w:r>
      <w:r w:rsidRPr="005C0A4A">
        <w:t xml:space="preserve">. A sample of </w:t>
      </w:r>
      <w:r w:rsidR="00D672D9">
        <w:rPr>
          <w:lang w:val="en-GB"/>
        </w:rPr>
        <w:t>five</w:t>
      </w:r>
      <w:r w:rsidRPr="005C0A4A">
        <w:t xml:space="preserve"> participants</w:t>
      </w:r>
      <w:r w:rsidR="002D52A7">
        <w:rPr>
          <w:lang w:val="en-GB"/>
        </w:rPr>
        <w:t xml:space="preserve"> was selected for the pilot study, which also accepted to participate,</w:t>
      </w:r>
      <w:r w:rsidRPr="005C0A4A">
        <w:t xml:space="preserve"> consisting of friends and family members who were representative of the target population</w:t>
      </w:r>
      <w:r w:rsidR="002D52A7">
        <w:rPr>
          <w:lang w:val="en-GB"/>
        </w:rPr>
        <w:t xml:space="preserve">. </w:t>
      </w:r>
      <w:r w:rsidRPr="005C0A4A">
        <w:t>The survey was administered to the participants in paper form, along with an invitation letter and</w:t>
      </w:r>
      <w:r w:rsidR="00D672D9">
        <w:rPr>
          <w:lang w:val="en-GB"/>
        </w:rPr>
        <w:t xml:space="preserve"> an</w:t>
      </w:r>
      <w:r w:rsidRPr="005C0A4A">
        <w:t xml:space="preserve"> informed consent form.</w:t>
      </w:r>
    </w:p>
    <w:p w14:paraId="6E2C7CFF" w14:textId="50F84052" w:rsidR="005C0A4A" w:rsidRPr="005C0A4A" w:rsidRDefault="005C0A4A" w:rsidP="00603B4A">
      <w:r w:rsidRPr="005C0A4A">
        <w:t xml:space="preserve">The data and feedback collected from the pilot study were used to make any necessary modifications to the survey instrument. For example, based on the feedback received, definitions were added to certain terms, </w:t>
      </w:r>
      <w:r w:rsidR="008B2F85">
        <w:rPr>
          <w:lang w:val="en-GB"/>
        </w:rPr>
        <w:t xml:space="preserve">e.g., </w:t>
      </w:r>
      <w:r w:rsidR="00CA6311">
        <w:rPr>
          <w:lang w:val="en-GB"/>
        </w:rPr>
        <w:t xml:space="preserve">“berries” to </w:t>
      </w:r>
      <w:r w:rsidR="00D672D9">
        <w:rPr>
          <w:lang w:val="en-GB"/>
        </w:rPr>
        <w:t>“</w:t>
      </w:r>
      <w:r w:rsidRPr="005C0A4A">
        <w:t>fresh fruit</w:t>
      </w:r>
      <w:r w:rsidR="00D672D9">
        <w:rPr>
          <w:lang w:val="en-GB"/>
        </w:rPr>
        <w:t>”</w:t>
      </w:r>
      <w:r w:rsidR="008B2F85">
        <w:rPr>
          <w:lang w:val="en-GB"/>
        </w:rPr>
        <w:t>.</w:t>
      </w:r>
      <w:r w:rsidRPr="005C0A4A">
        <w:t xml:space="preserve"> </w:t>
      </w:r>
      <w:r w:rsidR="008B2F85">
        <w:rPr>
          <w:lang w:val="en-GB"/>
        </w:rPr>
        <w:t>A</w:t>
      </w:r>
      <w:r w:rsidRPr="005C0A4A">
        <w:t xml:space="preserve"> question regarding self-reported perception</w:t>
      </w:r>
      <w:r w:rsidR="00D672D9">
        <w:rPr>
          <w:lang w:val="en-GB"/>
        </w:rPr>
        <w:t>s</w:t>
      </w:r>
      <w:r w:rsidRPr="005C0A4A">
        <w:t xml:space="preserve"> of fiber intake was added. </w:t>
      </w:r>
      <w:r w:rsidR="008B2F85">
        <w:rPr>
          <w:lang w:val="en-GB"/>
        </w:rPr>
        <w:t>One participant reported that the question regarding age (which used the last birthday concept) was strange and convoluted. However, it was</w:t>
      </w:r>
      <w:r w:rsidRPr="005C0A4A">
        <w:t xml:space="preserve"> kept</w:t>
      </w:r>
      <w:r w:rsidR="00D672D9">
        <w:rPr>
          <w:lang w:val="en-GB"/>
        </w:rPr>
        <w:t>,</w:t>
      </w:r>
      <w:r w:rsidRPr="005C0A4A">
        <w:t xml:space="preserve"> as literature has shown that this method tends to result in higher response rates</w:t>
      </w:r>
      <w:r>
        <w:rPr>
          <w:lang w:val="en-US"/>
        </w:rPr>
        <w:t xml:space="preserve"> </w:t>
      </w:r>
      <w:r w:rsidR="00A2297B" w:rsidRPr="00A2297B">
        <w:rPr>
          <w:rFonts w:cs="Times New Roman"/>
        </w:rPr>
        <w:t>(16,</w:t>
      </w:r>
      <w:r w:rsidR="00645D32">
        <w:rPr>
          <w:rFonts w:cs="Times New Roman"/>
          <w:lang w:val="en-GB"/>
        </w:rPr>
        <w:t xml:space="preserve"> </w:t>
      </w:r>
      <w:r w:rsidR="00A2297B" w:rsidRPr="00A2297B">
        <w:rPr>
          <w:rFonts w:cs="Times New Roman"/>
        </w:rPr>
        <w:t>24)</w:t>
      </w:r>
      <w:r w:rsidRPr="005C0A4A">
        <w:t>. The gender question was also reformulated to be more inclusive and avoid the "othering" effect of closed-ended options like "other" and "prefer not to say"</w:t>
      </w:r>
      <w:r>
        <w:rPr>
          <w:lang w:val="en-US"/>
        </w:rPr>
        <w:t xml:space="preserve"> </w:t>
      </w:r>
      <w:r w:rsidR="00A2297B" w:rsidRPr="00A2297B">
        <w:rPr>
          <w:rFonts w:cs="Times New Roman"/>
        </w:rPr>
        <w:t>(25)</w:t>
      </w:r>
      <w:r>
        <w:rPr>
          <w:lang w:val="en-GB"/>
        </w:rPr>
        <w:t>.</w:t>
      </w:r>
      <w:r w:rsidRPr="005C0A4A">
        <w:t xml:space="preserve"> Finally, information was added to the introductory paragraph to clarify the difficulty of answering some questions.</w:t>
      </w:r>
    </w:p>
    <w:p w14:paraId="798CF85B" w14:textId="26612AB6" w:rsidR="005C0A4A" w:rsidRPr="005C0A4A" w:rsidRDefault="005C0A4A" w:rsidP="00603B4A">
      <w:r w:rsidRPr="005C0A4A">
        <w:t xml:space="preserve">Overall, the pilot study provided valuable insights into the strengths and weaknesses of the survey instrument and allowed </w:t>
      </w:r>
      <w:r w:rsidR="00A020E5">
        <w:rPr>
          <w:lang w:val="en-GB"/>
        </w:rPr>
        <w:t xml:space="preserve">us </w:t>
      </w:r>
      <w:r w:rsidR="00E92503">
        <w:rPr>
          <w:lang w:val="en-GB"/>
        </w:rPr>
        <w:t>to improve and</w:t>
      </w:r>
      <w:r w:rsidRPr="005C0A4A">
        <w:t xml:space="preserve"> ensure its reliability and validity.</w:t>
      </w:r>
    </w:p>
    <w:p w14:paraId="4F3690B9" w14:textId="5C2C6099" w:rsidR="00F6074F" w:rsidRPr="0096063E" w:rsidRDefault="00F6074F" w:rsidP="00985D78">
      <w:pPr>
        <w:pStyle w:val="Heading2"/>
        <w:rPr>
          <w:lang w:val="en-US"/>
        </w:rPr>
      </w:pPr>
      <w:r w:rsidRPr="0096063E">
        <w:rPr>
          <w:lang w:val="en-US"/>
        </w:rPr>
        <w:t>Statistical analysis</w:t>
      </w:r>
    </w:p>
    <w:p w14:paraId="2D82A241" w14:textId="555C389E" w:rsidR="00617050" w:rsidRPr="0096063E" w:rsidRDefault="00617050" w:rsidP="000717A2">
      <w:pPr>
        <w:rPr>
          <w:lang w:val="en-US"/>
        </w:rPr>
      </w:pPr>
      <w:r w:rsidRPr="00617050">
        <w:rPr>
          <w:lang w:val="en-US"/>
        </w:rPr>
        <w:t xml:space="preserve">Descriptive statistics </w:t>
      </w:r>
      <w:r w:rsidR="00D1339E">
        <w:rPr>
          <w:lang w:val="en-US"/>
        </w:rPr>
        <w:t>would</w:t>
      </w:r>
      <w:r w:rsidRPr="00617050">
        <w:rPr>
          <w:lang w:val="en-US"/>
        </w:rPr>
        <w:t xml:space="preserve"> be used to summarize the characteristics of the sample, such as the mean, median, and standard deviation of</w:t>
      </w:r>
      <w:r w:rsidR="00D672D9">
        <w:rPr>
          <w:lang w:val="en-US"/>
        </w:rPr>
        <w:t xml:space="preserve"> the</w:t>
      </w:r>
      <w:r w:rsidRPr="00617050">
        <w:rPr>
          <w:lang w:val="en-US"/>
        </w:rPr>
        <w:t xml:space="preserve"> fiber intake </w:t>
      </w:r>
      <w:r w:rsidR="00D1339E">
        <w:rPr>
          <w:lang w:val="en-US"/>
        </w:rPr>
        <w:t xml:space="preserve">scores </w:t>
      </w:r>
      <w:r w:rsidRPr="00617050">
        <w:rPr>
          <w:lang w:val="en-US"/>
        </w:rPr>
        <w:t>and anxiety scores</w:t>
      </w:r>
      <w:r w:rsidR="00CA6311">
        <w:rPr>
          <w:lang w:val="en-US"/>
        </w:rPr>
        <w:t xml:space="preserve">, which could further be stratified into age categories. </w:t>
      </w:r>
      <w:r w:rsidR="00D672D9">
        <w:t>A histogram of the frequency distribution would be useful</w:t>
      </w:r>
      <w:r w:rsidR="006C557E">
        <w:rPr>
          <w:lang w:val="en-GB"/>
        </w:rPr>
        <w:t xml:space="preserve"> for exploratory visualization to check for normal distributions</w:t>
      </w:r>
      <w:r w:rsidR="00D672D9">
        <w:t xml:space="preserve">. </w:t>
      </w:r>
      <w:r w:rsidR="00D672D9">
        <w:rPr>
          <w:lang w:val="en-GB"/>
        </w:rPr>
        <w:t xml:space="preserve">A </w:t>
      </w:r>
      <w:r w:rsidR="00D672D9" w:rsidRPr="00617050">
        <w:rPr>
          <w:lang w:val="en-US"/>
        </w:rPr>
        <w:t>correlation</w:t>
      </w:r>
      <w:r w:rsidRPr="00617050">
        <w:rPr>
          <w:lang w:val="en-US"/>
        </w:rPr>
        <w:t xml:space="preserve"> analysis </w:t>
      </w:r>
      <w:r w:rsidR="00D1339E">
        <w:rPr>
          <w:lang w:val="en-US"/>
        </w:rPr>
        <w:t>would</w:t>
      </w:r>
      <w:r w:rsidRPr="00617050">
        <w:rPr>
          <w:lang w:val="en-US"/>
        </w:rPr>
        <w:t xml:space="preserve"> be used to examine the strength and direction of the association between fiber intake and anxiety scores. </w:t>
      </w:r>
      <w:r w:rsidR="00FF141A">
        <w:rPr>
          <w:lang w:val="en-US"/>
        </w:rPr>
        <w:t xml:space="preserve">Finally, a chi-square test would be used to compare proportions of anxiety and fiber intake. </w:t>
      </w:r>
      <w:r w:rsidR="00603B4A">
        <w:rPr>
          <w:lang w:val="en-US"/>
        </w:rPr>
        <w:t>All statistical analyses will be conducted using the statistical software STATA.</w:t>
      </w:r>
    </w:p>
    <w:p w14:paraId="2955183C" w14:textId="0193E0F4" w:rsidR="00A433DB" w:rsidRPr="0096063E" w:rsidRDefault="00A433DB" w:rsidP="00A433DB">
      <w:pPr>
        <w:pStyle w:val="Heading1"/>
        <w:rPr>
          <w:lang w:val="en-US"/>
        </w:rPr>
      </w:pPr>
      <w:r w:rsidRPr="0096063E">
        <w:rPr>
          <w:lang w:val="en-US"/>
        </w:rPr>
        <w:lastRenderedPageBreak/>
        <w:t>References</w:t>
      </w:r>
    </w:p>
    <w:p w14:paraId="34835ACD" w14:textId="5954A3BE"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World Health Organization. Comprehensive Mental Health Action Plan 2013-2030 [Internet]. Geneva: World Health Organization; [cited 2022 Dec 29]. Available from: https://www.who.int/publications-detail-redirect/9789240031029</w:t>
      </w:r>
    </w:p>
    <w:p w14:paraId="2E3F3F38" w14:textId="7707857A"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Tuohy K, Del Rio D, editors. Diet-microbe interactions in the gut: effects on human health and disease. London, UK: Elsevier; 2015. </w:t>
      </w:r>
    </w:p>
    <w:p w14:paraId="4B690B87" w14:textId="76989540"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Lyte</w:t>
      </w:r>
      <w:proofErr w:type="spellEnd"/>
      <w:r w:rsidRPr="00F21FFA">
        <w:rPr>
          <w:rFonts w:cs="Times New Roman"/>
        </w:rPr>
        <w:t xml:space="preserve"> M, </w:t>
      </w:r>
      <w:proofErr w:type="spellStart"/>
      <w:r w:rsidRPr="00F21FFA">
        <w:rPr>
          <w:rFonts w:cs="Times New Roman"/>
        </w:rPr>
        <w:t>Cryan</w:t>
      </w:r>
      <w:proofErr w:type="spellEnd"/>
      <w:r w:rsidRPr="00F21FFA">
        <w:rPr>
          <w:rFonts w:cs="Times New Roman"/>
        </w:rPr>
        <w:t xml:space="preserve"> JF, editors. Microbial endocrinology: the microbiota-gut-brain axis in health and disease. New York: Springer; 2014. </w:t>
      </w:r>
    </w:p>
    <w:p w14:paraId="17EC1F20" w14:textId="56A2A2DF"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Ross AC, Caballero B, Cousins RJ, Tucker KL, Ziegler TR. Modern nutrition in health and disease. 11th ed. Burlington: Jones &amp; Bartlett Learning; 2020. </w:t>
      </w:r>
    </w:p>
    <w:p w14:paraId="5872C360" w14:textId="04E05585"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Swedish Food Agency. Risk and benefit assessment of whole grain intake in the Swedish adult population [Internet]. Uppsala: Swedish Food Agency; 2022 [cited 2022 Dec 12]. Swedish Food Agency Rapport Series</w:t>
      </w:r>
      <w:r w:rsidR="00BF771A">
        <w:rPr>
          <w:rFonts w:cs="Times New Roman"/>
          <w:lang w:val="en-GB"/>
        </w:rPr>
        <w:t xml:space="preserve">: </w:t>
      </w:r>
      <w:r w:rsidRPr="00F21FFA">
        <w:rPr>
          <w:rFonts w:cs="Times New Roman"/>
        </w:rPr>
        <w:t>L2022 Nr 11. Available from: https://www.livsmedelsverket.se/globalassets/publikationsdatabas/rapporter/2022/l-2022-nr-11-risk-and-benefit-assessment-of-whole-grain-intake-in-the-swedish-adult-population.pdf</w:t>
      </w:r>
    </w:p>
    <w:p w14:paraId="45BE0EEB" w14:textId="511CC350"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Nordic Council of Ministers. Nordic nutrition recommendations 2012: integrating nutrition and physical activity. 5th ed. Copenhagen: Nordic Council of Ministers; 2014. </w:t>
      </w:r>
    </w:p>
    <w:p w14:paraId="274F2D6E" w14:textId="577DA55C"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Liu Y, Ju Y, Cui L, Liu T, Hou Y, Wu Q, et al. Association between Dietary Fiber Intake and Incidence of Depression and Anxiety in Patients with Essential Hypertension. Nutrients. 2021 Nov;13(11):4159. </w:t>
      </w:r>
    </w:p>
    <w:p w14:paraId="238EA98F" w14:textId="0A3D9756"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Kim CS, </w:t>
      </w:r>
      <w:proofErr w:type="spellStart"/>
      <w:r w:rsidRPr="00F21FFA">
        <w:rPr>
          <w:rFonts w:cs="Times New Roman"/>
        </w:rPr>
        <w:t>Byeon</w:t>
      </w:r>
      <w:proofErr w:type="spellEnd"/>
      <w:r w:rsidRPr="00F21FFA">
        <w:rPr>
          <w:rFonts w:cs="Times New Roman"/>
        </w:rPr>
        <w:t xml:space="preserve"> S, Shin DM. Sources of Dietary Fiber Are Differently Associated with Prevalence of Depression. Nutrients. 2020 Sep;12(9):2813. </w:t>
      </w:r>
    </w:p>
    <w:p w14:paraId="330B8933" w14:textId="77E37AB5"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Saghafian</w:t>
      </w:r>
      <w:proofErr w:type="spellEnd"/>
      <w:r w:rsidRPr="00F21FFA">
        <w:rPr>
          <w:rFonts w:cs="Times New Roman"/>
        </w:rPr>
        <w:t xml:space="preserve"> F, </w:t>
      </w:r>
      <w:proofErr w:type="spellStart"/>
      <w:r w:rsidRPr="00F21FFA">
        <w:rPr>
          <w:rFonts w:cs="Times New Roman"/>
        </w:rPr>
        <w:t>Hajishafiee</w:t>
      </w:r>
      <w:proofErr w:type="spellEnd"/>
      <w:r w:rsidRPr="00F21FFA">
        <w:rPr>
          <w:rFonts w:cs="Times New Roman"/>
        </w:rPr>
        <w:t xml:space="preserve"> M, Rouhani P, </w:t>
      </w:r>
      <w:proofErr w:type="spellStart"/>
      <w:r w:rsidRPr="00F21FFA">
        <w:rPr>
          <w:rFonts w:cs="Times New Roman"/>
        </w:rPr>
        <w:t>Saneei</w:t>
      </w:r>
      <w:proofErr w:type="spellEnd"/>
      <w:r w:rsidRPr="00F21FFA">
        <w:rPr>
          <w:rFonts w:cs="Times New Roman"/>
        </w:rPr>
        <w:t xml:space="preserve"> P. Dietary fiber intake, depression, and anxiety: a systematic review and meta-analysis of epidemiologic studies. Nutritional Neuroscience. 2022 Jan 4;0(0):1–19. </w:t>
      </w:r>
    </w:p>
    <w:p w14:paraId="5C9B307C" w14:textId="6CE761FE"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Berding</w:t>
      </w:r>
      <w:proofErr w:type="spellEnd"/>
      <w:r w:rsidRPr="00F21FFA">
        <w:rPr>
          <w:rFonts w:cs="Times New Roman"/>
        </w:rPr>
        <w:t xml:space="preserve"> K, </w:t>
      </w:r>
      <w:proofErr w:type="spellStart"/>
      <w:r w:rsidRPr="00F21FFA">
        <w:rPr>
          <w:rFonts w:cs="Times New Roman"/>
        </w:rPr>
        <w:t>Carbia</w:t>
      </w:r>
      <w:proofErr w:type="spellEnd"/>
      <w:r w:rsidRPr="00F21FFA">
        <w:rPr>
          <w:rFonts w:cs="Times New Roman"/>
        </w:rPr>
        <w:t xml:space="preserve"> C, </w:t>
      </w:r>
      <w:proofErr w:type="spellStart"/>
      <w:r w:rsidRPr="00F21FFA">
        <w:rPr>
          <w:rFonts w:cs="Times New Roman"/>
        </w:rPr>
        <w:t>Cryan</w:t>
      </w:r>
      <w:proofErr w:type="spellEnd"/>
      <w:r w:rsidRPr="00F21FFA">
        <w:rPr>
          <w:rFonts w:cs="Times New Roman"/>
        </w:rPr>
        <w:t xml:space="preserve"> JF. Going with the grain: Fiber, cognition, and the microbiota-gut-brain-axis. Exp </w:t>
      </w:r>
      <w:proofErr w:type="spellStart"/>
      <w:r w:rsidRPr="00F21FFA">
        <w:rPr>
          <w:rFonts w:cs="Times New Roman"/>
        </w:rPr>
        <w:t>Biol</w:t>
      </w:r>
      <w:proofErr w:type="spellEnd"/>
      <w:r w:rsidRPr="00F21FFA">
        <w:rPr>
          <w:rFonts w:cs="Times New Roman"/>
        </w:rPr>
        <w:t xml:space="preserve"> Med. 2021 Apr 1;246(7):796–811. </w:t>
      </w:r>
    </w:p>
    <w:p w14:paraId="489FDF69" w14:textId="03A75160"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Mikrodata</w:t>
      </w:r>
      <w:proofErr w:type="spellEnd"/>
      <w:r w:rsidRPr="00F21FFA">
        <w:rPr>
          <w:rFonts w:cs="Times New Roman"/>
        </w:rPr>
        <w:t xml:space="preserve"> för </w:t>
      </w:r>
      <w:proofErr w:type="spellStart"/>
      <w:r w:rsidRPr="00F21FFA">
        <w:rPr>
          <w:rFonts w:cs="Times New Roman"/>
        </w:rPr>
        <w:t>Registret</w:t>
      </w:r>
      <w:proofErr w:type="spellEnd"/>
      <w:r w:rsidRPr="00F21FFA">
        <w:rPr>
          <w:rFonts w:cs="Times New Roman"/>
        </w:rPr>
        <w:t xml:space="preserve"> </w:t>
      </w:r>
      <w:proofErr w:type="spellStart"/>
      <w:r w:rsidRPr="00F21FFA">
        <w:rPr>
          <w:rFonts w:cs="Times New Roman"/>
        </w:rPr>
        <w:t>över</w:t>
      </w:r>
      <w:proofErr w:type="spellEnd"/>
      <w:r w:rsidRPr="00F21FFA">
        <w:rPr>
          <w:rFonts w:cs="Times New Roman"/>
        </w:rPr>
        <w:t xml:space="preserve"> </w:t>
      </w:r>
      <w:proofErr w:type="spellStart"/>
      <w:r w:rsidRPr="00F21FFA">
        <w:rPr>
          <w:rFonts w:cs="Times New Roman"/>
        </w:rPr>
        <w:t>totalbefolkningen</w:t>
      </w:r>
      <w:proofErr w:type="spellEnd"/>
      <w:r w:rsidRPr="00F21FFA">
        <w:rPr>
          <w:rFonts w:cs="Times New Roman"/>
        </w:rPr>
        <w:t xml:space="preserve"> (RTB) [Internet]. </w:t>
      </w:r>
      <w:proofErr w:type="spellStart"/>
      <w:r w:rsidRPr="00F21FFA">
        <w:rPr>
          <w:rFonts w:cs="Times New Roman"/>
        </w:rPr>
        <w:t>Statistiska</w:t>
      </w:r>
      <w:proofErr w:type="spellEnd"/>
      <w:r w:rsidRPr="00F21FFA">
        <w:rPr>
          <w:rFonts w:cs="Times New Roman"/>
        </w:rPr>
        <w:t xml:space="preserve"> </w:t>
      </w:r>
      <w:proofErr w:type="spellStart"/>
      <w:r w:rsidRPr="00F21FFA">
        <w:rPr>
          <w:rFonts w:cs="Times New Roman"/>
        </w:rPr>
        <w:t>Centralbyrån</w:t>
      </w:r>
      <w:proofErr w:type="spellEnd"/>
      <w:r w:rsidRPr="00F21FFA">
        <w:rPr>
          <w:rFonts w:cs="Times New Roman"/>
        </w:rPr>
        <w:t>. [cited 2023 Jan 3]. Available from: https://www.scb.se/vara-tjanster/bestall-data-och-statistik/bestalla-mikrodata/vilka-mikrodata-finns/individregister/registret-over-totalbefolkningen-rtb/</w:t>
      </w:r>
    </w:p>
    <w:p w14:paraId="384A9B3B" w14:textId="44E98C58"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Twenge JM, Joiner TE. U.S. Census Bureau-assessed prevalence of anxiety and depressive symptoms in 2019 and during the 2020 COVID-19 pandemic. Depression and Anxiety. 2020;37(10):954–6. </w:t>
      </w:r>
    </w:p>
    <w:p w14:paraId="21320957" w14:textId="4EB9D5D9"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Saghafian</w:t>
      </w:r>
      <w:proofErr w:type="spellEnd"/>
      <w:r w:rsidRPr="00F21FFA">
        <w:rPr>
          <w:rFonts w:cs="Times New Roman"/>
        </w:rPr>
        <w:t xml:space="preserve"> F, Sharif N, </w:t>
      </w:r>
      <w:proofErr w:type="spellStart"/>
      <w:r w:rsidRPr="00F21FFA">
        <w:rPr>
          <w:rFonts w:cs="Times New Roman"/>
        </w:rPr>
        <w:t>Saneei</w:t>
      </w:r>
      <w:proofErr w:type="spellEnd"/>
      <w:r w:rsidRPr="00F21FFA">
        <w:rPr>
          <w:rFonts w:cs="Times New Roman"/>
        </w:rPr>
        <w:t xml:space="preserve"> P, </w:t>
      </w:r>
      <w:proofErr w:type="spellStart"/>
      <w:r w:rsidRPr="00F21FFA">
        <w:rPr>
          <w:rFonts w:cs="Times New Roman"/>
        </w:rPr>
        <w:t>Keshteli</w:t>
      </w:r>
      <w:proofErr w:type="spellEnd"/>
      <w:r w:rsidRPr="00F21FFA">
        <w:rPr>
          <w:rFonts w:cs="Times New Roman"/>
        </w:rPr>
        <w:t xml:space="preserve"> AH, </w:t>
      </w:r>
      <w:proofErr w:type="spellStart"/>
      <w:r w:rsidRPr="00F21FFA">
        <w:rPr>
          <w:rFonts w:cs="Times New Roman"/>
        </w:rPr>
        <w:t>Hosseinzadeh</w:t>
      </w:r>
      <w:proofErr w:type="spellEnd"/>
      <w:r w:rsidRPr="00F21FFA">
        <w:rPr>
          <w:rFonts w:cs="Times New Roman"/>
        </w:rPr>
        <w:t xml:space="preserve">-Attar MJ, Afshar H, et al. Consumption of Dietary Fiber in Relation to Psychological Disorders in Adults. Front Psychiatry. 2021 Jun </w:t>
      </w:r>
      <w:proofErr w:type="gramStart"/>
      <w:r w:rsidRPr="00F21FFA">
        <w:rPr>
          <w:rFonts w:cs="Times New Roman"/>
        </w:rPr>
        <w:t>24;12:587468</w:t>
      </w:r>
      <w:proofErr w:type="gramEnd"/>
      <w:r w:rsidRPr="00F21FFA">
        <w:rPr>
          <w:rFonts w:cs="Times New Roman"/>
        </w:rPr>
        <w:t xml:space="preserve">. </w:t>
      </w:r>
    </w:p>
    <w:p w14:paraId="179D1F75" w14:textId="4A4DC36B"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lastRenderedPageBreak/>
        <w:t>Hulley</w:t>
      </w:r>
      <w:proofErr w:type="spellEnd"/>
      <w:r w:rsidRPr="00F21FFA">
        <w:rPr>
          <w:rFonts w:cs="Times New Roman"/>
        </w:rPr>
        <w:t xml:space="preserve"> SB, editor. Designing clinical research. 4th ed. Philadelphia: Wolters Kluwer/Lippincott Williams &amp; Wilkins; 2013. </w:t>
      </w:r>
    </w:p>
    <w:p w14:paraId="01CC7E9C" w14:textId="244EB4B1"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Dahlberg K, </w:t>
      </w:r>
      <w:proofErr w:type="spellStart"/>
      <w:r w:rsidRPr="00F21FFA">
        <w:rPr>
          <w:rFonts w:cs="Times New Roman"/>
        </w:rPr>
        <w:t>Forsell</w:t>
      </w:r>
      <w:proofErr w:type="spellEnd"/>
      <w:r w:rsidRPr="00F21FFA">
        <w:rPr>
          <w:rFonts w:cs="Times New Roman"/>
        </w:rPr>
        <w:t xml:space="preserve"> Y, </w:t>
      </w:r>
      <w:proofErr w:type="spellStart"/>
      <w:r w:rsidRPr="00F21FFA">
        <w:rPr>
          <w:rFonts w:cs="Times New Roman"/>
        </w:rPr>
        <w:t>Damström-Thakker</w:t>
      </w:r>
      <w:proofErr w:type="spellEnd"/>
      <w:r w:rsidRPr="00F21FFA">
        <w:rPr>
          <w:rFonts w:cs="Times New Roman"/>
        </w:rPr>
        <w:t xml:space="preserve"> K, </w:t>
      </w:r>
      <w:proofErr w:type="spellStart"/>
      <w:r w:rsidRPr="00F21FFA">
        <w:rPr>
          <w:rFonts w:cs="Times New Roman"/>
        </w:rPr>
        <w:t>Runeson</w:t>
      </w:r>
      <w:proofErr w:type="spellEnd"/>
      <w:r w:rsidRPr="00F21FFA">
        <w:rPr>
          <w:rFonts w:cs="Times New Roman"/>
        </w:rPr>
        <w:t xml:space="preserve"> B. Mental health problems and healthcare contacts in an urban and a rural area. Comparisons of two Swedish counties. Nord J Psychiatry. 2007 Jan 1;61(1):40–6. </w:t>
      </w:r>
    </w:p>
    <w:p w14:paraId="1D21D581" w14:textId="7A76B573"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Dillman</w:t>
      </w:r>
      <w:proofErr w:type="spellEnd"/>
      <w:r w:rsidRPr="00F21FFA">
        <w:rPr>
          <w:rFonts w:cs="Times New Roman"/>
        </w:rPr>
        <w:t xml:space="preserve"> DA, Smyth JD, Christian LM. Internet, phone, mail, and mixed-mode surveys: the tailored design method. 4th ed. Hoboken: Wiley; 2014. </w:t>
      </w:r>
    </w:p>
    <w:p w14:paraId="36087D7F" w14:textId="371C0419"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Hoddinott</w:t>
      </w:r>
      <w:proofErr w:type="spellEnd"/>
      <w:r w:rsidRPr="00F21FFA">
        <w:rPr>
          <w:rFonts w:cs="Times New Roman"/>
        </w:rPr>
        <w:t xml:space="preserve"> SN, Bass MJ. The </w:t>
      </w:r>
      <w:proofErr w:type="spellStart"/>
      <w:r w:rsidRPr="00F21FFA">
        <w:rPr>
          <w:rFonts w:cs="Times New Roman"/>
        </w:rPr>
        <w:t>Dillman</w:t>
      </w:r>
      <w:proofErr w:type="spellEnd"/>
      <w:r w:rsidRPr="00F21FFA">
        <w:rPr>
          <w:rFonts w:cs="Times New Roman"/>
        </w:rPr>
        <w:t xml:space="preserve"> Total Design Survey Method. Can Fam Physician. 1986 </w:t>
      </w:r>
      <w:proofErr w:type="gramStart"/>
      <w:r w:rsidRPr="00F21FFA">
        <w:rPr>
          <w:rFonts w:cs="Times New Roman"/>
        </w:rPr>
        <w:t>Nov;32:2366</w:t>
      </w:r>
      <w:proofErr w:type="gramEnd"/>
      <w:r w:rsidRPr="00F21FFA">
        <w:rPr>
          <w:rFonts w:cs="Times New Roman"/>
        </w:rPr>
        <w:t xml:space="preserve">–8. </w:t>
      </w:r>
    </w:p>
    <w:p w14:paraId="7EC3547D" w14:textId="48D60EB8"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National Cancer Institute. Diet History Questionnaire III (DHQ III) | EGRP/DCCPS/NCI/NIH [Internet]. [cited 2022 Dec 29]. Available from: https://epi.grants.cancer.gov/dhq3/</w:t>
      </w:r>
    </w:p>
    <w:p w14:paraId="268D3A12" w14:textId="56FF884D"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Willett W. Nutritional epidemiology. 3rd ed. Oxford; New York: Oxford University Press; 2013. </w:t>
      </w:r>
    </w:p>
    <w:p w14:paraId="12F9855B" w14:textId="241CDB8C" w:rsidR="00F21FFA" w:rsidRPr="00F21FFA" w:rsidRDefault="00F21FFA" w:rsidP="00645D32">
      <w:pPr>
        <w:pStyle w:val="Bibliography"/>
        <w:numPr>
          <w:ilvl w:val="0"/>
          <w:numId w:val="7"/>
        </w:numPr>
        <w:spacing w:after="120" w:line="276" w:lineRule="auto"/>
        <w:ind w:left="691" w:hanging="432"/>
        <w:jc w:val="left"/>
        <w:rPr>
          <w:rFonts w:cs="Times New Roman"/>
        </w:rPr>
      </w:pPr>
      <w:proofErr w:type="spellStart"/>
      <w:r w:rsidRPr="00F21FFA">
        <w:rPr>
          <w:rFonts w:cs="Times New Roman"/>
        </w:rPr>
        <w:t>Buttriss</w:t>
      </w:r>
      <w:proofErr w:type="spellEnd"/>
      <w:r w:rsidRPr="00F21FFA">
        <w:rPr>
          <w:rFonts w:cs="Times New Roman"/>
        </w:rPr>
        <w:t xml:space="preserve"> J, Welch A, Kearney JM, Lanham-New S, editors. Public health nutrition. 2nd ed. Chichester, West Sussex, UK; Ames, Iowa, USA: John Wiley &amp; Sons, Inc; 2017. </w:t>
      </w:r>
    </w:p>
    <w:p w14:paraId="097DAC1C" w14:textId="021F6114"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Maier W, Buller R, Philipp M, Heuser I. The Hamilton Anxiety Scale: reliability, validity and sensitivity to change in anxiety and depressive disorders. J Affect </w:t>
      </w:r>
      <w:proofErr w:type="spellStart"/>
      <w:r w:rsidRPr="00F21FFA">
        <w:rPr>
          <w:rFonts w:cs="Times New Roman"/>
        </w:rPr>
        <w:t>Disord</w:t>
      </w:r>
      <w:proofErr w:type="spellEnd"/>
      <w:r w:rsidRPr="00F21FFA">
        <w:rPr>
          <w:rFonts w:cs="Times New Roman"/>
        </w:rPr>
        <w:t xml:space="preserve">. 1988 Jan 1;14(1):61–8. </w:t>
      </w:r>
    </w:p>
    <w:p w14:paraId="35405C8E" w14:textId="08DC003B"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Baker A, Simon N, </w:t>
      </w:r>
      <w:proofErr w:type="spellStart"/>
      <w:r w:rsidRPr="00F21FFA">
        <w:rPr>
          <w:rFonts w:cs="Times New Roman"/>
        </w:rPr>
        <w:t>Keshaviah</w:t>
      </w:r>
      <w:proofErr w:type="spellEnd"/>
      <w:r w:rsidRPr="00F21FFA">
        <w:rPr>
          <w:rFonts w:cs="Times New Roman"/>
        </w:rPr>
        <w:t xml:space="preserve"> A, </w:t>
      </w:r>
      <w:proofErr w:type="spellStart"/>
      <w:r w:rsidRPr="00F21FFA">
        <w:rPr>
          <w:rFonts w:cs="Times New Roman"/>
        </w:rPr>
        <w:t>Farabaugh</w:t>
      </w:r>
      <w:proofErr w:type="spellEnd"/>
      <w:r w:rsidRPr="00F21FFA">
        <w:rPr>
          <w:rFonts w:cs="Times New Roman"/>
        </w:rPr>
        <w:t xml:space="preserve"> A, </w:t>
      </w:r>
      <w:proofErr w:type="spellStart"/>
      <w:r w:rsidRPr="00F21FFA">
        <w:rPr>
          <w:rFonts w:cs="Times New Roman"/>
        </w:rPr>
        <w:t>Deckersbach</w:t>
      </w:r>
      <w:proofErr w:type="spellEnd"/>
      <w:r w:rsidRPr="00F21FFA">
        <w:rPr>
          <w:rFonts w:cs="Times New Roman"/>
        </w:rPr>
        <w:t xml:space="preserve"> T, Worthington JJ, et al. Anxiety Symptoms Questionnaire (ASQ): development and validation. Gen </w:t>
      </w:r>
      <w:proofErr w:type="spellStart"/>
      <w:r w:rsidRPr="00F21FFA">
        <w:rPr>
          <w:rFonts w:cs="Times New Roman"/>
        </w:rPr>
        <w:t>Psychiatr</w:t>
      </w:r>
      <w:proofErr w:type="spellEnd"/>
      <w:r w:rsidRPr="00F21FFA">
        <w:rPr>
          <w:rFonts w:cs="Times New Roman"/>
        </w:rPr>
        <w:t>. 2019 Dec 18;32(6</w:t>
      </w:r>
      <w:proofErr w:type="gramStart"/>
      <w:r w:rsidRPr="00F21FFA">
        <w:rPr>
          <w:rFonts w:cs="Times New Roman"/>
        </w:rPr>
        <w:t>):e</w:t>
      </w:r>
      <w:proofErr w:type="gramEnd"/>
      <w:r w:rsidRPr="00F21FFA">
        <w:rPr>
          <w:rFonts w:cs="Times New Roman"/>
        </w:rPr>
        <w:t xml:space="preserve">100144. </w:t>
      </w:r>
    </w:p>
    <w:p w14:paraId="012B77C6" w14:textId="7B01813E"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RFSL. To Ask About Gender and Trans in Surveys [Internet]. RFSL. [cited 2023 Jan 2]. Available from: https://www.rfsl.se/en/lgbtq-facts/to-ask-about-gender-and-trans-in-surveys/</w:t>
      </w:r>
    </w:p>
    <w:p w14:paraId="7B9EA5A4" w14:textId="03C825FF"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Groves RM, editor. Survey methodology. 2nd ed. Hoboken, N.J: Wiley; 2009. </w:t>
      </w:r>
    </w:p>
    <w:p w14:paraId="1045860F" w14:textId="3066635B" w:rsidR="00F21FFA" w:rsidRPr="00F21FFA" w:rsidRDefault="00F21FFA" w:rsidP="00645D32">
      <w:pPr>
        <w:pStyle w:val="Bibliography"/>
        <w:numPr>
          <w:ilvl w:val="0"/>
          <w:numId w:val="7"/>
        </w:numPr>
        <w:spacing w:after="120" w:line="276" w:lineRule="auto"/>
        <w:ind w:left="691" w:hanging="432"/>
        <w:jc w:val="left"/>
        <w:rPr>
          <w:rFonts w:cs="Times New Roman"/>
        </w:rPr>
      </w:pPr>
      <w:r w:rsidRPr="00F21FFA">
        <w:rPr>
          <w:rFonts w:cs="Times New Roman"/>
        </w:rPr>
        <w:t xml:space="preserve">Cameron JJ, Stinson DA. Gender (mis)measurement: Guidelines for respecting gender diversity in psychological research. Soc Personal </w:t>
      </w:r>
      <w:proofErr w:type="spellStart"/>
      <w:r w:rsidRPr="00F21FFA">
        <w:rPr>
          <w:rFonts w:cs="Times New Roman"/>
        </w:rPr>
        <w:t>Psychol</w:t>
      </w:r>
      <w:proofErr w:type="spellEnd"/>
      <w:r w:rsidRPr="00F21FFA">
        <w:rPr>
          <w:rFonts w:cs="Times New Roman"/>
        </w:rPr>
        <w:t xml:space="preserve"> Compass. 2019;13(11</w:t>
      </w:r>
      <w:proofErr w:type="gramStart"/>
      <w:r w:rsidRPr="00F21FFA">
        <w:rPr>
          <w:rFonts w:cs="Times New Roman"/>
        </w:rPr>
        <w:t>):e</w:t>
      </w:r>
      <w:proofErr w:type="gramEnd"/>
      <w:r w:rsidRPr="00F21FFA">
        <w:rPr>
          <w:rFonts w:cs="Times New Roman"/>
        </w:rPr>
        <w:t xml:space="preserve">12506. </w:t>
      </w:r>
    </w:p>
    <w:p w14:paraId="3A872FB0" w14:textId="1DFF3FBE" w:rsidR="00195F4E" w:rsidRPr="00DE0AC1" w:rsidRDefault="00195F4E" w:rsidP="00645D32">
      <w:pPr>
        <w:pStyle w:val="Bibliography"/>
        <w:ind w:left="528"/>
        <w:jc w:val="left"/>
        <w:rPr>
          <w:lang w:val="en-US"/>
        </w:rPr>
      </w:pPr>
    </w:p>
    <w:sectPr w:rsidR="00195F4E" w:rsidRPr="00DE0AC1" w:rsidSect="00FF141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97AF" w14:textId="77777777" w:rsidR="00B45D87" w:rsidRDefault="00B45D87" w:rsidP="00BF771A">
      <w:pPr>
        <w:spacing w:after="0" w:line="240" w:lineRule="auto"/>
      </w:pPr>
      <w:r>
        <w:separator/>
      </w:r>
    </w:p>
  </w:endnote>
  <w:endnote w:type="continuationSeparator" w:id="0">
    <w:p w14:paraId="4AFBC29B" w14:textId="77777777" w:rsidR="00B45D87" w:rsidRDefault="00B45D87" w:rsidP="00BF7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6298" w14:textId="77777777" w:rsidR="00B45D87" w:rsidRDefault="00B45D87" w:rsidP="00BF771A">
      <w:pPr>
        <w:spacing w:after="0" w:line="240" w:lineRule="auto"/>
      </w:pPr>
      <w:r>
        <w:separator/>
      </w:r>
    </w:p>
  </w:footnote>
  <w:footnote w:type="continuationSeparator" w:id="0">
    <w:p w14:paraId="406DADC2" w14:textId="77777777" w:rsidR="00B45D87" w:rsidRDefault="00B45D87" w:rsidP="00BF7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AAF"/>
    <w:multiLevelType w:val="hybridMultilevel"/>
    <w:tmpl w:val="BCD484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0E01CB"/>
    <w:multiLevelType w:val="multilevel"/>
    <w:tmpl w:val="E18A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813E2"/>
    <w:multiLevelType w:val="multilevel"/>
    <w:tmpl w:val="E45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5EAE"/>
    <w:multiLevelType w:val="multilevel"/>
    <w:tmpl w:val="29E80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B069C"/>
    <w:multiLevelType w:val="multilevel"/>
    <w:tmpl w:val="6508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734D6"/>
    <w:multiLevelType w:val="multilevel"/>
    <w:tmpl w:val="69DA5D8C"/>
    <w:lvl w:ilvl="0">
      <w:start w:val="1"/>
      <w:numFmt w:val="decimal"/>
      <w:lvlText w:val="%1."/>
      <w:lvlJc w:val="left"/>
      <w:pPr>
        <w:ind w:left="696" w:firstLine="0"/>
      </w:pPr>
      <w:rPr>
        <w:rFonts w:hint="default"/>
      </w:rPr>
    </w:lvl>
    <w:lvl w:ilvl="1">
      <w:start w:val="1"/>
      <w:numFmt w:val="lowerLetter"/>
      <w:lvlText w:val="%2."/>
      <w:lvlJc w:val="left"/>
      <w:pPr>
        <w:ind w:left="1536" w:hanging="360"/>
      </w:pPr>
      <w:rPr>
        <w:rFonts w:hint="default"/>
      </w:rPr>
    </w:lvl>
    <w:lvl w:ilvl="2">
      <w:start w:val="1"/>
      <w:numFmt w:val="lowerRoman"/>
      <w:lvlText w:val="%3."/>
      <w:lvlJc w:val="right"/>
      <w:pPr>
        <w:ind w:left="2256" w:hanging="360"/>
      </w:pPr>
      <w:rPr>
        <w:rFonts w:hint="default"/>
      </w:rPr>
    </w:lvl>
    <w:lvl w:ilvl="3">
      <w:start w:val="1"/>
      <w:numFmt w:val="decimal"/>
      <w:lvlText w:val="%4."/>
      <w:lvlJc w:val="left"/>
      <w:pPr>
        <w:ind w:left="2976" w:hanging="360"/>
      </w:pPr>
      <w:rPr>
        <w:rFonts w:hint="default"/>
      </w:rPr>
    </w:lvl>
    <w:lvl w:ilvl="4">
      <w:start w:val="1"/>
      <w:numFmt w:val="lowerLetter"/>
      <w:lvlText w:val="%5."/>
      <w:lvlJc w:val="left"/>
      <w:pPr>
        <w:ind w:left="3696" w:hanging="360"/>
      </w:pPr>
      <w:rPr>
        <w:rFonts w:hint="default"/>
      </w:rPr>
    </w:lvl>
    <w:lvl w:ilvl="5">
      <w:start w:val="1"/>
      <w:numFmt w:val="lowerRoman"/>
      <w:lvlText w:val="%6."/>
      <w:lvlJc w:val="right"/>
      <w:pPr>
        <w:ind w:left="4416" w:hanging="360"/>
      </w:pPr>
      <w:rPr>
        <w:rFonts w:hint="default"/>
      </w:rPr>
    </w:lvl>
    <w:lvl w:ilvl="6">
      <w:start w:val="1"/>
      <w:numFmt w:val="decimal"/>
      <w:lvlText w:val="%7."/>
      <w:lvlJc w:val="left"/>
      <w:pPr>
        <w:ind w:left="5136" w:hanging="360"/>
      </w:pPr>
      <w:rPr>
        <w:rFonts w:hint="default"/>
      </w:rPr>
    </w:lvl>
    <w:lvl w:ilvl="7">
      <w:start w:val="1"/>
      <w:numFmt w:val="lowerLetter"/>
      <w:lvlText w:val="%8."/>
      <w:lvlJc w:val="left"/>
      <w:pPr>
        <w:ind w:left="5856" w:hanging="360"/>
      </w:pPr>
      <w:rPr>
        <w:rFonts w:hint="default"/>
      </w:rPr>
    </w:lvl>
    <w:lvl w:ilvl="8">
      <w:start w:val="1"/>
      <w:numFmt w:val="lowerRoman"/>
      <w:lvlText w:val="%9."/>
      <w:lvlJc w:val="right"/>
      <w:pPr>
        <w:ind w:left="6576" w:hanging="360"/>
      </w:pPr>
      <w:rPr>
        <w:rFonts w:hint="default"/>
      </w:rPr>
    </w:lvl>
  </w:abstractNum>
  <w:abstractNum w:abstractNumId="6" w15:restartNumberingAfterBreak="0">
    <w:nsid w:val="79016CD0"/>
    <w:multiLevelType w:val="multilevel"/>
    <w:tmpl w:val="7C0C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51505">
    <w:abstractNumId w:val="1"/>
  </w:num>
  <w:num w:numId="2" w16cid:durableId="369499186">
    <w:abstractNumId w:val="4"/>
  </w:num>
  <w:num w:numId="3" w16cid:durableId="345524309">
    <w:abstractNumId w:val="3"/>
  </w:num>
  <w:num w:numId="4" w16cid:durableId="880943937">
    <w:abstractNumId w:val="2"/>
  </w:num>
  <w:num w:numId="5" w16cid:durableId="347413484">
    <w:abstractNumId w:val="6"/>
  </w:num>
  <w:num w:numId="6" w16cid:durableId="628707346">
    <w:abstractNumId w:val="0"/>
  </w:num>
  <w:num w:numId="7" w16cid:durableId="2103332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5"/>
    <w:rsid w:val="00031CA8"/>
    <w:rsid w:val="00057580"/>
    <w:rsid w:val="000717A2"/>
    <w:rsid w:val="00081B61"/>
    <w:rsid w:val="0015023B"/>
    <w:rsid w:val="00153C85"/>
    <w:rsid w:val="00167848"/>
    <w:rsid w:val="00195F4E"/>
    <w:rsid w:val="001D0537"/>
    <w:rsid w:val="001D5B67"/>
    <w:rsid w:val="001E12FA"/>
    <w:rsid w:val="00222683"/>
    <w:rsid w:val="002363A0"/>
    <w:rsid w:val="00270A80"/>
    <w:rsid w:val="002A2E2B"/>
    <w:rsid w:val="002D52A7"/>
    <w:rsid w:val="00344B8F"/>
    <w:rsid w:val="00384F45"/>
    <w:rsid w:val="003D275E"/>
    <w:rsid w:val="003F0B30"/>
    <w:rsid w:val="00402C30"/>
    <w:rsid w:val="004231C5"/>
    <w:rsid w:val="00447559"/>
    <w:rsid w:val="004945EF"/>
    <w:rsid w:val="004D1853"/>
    <w:rsid w:val="004F1E62"/>
    <w:rsid w:val="004F512A"/>
    <w:rsid w:val="00505B27"/>
    <w:rsid w:val="00506BAC"/>
    <w:rsid w:val="00531F48"/>
    <w:rsid w:val="005350A8"/>
    <w:rsid w:val="005445B2"/>
    <w:rsid w:val="00563864"/>
    <w:rsid w:val="005B71CF"/>
    <w:rsid w:val="005C0A4A"/>
    <w:rsid w:val="005D4FD8"/>
    <w:rsid w:val="005D7F83"/>
    <w:rsid w:val="005E7D6A"/>
    <w:rsid w:val="005F47ED"/>
    <w:rsid w:val="00603B4A"/>
    <w:rsid w:val="006145B6"/>
    <w:rsid w:val="0061571D"/>
    <w:rsid w:val="00615B7D"/>
    <w:rsid w:val="00617050"/>
    <w:rsid w:val="00636720"/>
    <w:rsid w:val="00645D32"/>
    <w:rsid w:val="006962B9"/>
    <w:rsid w:val="006B48C8"/>
    <w:rsid w:val="006B5338"/>
    <w:rsid w:val="006C557E"/>
    <w:rsid w:val="006C6D2D"/>
    <w:rsid w:val="006E2EB0"/>
    <w:rsid w:val="00700D01"/>
    <w:rsid w:val="00724FB1"/>
    <w:rsid w:val="00727309"/>
    <w:rsid w:val="007B54D4"/>
    <w:rsid w:val="007D09F7"/>
    <w:rsid w:val="007E2CCF"/>
    <w:rsid w:val="00826778"/>
    <w:rsid w:val="00833368"/>
    <w:rsid w:val="00834826"/>
    <w:rsid w:val="00882868"/>
    <w:rsid w:val="008900CC"/>
    <w:rsid w:val="008A398A"/>
    <w:rsid w:val="008B0440"/>
    <w:rsid w:val="008B2F85"/>
    <w:rsid w:val="008C2E4B"/>
    <w:rsid w:val="008C7FE9"/>
    <w:rsid w:val="0096063E"/>
    <w:rsid w:val="00960AB0"/>
    <w:rsid w:val="00971B02"/>
    <w:rsid w:val="009763D6"/>
    <w:rsid w:val="00985D78"/>
    <w:rsid w:val="00990F22"/>
    <w:rsid w:val="009A07FA"/>
    <w:rsid w:val="009B5DA2"/>
    <w:rsid w:val="009C5E4C"/>
    <w:rsid w:val="00A020E5"/>
    <w:rsid w:val="00A2110B"/>
    <w:rsid w:val="00A2297B"/>
    <w:rsid w:val="00A24920"/>
    <w:rsid w:val="00A433DB"/>
    <w:rsid w:val="00A57B9F"/>
    <w:rsid w:val="00A63D22"/>
    <w:rsid w:val="00A74880"/>
    <w:rsid w:val="00AA2DB0"/>
    <w:rsid w:val="00AF18C8"/>
    <w:rsid w:val="00AF4F1C"/>
    <w:rsid w:val="00B205F2"/>
    <w:rsid w:val="00B45D87"/>
    <w:rsid w:val="00B7220B"/>
    <w:rsid w:val="00B9591F"/>
    <w:rsid w:val="00BC6C8D"/>
    <w:rsid w:val="00BD3FA7"/>
    <w:rsid w:val="00BF771A"/>
    <w:rsid w:val="00C03B0A"/>
    <w:rsid w:val="00C05B12"/>
    <w:rsid w:val="00C3273F"/>
    <w:rsid w:val="00C67B7D"/>
    <w:rsid w:val="00C71F04"/>
    <w:rsid w:val="00CA6311"/>
    <w:rsid w:val="00CD0178"/>
    <w:rsid w:val="00CE2954"/>
    <w:rsid w:val="00CF200D"/>
    <w:rsid w:val="00D1339E"/>
    <w:rsid w:val="00D33747"/>
    <w:rsid w:val="00D672D9"/>
    <w:rsid w:val="00D82BB9"/>
    <w:rsid w:val="00D9792F"/>
    <w:rsid w:val="00DA0EF8"/>
    <w:rsid w:val="00DA1020"/>
    <w:rsid w:val="00DC5A07"/>
    <w:rsid w:val="00DD689B"/>
    <w:rsid w:val="00DE0AC1"/>
    <w:rsid w:val="00DE562D"/>
    <w:rsid w:val="00DF0AD7"/>
    <w:rsid w:val="00E13A06"/>
    <w:rsid w:val="00E81E30"/>
    <w:rsid w:val="00E83FBB"/>
    <w:rsid w:val="00E90735"/>
    <w:rsid w:val="00E92503"/>
    <w:rsid w:val="00EB7655"/>
    <w:rsid w:val="00EE15A3"/>
    <w:rsid w:val="00EF34FE"/>
    <w:rsid w:val="00F025CB"/>
    <w:rsid w:val="00F048E4"/>
    <w:rsid w:val="00F21FFA"/>
    <w:rsid w:val="00F540AC"/>
    <w:rsid w:val="00F6074F"/>
    <w:rsid w:val="00F764CA"/>
    <w:rsid w:val="00F90D32"/>
    <w:rsid w:val="00FB573B"/>
    <w:rsid w:val="00FB7BD2"/>
    <w:rsid w:val="00FF141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16CB4"/>
  <w15:chartTrackingRefBased/>
  <w15:docId w15:val="{C331F7F6-F0CE-4798-AEC2-CDA54CF6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4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7220B"/>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7220B"/>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0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B7220B"/>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1E12F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E12FA"/>
    <w:rPr>
      <w:rFonts w:ascii="Times New Roman" w:eastAsiaTheme="majorEastAsia" w:hAnsi="Times New Roman" w:cstheme="majorBidi"/>
      <w:spacing w:val="-10"/>
      <w:kern w:val="28"/>
      <w:sz w:val="56"/>
      <w:szCs w:val="56"/>
    </w:rPr>
  </w:style>
  <w:style w:type="character" w:styleId="CommentReference">
    <w:name w:val="annotation reference"/>
    <w:basedOn w:val="DefaultParagraphFont"/>
    <w:uiPriority w:val="99"/>
    <w:semiHidden/>
    <w:unhideWhenUsed/>
    <w:rsid w:val="001E12FA"/>
    <w:rPr>
      <w:sz w:val="16"/>
      <w:szCs w:val="16"/>
    </w:rPr>
  </w:style>
  <w:style w:type="paragraph" w:styleId="CommentText">
    <w:name w:val="annotation text"/>
    <w:basedOn w:val="Normal"/>
    <w:link w:val="CommentTextChar"/>
    <w:uiPriority w:val="99"/>
    <w:unhideWhenUsed/>
    <w:rsid w:val="001E12FA"/>
    <w:pPr>
      <w:spacing w:line="240" w:lineRule="auto"/>
    </w:pPr>
    <w:rPr>
      <w:sz w:val="20"/>
      <w:szCs w:val="20"/>
    </w:rPr>
  </w:style>
  <w:style w:type="character" w:customStyle="1" w:styleId="CommentTextChar">
    <w:name w:val="Comment Text Char"/>
    <w:basedOn w:val="DefaultParagraphFont"/>
    <w:link w:val="CommentText"/>
    <w:uiPriority w:val="99"/>
    <w:rsid w:val="001E12F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E12FA"/>
    <w:rPr>
      <w:b/>
      <w:bCs/>
    </w:rPr>
  </w:style>
  <w:style w:type="character" w:customStyle="1" w:styleId="CommentSubjectChar">
    <w:name w:val="Comment Subject Char"/>
    <w:basedOn w:val="CommentTextChar"/>
    <w:link w:val="CommentSubject"/>
    <w:uiPriority w:val="99"/>
    <w:semiHidden/>
    <w:rsid w:val="001E12FA"/>
    <w:rPr>
      <w:rFonts w:ascii="Times New Roman" w:hAnsi="Times New Roman"/>
      <w:b/>
      <w:bCs/>
      <w:sz w:val="20"/>
      <w:szCs w:val="20"/>
    </w:rPr>
  </w:style>
  <w:style w:type="character" w:customStyle="1" w:styleId="textlayer--absolute">
    <w:name w:val="textlayer--absolute"/>
    <w:basedOn w:val="DefaultParagraphFont"/>
    <w:rsid w:val="001E12FA"/>
  </w:style>
  <w:style w:type="paragraph" w:styleId="Bibliography">
    <w:name w:val="Bibliography"/>
    <w:basedOn w:val="Normal"/>
    <w:next w:val="Normal"/>
    <w:uiPriority w:val="37"/>
    <w:unhideWhenUsed/>
    <w:rsid w:val="00344B8F"/>
    <w:pPr>
      <w:tabs>
        <w:tab w:val="left" w:pos="264"/>
      </w:tabs>
      <w:spacing w:after="240" w:line="240" w:lineRule="auto"/>
      <w:ind w:left="264" w:hanging="264"/>
    </w:pPr>
  </w:style>
  <w:style w:type="paragraph" w:styleId="NormalWeb">
    <w:name w:val="Normal (Web)"/>
    <w:basedOn w:val="Normal"/>
    <w:uiPriority w:val="99"/>
    <w:semiHidden/>
    <w:unhideWhenUsed/>
    <w:rsid w:val="00617050"/>
    <w:rPr>
      <w:rFonts w:cs="Times New Roman"/>
      <w:szCs w:val="24"/>
    </w:rPr>
  </w:style>
  <w:style w:type="character" w:styleId="PlaceholderText">
    <w:name w:val="Placeholder Text"/>
    <w:basedOn w:val="DefaultParagraphFont"/>
    <w:uiPriority w:val="99"/>
    <w:semiHidden/>
    <w:rsid w:val="00A74880"/>
    <w:rPr>
      <w:color w:val="808080"/>
    </w:rPr>
  </w:style>
  <w:style w:type="paragraph" w:styleId="Revision">
    <w:name w:val="Revision"/>
    <w:hidden/>
    <w:uiPriority w:val="99"/>
    <w:semiHidden/>
    <w:rsid w:val="00057580"/>
    <w:pPr>
      <w:spacing w:after="0" w:line="240" w:lineRule="auto"/>
    </w:pPr>
    <w:rPr>
      <w:rFonts w:ascii="Times New Roman" w:hAnsi="Times New Roman"/>
      <w:sz w:val="24"/>
    </w:rPr>
  </w:style>
  <w:style w:type="character" w:customStyle="1" w:styleId="red-underline">
    <w:name w:val="red-underline"/>
    <w:basedOn w:val="DefaultParagraphFont"/>
    <w:rsid w:val="00D672D9"/>
  </w:style>
  <w:style w:type="paragraph" w:styleId="Header">
    <w:name w:val="header"/>
    <w:basedOn w:val="Normal"/>
    <w:link w:val="HeaderChar"/>
    <w:uiPriority w:val="99"/>
    <w:unhideWhenUsed/>
    <w:rsid w:val="00BF7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71A"/>
    <w:rPr>
      <w:rFonts w:ascii="Times New Roman" w:hAnsi="Times New Roman"/>
      <w:sz w:val="24"/>
    </w:rPr>
  </w:style>
  <w:style w:type="paragraph" w:styleId="Footer">
    <w:name w:val="footer"/>
    <w:basedOn w:val="Normal"/>
    <w:link w:val="FooterChar"/>
    <w:uiPriority w:val="99"/>
    <w:unhideWhenUsed/>
    <w:rsid w:val="00BF7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7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199">
      <w:bodyDiv w:val="1"/>
      <w:marLeft w:val="0"/>
      <w:marRight w:val="0"/>
      <w:marTop w:val="0"/>
      <w:marBottom w:val="0"/>
      <w:divBdr>
        <w:top w:val="none" w:sz="0" w:space="0" w:color="auto"/>
        <w:left w:val="none" w:sz="0" w:space="0" w:color="auto"/>
        <w:bottom w:val="none" w:sz="0" w:space="0" w:color="auto"/>
        <w:right w:val="none" w:sz="0" w:space="0" w:color="auto"/>
      </w:divBdr>
      <w:divsChild>
        <w:div w:id="1113404441">
          <w:marLeft w:val="0"/>
          <w:marRight w:val="0"/>
          <w:marTop w:val="0"/>
          <w:marBottom w:val="0"/>
          <w:divBdr>
            <w:top w:val="none" w:sz="0" w:space="0" w:color="auto"/>
            <w:left w:val="none" w:sz="0" w:space="0" w:color="auto"/>
            <w:bottom w:val="none" w:sz="0" w:space="0" w:color="auto"/>
            <w:right w:val="none" w:sz="0" w:space="0" w:color="auto"/>
          </w:divBdr>
        </w:div>
        <w:div w:id="717434746">
          <w:marLeft w:val="0"/>
          <w:marRight w:val="0"/>
          <w:marTop w:val="0"/>
          <w:marBottom w:val="0"/>
          <w:divBdr>
            <w:top w:val="none" w:sz="0" w:space="0" w:color="auto"/>
            <w:left w:val="none" w:sz="0" w:space="0" w:color="auto"/>
            <w:bottom w:val="none" w:sz="0" w:space="0" w:color="auto"/>
            <w:right w:val="none" w:sz="0" w:space="0" w:color="auto"/>
          </w:divBdr>
        </w:div>
      </w:divsChild>
    </w:div>
    <w:div w:id="44525840">
      <w:bodyDiv w:val="1"/>
      <w:marLeft w:val="0"/>
      <w:marRight w:val="0"/>
      <w:marTop w:val="0"/>
      <w:marBottom w:val="0"/>
      <w:divBdr>
        <w:top w:val="none" w:sz="0" w:space="0" w:color="auto"/>
        <w:left w:val="none" w:sz="0" w:space="0" w:color="auto"/>
        <w:bottom w:val="none" w:sz="0" w:space="0" w:color="auto"/>
        <w:right w:val="none" w:sz="0" w:space="0" w:color="auto"/>
      </w:divBdr>
    </w:div>
    <w:div w:id="49814900">
      <w:bodyDiv w:val="1"/>
      <w:marLeft w:val="0"/>
      <w:marRight w:val="0"/>
      <w:marTop w:val="0"/>
      <w:marBottom w:val="0"/>
      <w:divBdr>
        <w:top w:val="none" w:sz="0" w:space="0" w:color="auto"/>
        <w:left w:val="none" w:sz="0" w:space="0" w:color="auto"/>
        <w:bottom w:val="none" w:sz="0" w:space="0" w:color="auto"/>
        <w:right w:val="none" w:sz="0" w:space="0" w:color="auto"/>
      </w:divBdr>
    </w:div>
    <w:div w:id="50277437">
      <w:bodyDiv w:val="1"/>
      <w:marLeft w:val="0"/>
      <w:marRight w:val="0"/>
      <w:marTop w:val="0"/>
      <w:marBottom w:val="0"/>
      <w:divBdr>
        <w:top w:val="none" w:sz="0" w:space="0" w:color="auto"/>
        <w:left w:val="none" w:sz="0" w:space="0" w:color="auto"/>
        <w:bottom w:val="none" w:sz="0" w:space="0" w:color="auto"/>
        <w:right w:val="none" w:sz="0" w:space="0" w:color="auto"/>
      </w:divBdr>
    </w:div>
    <w:div w:id="58984084">
      <w:bodyDiv w:val="1"/>
      <w:marLeft w:val="0"/>
      <w:marRight w:val="0"/>
      <w:marTop w:val="0"/>
      <w:marBottom w:val="0"/>
      <w:divBdr>
        <w:top w:val="none" w:sz="0" w:space="0" w:color="auto"/>
        <w:left w:val="none" w:sz="0" w:space="0" w:color="auto"/>
        <w:bottom w:val="none" w:sz="0" w:space="0" w:color="auto"/>
        <w:right w:val="none" w:sz="0" w:space="0" w:color="auto"/>
      </w:divBdr>
    </w:div>
    <w:div w:id="119224348">
      <w:bodyDiv w:val="1"/>
      <w:marLeft w:val="0"/>
      <w:marRight w:val="0"/>
      <w:marTop w:val="0"/>
      <w:marBottom w:val="0"/>
      <w:divBdr>
        <w:top w:val="none" w:sz="0" w:space="0" w:color="auto"/>
        <w:left w:val="none" w:sz="0" w:space="0" w:color="auto"/>
        <w:bottom w:val="none" w:sz="0" w:space="0" w:color="auto"/>
        <w:right w:val="none" w:sz="0" w:space="0" w:color="auto"/>
      </w:divBdr>
    </w:div>
    <w:div w:id="137843937">
      <w:bodyDiv w:val="1"/>
      <w:marLeft w:val="0"/>
      <w:marRight w:val="0"/>
      <w:marTop w:val="0"/>
      <w:marBottom w:val="0"/>
      <w:divBdr>
        <w:top w:val="none" w:sz="0" w:space="0" w:color="auto"/>
        <w:left w:val="none" w:sz="0" w:space="0" w:color="auto"/>
        <w:bottom w:val="none" w:sz="0" w:space="0" w:color="auto"/>
        <w:right w:val="none" w:sz="0" w:space="0" w:color="auto"/>
      </w:divBdr>
    </w:div>
    <w:div w:id="176962643">
      <w:bodyDiv w:val="1"/>
      <w:marLeft w:val="0"/>
      <w:marRight w:val="0"/>
      <w:marTop w:val="0"/>
      <w:marBottom w:val="0"/>
      <w:divBdr>
        <w:top w:val="none" w:sz="0" w:space="0" w:color="auto"/>
        <w:left w:val="none" w:sz="0" w:space="0" w:color="auto"/>
        <w:bottom w:val="none" w:sz="0" w:space="0" w:color="auto"/>
        <w:right w:val="none" w:sz="0" w:space="0" w:color="auto"/>
      </w:divBdr>
    </w:div>
    <w:div w:id="243342907">
      <w:bodyDiv w:val="1"/>
      <w:marLeft w:val="0"/>
      <w:marRight w:val="0"/>
      <w:marTop w:val="0"/>
      <w:marBottom w:val="0"/>
      <w:divBdr>
        <w:top w:val="none" w:sz="0" w:space="0" w:color="auto"/>
        <w:left w:val="none" w:sz="0" w:space="0" w:color="auto"/>
        <w:bottom w:val="none" w:sz="0" w:space="0" w:color="auto"/>
        <w:right w:val="none" w:sz="0" w:space="0" w:color="auto"/>
      </w:divBdr>
    </w:div>
    <w:div w:id="327563410">
      <w:bodyDiv w:val="1"/>
      <w:marLeft w:val="0"/>
      <w:marRight w:val="0"/>
      <w:marTop w:val="0"/>
      <w:marBottom w:val="0"/>
      <w:divBdr>
        <w:top w:val="none" w:sz="0" w:space="0" w:color="auto"/>
        <w:left w:val="none" w:sz="0" w:space="0" w:color="auto"/>
        <w:bottom w:val="none" w:sz="0" w:space="0" w:color="auto"/>
        <w:right w:val="none" w:sz="0" w:space="0" w:color="auto"/>
      </w:divBdr>
    </w:div>
    <w:div w:id="424348760">
      <w:bodyDiv w:val="1"/>
      <w:marLeft w:val="0"/>
      <w:marRight w:val="0"/>
      <w:marTop w:val="0"/>
      <w:marBottom w:val="0"/>
      <w:divBdr>
        <w:top w:val="none" w:sz="0" w:space="0" w:color="auto"/>
        <w:left w:val="none" w:sz="0" w:space="0" w:color="auto"/>
        <w:bottom w:val="none" w:sz="0" w:space="0" w:color="auto"/>
        <w:right w:val="none" w:sz="0" w:space="0" w:color="auto"/>
      </w:divBdr>
    </w:div>
    <w:div w:id="571545612">
      <w:bodyDiv w:val="1"/>
      <w:marLeft w:val="0"/>
      <w:marRight w:val="0"/>
      <w:marTop w:val="0"/>
      <w:marBottom w:val="0"/>
      <w:divBdr>
        <w:top w:val="none" w:sz="0" w:space="0" w:color="auto"/>
        <w:left w:val="none" w:sz="0" w:space="0" w:color="auto"/>
        <w:bottom w:val="none" w:sz="0" w:space="0" w:color="auto"/>
        <w:right w:val="none" w:sz="0" w:space="0" w:color="auto"/>
      </w:divBdr>
      <w:divsChild>
        <w:div w:id="114914648">
          <w:marLeft w:val="0"/>
          <w:marRight w:val="0"/>
          <w:marTop w:val="0"/>
          <w:marBottom w:val="0"/>
          <w:divBdr>
            <w:top w:val="none" w:sz="0" w:space="0" w:color="auto"/>
            <w:left w:val="none" w:sz="0" w:space="0" w:color="auto"/>
            <w:bottom w:val="none" w:sz="0" w:space="0" w:color="auto"/>
            <w:right w:val="none" w:sz="0" w:space="0" w:color="auto"/>
          </w:divBdr>
        </w:div>
        <w:div w:id="1334265221">
          <w:marLeft w:val="0"/>
          <w:marRight w:val="0"/>
          <w:marTop w:val="0"/>
          <w:marBottom w:val="0"/>
          <w:divBdr>
            <w:top w:val="none" w:sz="0" w:space="0" w:color="auto"/>
            <w:left w:val="none" w:sz="0" w:space="0" w:color="auto"/>
            <w:bottom w:val="none" w:sz="0" w:space="0" w:color="auto"/>
            <w:right w:val="none" w:sz="0" w:space="0" w:color="auto"/>
          </w:divBdr>
        </w:div>
      </w:divsChild>
    </w:div>
    <w:div w:id="602298400">
      <w:bodyDiv w:val="1"/>
      <w:marLeft w:val="0"/>
      <w:marRight w:val="0"/>
      <w:marTop w:val="0"/>
      <w:marBottom w:val="0"/>
      <w:divBdr>
        <w:top w:val="none" w:sz="0" w:space="0" w:color="auto"/>
        <w:left w:val="none" w:sz="0" w:space="0" w:color="auto"/>
        <w:bottom w:val="none" w:sz="0" w:space="0" w:color="auto"/>
        <w:right w:val="none" w:sz="0" w:space="0" w:color="auto"/>
      </w:divBdr>
      <w:divsChild>
        <w:div w:id="440802254">
          <w:marLeft w:val="0"/>
          <w:marRight w:val="0"/>
          <w:marTop w:val="0"/>
          <w:marBottom w:val="0"/>
          <w:divBdr>
            <w:top w:val="none" w:sz="0" w:space="0" w:color="auto"/>
            <w:left w:val="none" w:sz="0" w:space="0" w:color="auto"/>
            <w:bottom w:val="none" w:sz="0" w:space="0" w:color="auto"/>
            <w:right w:val="none" w:sz="0" w:space="0" w:color="auto"/>
          </w:divBdr>
        </w:div>
        <w:div w:id="1291395085">
          <w:marLeft w:val="0"/>
          <w:marRight w:val="0"/>
          <w:marTop w:val="0"/>
          <w:marBottom w:val="0"/>
          <w:divBdr>
            <w:top w:val="none" w:sz="0" w:space="0" w:color="auto"/>
            <w:left w:val="none" w:sz="0" w:space="0" w:color="auto"/>
            <w:bottom w:val="none" w:sz="0" w:space="0" w:color="auto"/>
            <w:right w:val="none" w:sz="0" w:space="0" w:color="auto"/>
          </w:divBdr>
        </w:div>
      </w:divsChild>
    </w:div>
    <w:div w:id="653681440">
      <w:bodyDiv w:val="1"/>
      <w:marLeft w:val="0"/>
      <w:marRight w:val="0"/>
      <w:marTop w:val="0"/>
      <w:marBottom w:val="0"/>
      <w:divBdr>
        <w:top w:val="none" w:sz="0" w:space="0" w:color="auto"/>
        <w:left w:val="none" w:sz="0" w:space="0" w:color="auto"/>
        <w:bottom w:val="none" w:sz="0" w:space="0" w:color="auto"/>
        <w:right w:val="none" w:sz="0" w:space="0" w:color="auto"/>
      </w:divBdr>
    </w:div>
    <w:div w:id="679165581">
      <w:bodyDiv w:val="1"/>
      <w:marLeft w:val="0"/>
      <w:marRight w:val="0"/>
      <w:marTop w:val="0"/>
      <w:marBottom w:val="0"/>
      <w:divBdr>
        <w:top w:val="none" w:sz="0" w:space="0" w:color="auto"/>
        <w:left w:val="none" w:sz="0" w:space="0" w:color="auto"/>
        <w:bottom w:val="none" w:sz="0" w:space="0" w:color="auto"/>
        <w:right w:val="none" w:sz="0" w:space="0" w:color="auto"/>
      </w:divBdr>
      <w:divsChild>
        <w:div w:id="1224412759">
          <w:marLeft w:val="0"/>
          <w:marRight w:val="0"/>
          <w:marTop w:val="0"/>
          <w:marBottom w:val="0"/>
          <w:divBdr>
            <w:top w:val="none" w:sz="0" w:space="0" w:color="auto"/>
            <w:left w:val="none" w:sz="0" w:space="0" w:color="auto"/>
            <w:bottom w:val="none" w:sz="0" w:space="0" w:color="auto"/>
            <w:right w:val="none" w:sz="0" w:space="0" w:color="auto"/>
          </w:divBdr>
        </w:div>
        <w:div w:id="609894799">
          <w:marLeft w:val="0"/>
          <w:marRight w:val="0"/>
          <w:marTop w:val="0"/>
          <w:marBottom w:val="0"/>
          <w:divBdr>
            <w:top w:val="none" w:sz="0" w:space="0" w:color="auto"/>
            <w:left w:val="none" w:sz="0" w:space="0" w:color="auto"/>
            <w:bottom w:val="none" w:sz="0" w:space="0" w:color="auto"/>
            <w:right w:val="none" w:sz="0" w:space="0" w:color="auto"/>
          </w:divBdr>
        </w:div>
      </w:divsChild>
    </w:div>
    <w:div w:id="692610092">
      <w:bodyDiv w:val="1"/>
      <w:marLeft w:val="0"/>
      <w:marRight w:val="0"/>
      <w:marTop w:val="0"/>
      <w:marBottom w:val="0"/>
      <w:divBdr>
        <w:top w:val="none" w:sz="0" w:space="0" w:color="auto"/>
        <w:left w:val="none" w:sz="0" w:space="0" w:color="auto"/>
        <w:bottom w:val="none" w:sz="0" w:space="0" w:color="auto"/>
        <w:right w:val="none" w:sz="0" w:space="0" w:color="auto"/>
      </w:divBdr>
    </w:div>
    <w:div w:id="700326567">
      <w:bodyDiv w:val="1"/>
      <w:marLeft w:val="0"/>
      <w:marRight w:val="0"/>
      <w:marTop w:val="0"/>
      <w:marBottom w:val="0"/>
      <w:divBdr>
        <w:top w:val="none" w:sz="0" w:space="0" w:color="auto"/>
        <w:left w:val="none" w:sz="0" w:space="0" w:color="auto"/>
        <w:bottom w:val="none" w:sz="0" w:space="0" w:color="auto"/>
        <w:right w:val="none" w:sz="0" w:space="0" w:color="auto"/>
      </w:divBdr>
    </w:div>
    <w:div w:id="731538976">
      <w:bodyDiv w:val="1"/>
      <w:marLeft w:val="0"/>
      <w:marRight w:val="0"/>
      <w:marTop w:val="0"/>
      <w:marBottom w:val="0"/>
      <w:divBdr>
        <w:top w:val="none" w:sz="0" w:space="0" w:color="auto"/>
        <w:left w:val="none" w:sz="0" w:space="0" w:color="auto"/>
        <w:bottom w:val="none" w:sz="0" w:space="0" w:color="auto"/>
        <w:right w:val="none" w:sz="0" w:space="0" w:color="auto"/>
      </w:divBdr>
    </w:div>
    <w:div w:id="737749051">
      <w:bodyDiv w:val="1"/>
      <w:marLeft w:val="0"/>
      <w:marRight w:val="0"/>
      <w:marTop w:val="0"/>
      <w:marBottom w:val="0"/>
      <w:divBdr>
        <w:top w:val="none" w:sz="0" w:space="0" w:color="auto"/>
        <w:left w:val="none" w:sz="0" w:space="0" w:color="auto"/>
        <w:bottom w:val="none" w:sz="0" w:space="0" w:color="auto"/>
        <w:right w:val="none" w:sz="0" w:space="0" w:color="auto"/>
      </w:divBdr>
    </w:div>
    <w:div w:id="799691385">
      <w:bodyDiv w:val="1"/>
      <w:marLeft w:val="0"/>
      <w:marRight w:val="0"/>
      <w:marTop w:val="0"/>
      <w:marBottom w:val="0"/>
      <w:divBdr>
        <w:top w:val="none" w:sz="0" w:space="0" w:color="auto"/>
        <w:left w:val="none" w:sz="0" w:space="0" w:color="auto"/>
        <w:bottom w:val="none" w:sz="0" w:space="0" w:color="auto"/>
        <w:right w:val="none" w:sz="0" w:space="0" w:color="auto"/>
      </w:divBdr>
    </w:div>
    <w:div w:id="811680053">
      <w:bodyDiv w:val="1"/>
      <w:marLeft w:val="0"/>
      <w:marRight w:val="0"/>
      <w:marTop w:val="0"/>
      <w:marBottom w:val="0"/>
      <w:divBdr>
        <w:top w:val="none" w:sz="0" w:space="0" w:color="auto"/>
        <w:left w:val="none" w:sz="0" w:space="0" w:color="auto"/>
        <w:bottom w:val="none" w:sz="0" w:space="0" w:color="auto"/>
        <w:right w:val="none" w:sz="0" w:space="0" w:color="auto"/>
      </w:divBdr>
    </w:div>
    <w:div w:id="828054898">
      <w:bodyDiv w:val="1"/>
      <w:marLeft w:val="0"/>
      <w:marRight w:val="0"/>
      <w:marTop w:val="0"/>
      <w:marBottom w:val="0"/>
      <w:divBdr>
        <w:top w:val="none" w:sz="0" w:space="0" w:color="auto"/>
        <w:left w:val="none" w:sz="0" w:space="0" w:color="auto"/>
        <w:bottom w:val="none" w:sz="0" w:space="0" w:color="auto"/>
        <w:right w:val="none" w:sz="0" w:space="0" w:color="auto"/>
      </w:divBdr>
    </w:div>
    <w:div w:id="835807756">
      <w:bodyDiv w:val="1"/>
      <w:marLeft w:val="0"/>
      <w:marRight w:val="0"/>
      <w:marTop w:val="0"/>
      <w:marBottom w:val="0"/>
      <w:divBdr>
        <w:top w:val="none" w:sz="0" w:space="0" w:color="auto"/>
        <w:left w:val="none" w:sz="0" w:space="0" w:color="auto"/>
        <w:bottom w:val="none" w:sz="0" w:space="0" w:color="auto"/>
        <w:right w:val="none" w:sz="0" w:space="0" w:color="auto"/>
      </w:divBdr>
    </w:div>
    <w:div w:id="885676422">
      <w:bodyDiv w:val="1"/>
      <w:marLeft w:val="0"/>
      <w:marRight w:val="0"/>
      <w:marTop w:val="0"/>
      <w:marBottom w:val="0"/>
      <w:divBdr>
        <w:top w:val="none" w:sz="0" w:space="0" w:color="auto"/>
        <w:left w:val="none" w:sz="0" w:space="0" w:color="auto"/>
        <w:bottom w:val="none" w:sz="0" w:space="0" w:color="auto"/>
        <w:right w:val="none" w:sz="0" w:space="0" w:color="auto"/>
      </w:divBdr>
    </w:div>
    <w:div w:id="952519940">
      <w:bodyDiv w:val="1"/>
      <w:marLeft w:val="0"/>
      <w:marRight w:val="0"/>
      <w:marTop w:val="0"/>
      <w:marBottom w:val="0"/>
      <w:divBdr>
        <w:top w:val="none" w:sz="0" w:space="0" w:color="auto"/>
        <w:left w:val="none" w:sz="0" w:space="0" w:color="auto"/>
        <w:bottom w:val="none" w:sz="0" w:space="0" w:color="auto"/>
        <w:right w:val="none" w:sz="0" w:space="0" w:color="auto"/>
      </w:divBdr>
    </w:div>
    <w:div w:id="967855370">
      <w:bodyDiv w:val="1"/>
      <w:marLeft w:val="0"/>
      <w:marRight w:val="0"/>
      <w:marTop w:val="0"/>
      <w:marBottom w:val="0"/>
      <w:divBdr>
        <w:top w:val="none" w:sz="0" w:space="0" w:color="auto"/>
        <w:left w:val="none" w:sz="0" w:space="0" w:color="auto"/>
        <w:bottom w:val="none" w:sz="0" w:space="0" w:color="auto"/>
        <w:right w:val="none" w:sz="0" w:space="0" w:color="auto"/>
      </w:divBdr>
    </w:div>
    <w:div w:id="982083145">
      <w:bodyDiv w:val="1"/>
      <w:marLeft w:val="0"/>
      <w:marRight w:val="0"/>
      <w:marTop w:val="0"/>
      <w:marBottom w:val="0"/>
      <w:divBdr>
        <w:top w:val="none" w:sz="0" w:space="0" w:color="auto"/>
        <w:left w:val="none" w:sz="0" w:space="0" w:color="auto"/>
        <w:bottom w:val="none" w:sz="0" w:space="0" w:color="auto"/>
        <w:right w:val="none" w:sz="0" w:space="0" w:color="auto"/>
      </w:divBdr>
    </w:div>
    <w:div w:id="1020820317">
      <w:bodyDiv w:val="1"/>
      <w:marLeft w:val="0"/>
      <w:marRight w:val="0"/>
      <w:marTop w:val="0"/>
      <w:marBottom w:val="0"/>
      <w:divBdr>
        <w:top w:val="none" w:sz="0" w:space="0" w:color="auto"/>
        <w:left w:val="none" w:sz="0" w:space="0" w:color="auto"/>
        <w:bottom w:val="none" w:sz="0" w:space="0" w:color="auto"/>
        <w:right w:val="none" w:sz="0" w:space="0" w:color="auto"/>
      </w:divBdr>
    </w:div>
    <w:div w:id="1055395780">
      <w:bodyDiv w:val="1"/>
      <w:marLeft w:val="0"/>
      <w:marRight w:val="0"/>
      <w:marTop w:val="0"/>
      <w:marBottom w:val="0"/>
      <w:divBdr>
        <w:top w:val="none" w:sz="0" w:space="0" w:color="auto"/>
        <w:left w:val="none" w:sz="0" w:space="0" w:color="auto"/>
        <w:bottom w:val="none" w:sz="0" w:space="0" w:color="auto"/>
        <w:right w:val="none" w:sz="0" w:space="0" w:color="auto"/>
      </w:divBdr>
    </w:div>
    <w:div w:id="1103455708">
      <w:bodyDiv w:val="1"/>
      <w:marLeft w:val="0"/>
      <w:marRight w:val="0"/>
      <w:marTop w:val="0"/>
      <w:marBottom w:val="0"/>
      <w:divBdr>
        <w:top w:val="none" w:sz="0" w:space="0" w:color="auto"/>
        <w:left w:val="none" w:sz="0" w:space="0" w:color="auto"/>
        <w:bottom w:val="none" w:sz="0" w:space="0" w:color="auto"/>
        <w:right w:val="none" w:sz="0" w:space="0" w:color="auto"/>
      </w:divBdr>
    </w:div>
    <w:div w:id="1235748402">
      <w:bodyDiv w:val="1"/>
      <w:marLeft w:val="0"/>
      <w:marRight w:val="0"/>
      <w:marTop w:val="0"/>
      <w:marBottom w:val="0"/>
      <w:divBdr>
        <w:top w:val="none" w:sz="0" w:space="0" w:color="auto"/>
        <w:left w:val="none" w:sz="0" w:space="0" w:color="auto"/>
        <w:bottom w:val="none" w:sz="0" w:space="0" w:color="auto"/>
        <w:right w:val="none" w:sz="0" w:space="0" w:color="auto"/>
      </w:divBdr>
    </w:div>
    <w:div w:id="1237940492">
      <w:bodyDiv w:val="1"/>
      <w:marLeft w:val="0"/>
      <w:marRight w:val="0"/>
      <w:marTop w:val="0"/>
      <w:marBottom w:val="0"/>
      <w:divBdr>
        <w:top w:val="none" w:sz="0" w:space="0" w:color="auto"/>
        <w:left w:val="none" w:sz="0" w:space="0" w:color="auto"/>
        <w:bottom w:val="none" w:sz="0" w:space="0" w:color="auto"/>
        <w:right w:val="none" w:sz="0" w:space="0" w:color="auto"/>
      </w:divBdr>
    </w:div>
    <w:div w:id="1306859234">
      <w:bodyDiv w:val="1"/>
      <w:marLeft w:val="0"/>
      <w:marRight w:val="0"/>
      <w:marTop w:val="0"/>
      <w:marBottom w:val="0"/>
      <w:divBdr>
        <w:top w:val="none" w:sz="0" w:space="0" w:color="auto"/>
        <w:left w:val="none" w:sz="0" w:space="0" w:color="auto"/>
        <w:bottom w:val="none" w:sz="0" w:space="0" w:color="auto"/>
        <w:right w:val="none" w:sz="0" w:space="0" w:color="auto"/>
      </w:divBdr>
    </w:div>
    <w:div w:id="1452478800">
      <w:bodyDiv w:val="1"/>
      <w:marLeft w:val="0"/>
      <w:marRight w:val="0"/>
      <w:marTop w:val="0"/>
      <w:marBottom w:val="0"/>
      <w:divBdr>
        <w:top w:val="none" w:sz="0" w:space="0" w:color="auto"/>
        <w:left w:val="none" w:sz="0" w:space="0" w:color="auto"/>
        <w:bottom w:val="none" w:sz="0" w:space="0" w:color="auto"/>
        <w:right w:val="none" w:sz="0" w:space="0" w:color="auto"/>
      </w:divBdr>
    </w:div>
    <w:div w:id="1481966256">
      <w:bodyDiv w:val="1"/>
      <w:marLeft w:val="0"/>
      <w:marRight w:val="0"/>
      <w:marTop w:val="0"/>
      <w:marBottom w:val="0"/>
      <w:divBdr>
        <w:top w:val="none" w:sz="0" w:space="0" w:color="auto"/>
        <w:left w:val="none" w:sz="0" w:space="0" w:color="auto"/>
        <w:bottom w:val="none" w:sz="0" w:space="0" w:color="auto"/>
        <w:right w:val="none" w:sz="0" w:space="0" w:color="auto"/>
      </w:divBdr>
    </w:div>
    <w:div w:id="1503929310">
      <w:bodyDiv w:val="1"/>
      <w:marLeft w:val="0"/>
      <w:marRight w:val="0"/>
      <w:marTop w:val="0"/>
      <w:marBottom w:val="0"/>
      <w:divBdr>
        <w:top w:val="none" w:sz="0" w:space="0" w:color="auto"/>
        <w:left w:val="none" w:sz="0" w:space="0" w:color="auto"/>
        <w:bottom w:val="none" w:sz="0" w:space="0" w:color="auto"/>
        <w:right w:val="none" w:sz="0" w:space="0" w:color="auto"/>
      </w:divBdr>
    </w:div>
    <w:div w:id="1630934176">
      <w:bodyDiv w:val="1"/>
      <w:marLeft w:val="0"/>
      <w:marRight w:val="0"/>
      <w:marTop w:val="0"/>
      <w:marBottom w:val="0"/>
      <w:divBdr>
        <w:top w:val="none" w:sz="0" w:space="0" w:color="auto"/>
        <w:left w:val="none" w:sz="0" w:space="0" w:color="auto"/>
        <w:bottom w:val="none" w:sz="0" w:space="0" w:color="auto"/>
        <w:right w:val="none" w:sz="0" w:space="0" w:color="auto"/>
      </w:divBdr>
    </w:div>
    <w:div w:id="1725565312">
      <w:bodyDiv w:val="1"/>
      <w:marLeft w:val="0"/>
      <w:marRight w:val="0"/>
      <w:marTop w:val="0"/>
      <w:marBottom w:val="0"/>
      <w:divBdr>
        <w:top w:val="none" w:sz="0" w:space="0" w:color="auto"/>
        <w:left w:val="none" w:sz="0" w:space="0" w:color="auto"/>
        <w:bottom w:val="none" w:sz="0" w:space="0" w:color="auto"/>
        <w:right w:val="none" w:sz="0" w:space="0" w:color="auto"/>
      </w:divBdr>
    </w:div>
    <w:div w:id="1768311336">
      <w:bodyDiv w:val="1"/>
      <w:marLeft w:val="0"/>
      <w:marRight w:val="0"/>
      <w:marTop w:val="0"/>
      <w:marBottom w:val="0"/>
      <w:divBdr>
        <w:top w:val="none" w:sz="0" w:space="0" w:color="auto"/>
        <w:left w:val="none" w:sz="0" w:space="0" w:color="auto"/>
        <w:bottom w:val="none" w:sz="0" w:space="0" w:color="auto"/>
        <w:right w:val="none" w:sz="0" w:space="0" w:color="auto"/>
      </w:divBdr>
    </w:div>
    <w:div w:id="1841385122">
      <w:bodyDiv w:val="1"/>
      <w:marLeft w:val="0"/>
      <w:marRight w:val="0"/>
      <w:marTop w:val="0"/>
      <w:marBottom w:val="0"/>
      <w:divBdr>
        <w:top w:val="none" w:sz="0" w:space="0" w:color="auto"/>
        <w:left w:val="none" w:sz="0" w:space="0" w:color="auto"/>
        <w:bottom w:val="none" w:sz="0" w:space="0" w:color="auto"/>
        <w:right w:val="none" w:sz="0" w:space="0" w:color="auto"/>
      </w:divBdr>
    </w:div>
    <w:div w:id="1903247773">
      <w:bodyDiv w:val="1"/>
      <w:marLeft w:val="0"/>
      <w:marRight w:val="0"/>
      <w:marTop w:val="0"/>
      <w:marBottom w:val="0"/>
      <w:divBdr>
        <w:top w:val="none" w:sz="0" w:space="0" w:color="auto"/>
        <w:left w:val="none" w:sz="0" w:space="0" w:color="auto"/>
        <w:bottom w:val="none" w:sz="0" w:space="0" w:color="auto"/>
        <w:right w:val="none" w:sz="0" w:space="0" w:color="auto"/>
      </w:divBdr>
    </w:div>
    <w:div w:id="1992366723">
      <w:bodyDiv w:val="1"/>
      <w:marLeft w:val="0"/>
      <w:marRight w:val="0"/>
      <w:marTop w:val="0"/>
      <w:marBottom w:val="0"/>
      <w:divBdr>
        <w:top w:val="none" w:sz="0" w:space="0" w:color="auto"/>
        <w:left w:val="none" w:sz="0" w:space="0" w:color="auto"/>
        <w:bottom w:val="none" w:sz="0" w:space="0" w:color="auto"/>
        <w:right w:val="none" w:sz="0" w:space="0" w:color="auto"/>
      </w:divBdr>
    </w:div>
    <w:div w:id="205168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C0E473-A947-4472-9533-3DBA7E10917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770</TotalTime>
  <Pages>7</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Roosdorp</dc:creator>
  <cp:keywords/>
  <dc:description/>
  <cp:lastModifiedBy>Thomas Roosdorp</cp:lastModifiedBy>
  <cp:revision>15</cp:revision>
  <dcterms:created xsi:type="dcterms:W3CDTF">2023-01-10T18:15:00Z</dcterms:created>
  <dcterms:modified xsi:type="dcterms:W3CDTF">2023-02-06T08:41:00Z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id="yigy7E6g"/&gt;&lt;style id="http://www.zotero.org/styles/vancouver" locale="en-US" hasBibliography="1" bibliographyStyleHasBeenSet="1"/&gt;&lt;prefs&gt;&lt;pref name="fieldType" value="Field"/&gt;&lt;/prefs&gt;&lt;/data&gt;</vt:lpwstr>
  </property>
  <property fmtid="{D5CDD505-2E9C-101B-9397-08002B2CF9AE}" pid="3" name="GrammarlyDocumentId">
    <vt:lpwstr>38640fd61a0d14564ce7380e1d4c4e51ecc580152507be39c9756bf46a7c0771</vt:lpwstr>
  </property>
</Properties>
</file>