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rFonts w:ascii="Garamond" w:hAnsi="Garamond"/>
          <w:b/>
          <w:color w:val="000000"/>
          <w:sz w:val="32"/>
        </w:rPr>
        <w:t>Rhetorical Grammar: Chapter 1</w:t>
      </w:r>
    </w:p>
    <w:p>
      <w:pPr>
        <w:pStyle w:val="Heading2"/>
        <w:spacing w:before="0" w:after="200"/>
      </w:pPr>
      <w:r>
        <w:rPr>
          <w:rFonts w:ascii="Garamond" w:hAnsi="Garamond"/>
          <w:b/>
          <w:color w:val="000000"/>
          <w:sz w:val="28"/>
        </w:rPr>
        <w:t>Answer Key</w:t>
      </w:r>
    </w:p>
    <w:p>
      <w:pPr>
        <w:pStyle w:val="Heading3"/>
        <w:spacing w:before="120" w:after="80"/>
      </w:pPr>
      <w:r>
        <w:rPr>
          <w:rFonts w:ascii="Garamond" w:hAnsi="Garamond"/>
          <w:b/>
          <w:color w:val="000000"/>
          <w:sz w:val="24"/>
        </w:rPr>
        <w:t>Exercise 1: Headwords and Determiners</w:t>
      </w:r>
    </w:p>
    <w:p>
      <w:pPr>
        <w:spacing w:before="120" w:after="40"/>
      </w:pPr>
      <w:r>
        <w:rPr>
          <w:rFonts w:ascii="Garamond" w:hAnsi="Garamond"/>
          <w:b/>
          <w:sz w:val="24"/>
        </w:rPr>
        <w:t xml:space="preserve">Exercise 1a.  </w:t>
      </w:r>
      <w:r>
        <w:rPr>
          <w:rFonts w:ascii="Garamond" w:hAnsi="Garamond"/>
          <w:i/>
          <w:sz w:val="24"/>
        </w:rPr>
        <w:t>CGI helped produce the lush, cinematic rain forests of James Cameron’s Avatar as well as the teeming orc armies of Peter Jackson’s Hobbit series.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Headwords: </w:t>
      </w:r>
      <w:r>
        <w:rPr>
          <w:rFonts w:ascii="Garamond" w:hAnsi="Garamond"/>
          <w:sz w:val="24"/>
        </w:rPr>
        <w:t>CGI • rain forests • Avatar • armies • series  (also Cameron and Jackson inside possessive DPs)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Determiners: </w:t>
      </w:r>
      <w:r>
        <w:rPr>
          <w:rFonts w:ascii="Garamond" w:hAnsi="Garamond"/>
          <w:sz w:val="24"/>
        </w:rPr>
        <w:t>the (before “lush, cinematic rain forests”) • James Cameron’s (possessive Det for “Avatar”) • the (before “teeming orc armies”) • Peter Jackson’s (possessive Det for “Hobbit series”)</w:t>
      </w:r>
    </w:p>
    <w:p>
      <w:pPr>
        <w:spacing w:before="120" w:after="40"/>
      </w:pPr>
      <w:r>
        <w:rPr>
          <w:rFonts w:ascii="Garamond" w:hAnsi="Garamond"/>
          <w:b/>
          <w:sz w:val="24"/>
        </w:rPr>
        <w:t xml:space="preserve">Exercise 1b.  </w:t>
      </w:r>
      <w:r>
        <w:rPr>
          <w:rFonts w:ascii="Garamond" w:hAnsi="Garamond"/>
          <w:i/>
          <w:sz w:val="24"/>
        </w:rPr>
        <w:t>In the operating room, surgeons may rely on three-dimensional images to improve their patients’ prognoses.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Headwords: </w:t>
      </w:r>
      <w:r>
        <w:rPr>
          <w:rFonts w:ascii="Garamond" w:hAnsi="Garamond"/>
          <w:sz w:val="24"/>
        </w:rPr>
        <w:t>room • surgeons • images • prognoses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Determiners: </w:t>
      </w:r>
      <w:r>
        <w:rPr>
          <w:rFonts w:ascii="Garamond" w:hAnsi="Garamond"/>
          <w:sz w:val="24"/>
        </w:rPr>
        <w:t>the (before “operating room”) • their (Determiner for patients’) • patients’ (possessive Det for “prognoses”)</w:t>
      </w:r>
    </w:p>
    <w:p>
      <w:pPr>
        <w:spacing w:before="120" w:after="40"/>
      </w:pPr>
      <w:r>
        <w:rPr>
          <w:rFonts w:ascii="Garamond" w:hAnsi="Garamond"/>
          <w:b/>
          <w:sz w:val="24"/>
        </w:rPr>
        <w:t xml:space="preserve">Exercise 1c.  </w:t>
      </w:r>
      <w:r>
        <w:rPr>
          <w:rFonts w:ascii="Garamond" w:hAnsi="Garamond"/>
          <w:i/>
          <w:sz w:val="24"/>
        </w:rPr>
        <w:t>Clearly, this innovation has the potential to shape our future.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Headwords: </w:t>
      </w:r>
      <w:r>
        <w:rPr>
          <w:rFonts w:ascii="Garamond" w:hAnsi="Garamond"/>
          <w:sz w:val="24"/>
        </w:rPr>
        <w:t>innovation • potential • future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Determiners: </w:t>
      </w:r>
      <w:r>
        <w:rPr>
          <w:rFonts w:ascii="Garamond" w:hAnsi="Garamond"/>
          <w:sz w:val="24"/>
        </w:rPr>
        <w:t>this (before “innovation”) • the (before “potential”) • our (before “future”)</w:t>
      </w:r>
    </w:p>
    <w:p>
      <w:pPr>
        <w:pStyle w:val="Heading3"/>
        <w:spacing w:before="120" w:after="80"/>
      </w:pPr>
      <w:r>
        <w:rPr>
          <w:rFonts w:ascii="Garamond" w:hAnsi="Garamond"/>
          <w:b/>
          <w:color w:val="000000"/>
          <w:sz w:val="24"/>
        </w:rPr>
        <w:t>Exercise 2: Subject / Predicate</w:t>
      </w:r>
    </w:p>
    <w:p>
      <w:pPr>
        <w:spacing w:before="120" w:after="40"/>
      </w:pPr>
      <w:r>
        <w:rPr>
          <w:rFonts w:ascii="Garamond" w:hAnsi="Garamond"/>
          <w:b/>
          <w:sz w:val="24"/>
        </w:rPr>
        <w:t xml:space="preserve">Exercise 2.1.  </w:t>
      </w:r>
      <w:r>
        <w:rPr>
          <w:rFonts w:ascii="Garamond" w:hAnsi="Garamond"/>
          <w:i/>
          <w:sz w:val="24"/>
        </w:rPr>
        <w:t>The mayor’s husband / spoke against the ordinance.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Subject: </w:t>
      </w:r>
      <w:r>
        <w:rPr>
          <w:rFonts w:ascii="Garamond" w:hAnsi="Garamond"/>
          <w:sz w:val="24"/>
        </w:rPr>
        <w:t>The mayor’s husband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Predicate: </w:t>
      </w:r>
      <w:r>
        <w:rPr>
          <w:rFonts w:ascii="Garamond" w:hAnsi="Garamond"/>
          <w:sz w:val="24"/>
        </w:rPr>
        <w:t>spoke against the ordinance</w:t>
      </w:r>
    </w:p>
    <w:p>
      <w:pPr>
        <w:spacing w:before="120" w:after="40"/>
      </w:pPr>
      <w:r>
        <w:rPr>
          <w:rFonts w:ascii="Garamond" w:hAnsi="Garamond"/>
          <w:b/>
          <w:sz w:val="24"/>
        </w:rPr>
        <w:t xml:space="preserve">Exercise 2.2.  </w:t>
      </w:r>
      <w:r>
        <w:rPr>
          <w:rFonts w:ascii="Garamond" w:hAnsi="Garamond"/>
          <w:i/>
          <w:sz w:val="24"/>
        </w:rPr>
        <w:t>The merchants in town / are unhappy.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Subject: </w:t>
      </w:r>
      <w:r>
        <w:rPr>
          <w:rFonts w:ascii="Garamond" w:hAnsi="Garamond"/>
          <w:sz w:val="24"/>
        </w:rPr>
        <w:t>The merchants in town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Predicate: </w:t>
      </w:r>
      <w:r>
        <w:rPr>
          <w:rFonts w:ascii="Garamond" w:hAnsi="Garamond"/>
          <w:sz w:val="24"/>
        </w:rPr>
        <w:t>are unhappy</w:t>
      </w:r>
    </w:p>
    <w:p>
      <w:pPr>
        <w:spacing w:before="120" w:after="40"/>
      </w:pPr>
      <w:r>
        <w:rPr>
          <w:rFonts w:ascii="Garamond" w:hAnsi="Garamond"/>
          <w:b/>
          <w:sz w:val="24"/>
        </w:rPr>
        <w:t xml:space="preserve">Exercise 2.3.  </w:t>
      </w:r>
      <w:r>
        <w:rPr>
          <w:rFonts w:ascii="Garamond" w:hAnsi="Garamond"/>
          <w:i/>
          <w:sz w:val="24"/>
        </w:rPr>
        <w:t>The three white monkeys / carelessly climbed on their tall tree.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Subject: </w:t>
      </w:r>
      <w:r>
        <w:rPr>
          <w:rFonts w:ascii="Garamond" w:hAnsi="Garamond"/>
          <w:sz w:val="24"/>
        </w:rPr>
        <w:t>The three white monkeys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Predicate: </w:t>
      </w:r>
      <w:r>
        <w:rPr>
          <w:rFonts w:ascii="Garamond" w:hAnsi="Garamond"/>
          <w:sz w:val="24"/>
        </w:rPr>
        <w:t>carelessly climbed on their tall tree</w:t>
      </w:r>
    </w:p>
    <w:p>
      <w:pPr>
        <w:pStyle w:val="Heading3"/>
        <w:spacing w:before="120" w:after="80"/>
      </w:pPr>
      <w:r>
        <w:rPr>
          <w:rFonts w:ascii="Garamond" w:hAnsi="Garamond"/>
          <w:b/>
          <w:color w:val="000000"/>
          <w:sz w:val="24"/>
        </w:rPr>
        <w:t>Exercise 3: Prepositional Phrases</w:t>
      </w:r>
    </w:p>
    <w:p>
      <w:pPr>
        <w:spacing w:before="120" w:after="40"/>
      </w:pPr>
      <w:r>
        <w:rPr>
          <w:rFonts w:ascii="Garamond" w:hAnsi="Garamond"/>
          <w:b/>
          <w:sz w:val="24"/>
        </w:rPr>
        <w:t xml:space="preserve">Exercise 3.1.  </w:t>
      </w:r>
      <w:r>
        <w:rPr>
          <w:rFonts w:ascii="Garamond" w:hAnsi="Garamond"/>
          <w:i/>
          <w:sz w:val="24"/>
        </w:rPr>
        <w:t>Birthday cakes are common in many Western cultures.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PP: </w:t>
      </w:r>
      <w:r>
        <w:rPr>
          <w:rFonts w:ascii="Garamond" w:hAnsi="Garamond"/>
          <w:sz w:val="24"/>
        </w:rPr>
        <w:t>“in many Western cultures”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Function: </w:t>
      </w:r>
      <w:r>
        <w:rPr>
          <w:rFonts w:ascii="Garamond" w:hAnsi="Garamond"/>
          <w:sz w:val="24"/>
        </w:rPr>
        <w:t>Adverbial — modifies “are common,” indicating context/location (the exact attachment is somewhat ambiguous: it could modify “common,” “are,” or the whole clause)</w:t>
      </w:r>
    </w:p>
    <w:p>
      <w:pPr>
        <w:spacing w:before="120" w:after="40"/>
      </w:pPr>
      <w:r>
        <w:rPr>
          <w:rFonts w:ascii="Garamond" w:hAnsi="Garamond"/>
          <w:b/>
          <w:sz w:val="24"/>
        </w:rPr>
        <w:t xml:space="preserve">Exercise 3.2.  </w:t>
      </w:r>
      <w:r>
        <w:rPr>
          <w:rFonts w:ascii="Garamond" w:hAnsi="Garamond"/>
          <w:i/>
          <w:sz w:val="24"/>
        </w:rPr>
        <w:t>Cupcakes are a popular alternative to birthday cakes.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PP: </w:t>
      </w:r>
      <w:r>
        <w:rPr>
          <w:rFonts w:ascii="Garamond" w:hAnsi="Garamond"/>
          <w:sz w:val="24"/>
        </w:rPr>
        <w:t>“to birthday cakes”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Function: </w:t>
      </w:r>
      <w:r>
        <w:rPr>
          <w:rFonts w:ascii="Garamond" w:hAnsi="Garamond"/>
          <w:sz w:val="24"/>
        </w:rPr>
        <w:t>Adjectival — modifies the noun “alternative”</w:t>
      </w:r>
    </w:p>
    <w:p>
      <w:pPr>
        <w:ind w:left="504"/>
        <w:spacing w:before="80" w:after="40"/>
      </w:pPr>
      <w:r>
        <w:rPr>
          <w:rFonts w:ascii="Garamond" w:hAnsi="Garamond"/>
          <w:b/>
          <w:sz w:val="24"/>
        </w:rPr>
        <w:t>Tree diagram:</w:t>
      </w:r>
    </w:p>
    <w:p>
      <w:pPr>
        <w:jc w:val="center"/>
        <w:spacing w:before="40" w:after="120"/>
      </w:pPr>
      <w:r>
        <w:drawing>
          <wp:inline xmlns:a="http://schemas.openxmlformats.org/drawingml/2006/main" xmlns:pic="http://schemas.openxmlformats.org/drawingml/2006/picture">
            <wp:extent cx="4572000" cy="2707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1_rg_ex32_cupcak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Garamond" w:hAnsi="Garamond"/>
          <w:b/>
          <w:sz w:val="24"/>
        </w:rPr>
        <w:t xml:space="preserve">Exercise 3.3.  </w:t>
      </w:r>
      <w:r>
        <w:rPr>
          <w:rFonts w:ascii="Garamond" w:hAnsi="Garamond"/>
          <w:i/>
          <w:sz w:val="24"/>
        </w:rPr>
        <w:t>The man in the big red hat spoke eloquently about his vacation to Morocco.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PP 1: </w:t>
      </w:r>
      <w:r>
        <w:rPr>
          <w:rFonts w:ascii="Garamond" w:hAnsi="Garamond"/>
          <w:sz w:val="24"/>
        </w:rPr>
        <w:t>“in the big red hat”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Function: </w:t>
      </w:r>
      <w:r>
        <w:rPr>
          <w:rFonts w:ascii="Garamond" w:hAnsi="Garamond"/>
          <w:sz w:val="24"/>
        </w:rPr>
        <w:t>Adjectival — modifies the noun “man”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PP 2: </w:t>
      </w:r>
      <w:r>
        <w:rPr>
          <w:rFonts w:ascii="Garamond" w:hAnsi="Garamond"/>
          <w:sz w:val="24"/>
        </w:rPr>
        <w:t>“about his vacation”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Function: </w:t>
      </w:r>
      <w:r>
        <w:rPr>
          <w:rFonts w:ascii="Garamond" w:hAnsi="Garamond"/>
          <w:sz w:val="24"/>
        </w:rPr>
        <w:t>Adverbial — modifies the verb “spoke”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PP 3: </w:t>
      </w:r>
      <w:r>
        <w:rPr>
          <w:rFonts w:ascii="Garamond" w:hAnsi="Garamond"/>
          <w:sz w:val="24"/>
        </w:rPr>
        <w:t>“to Morocco”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Function: </w:t>
      </w:r>
      <w:r>
        <w:rPr>
          <w:rFonts w:ascii="Garamond" w:hAnsi="Garamond"/>
          <w:sz w:val="24"/>
        </w:rPr>
        <w:t>Adjectival — modifies the noun “vacation”</w:t>
      </w:r>
    </w:p>
    <w:p>
      <w:pPr>
        <w:pStyle w:val="Heading3"/>
        <w:spacing w:before="120" w:after="80"/>
      </w:pPr>
      <w:r>
        <w:rPr>
          <w:rFonts w:ascii="Garamond" w:hAnsi="Garamond"/>
          <w:b/>
          <w:color w:val="000000"/>
          <w:sz w:val="24"/>
        </w:rPr>
        <w:t>Exercise 4: Sentence Labeling Tables</w:t>
      </w:r>
    </w:p>
    <w:p>
      <w:pPr>
        <w:ind w:left="0"/>
        <w:spacing w:before="0" w:after="160"/>
      </w:pPr>
      <w:r>
        <w:rPr>
          <w:rFonts w:ascii="Garamond" w:hAnsi="Garamond"/>
          <w:b/>
          <w:sz w:val="24"/>
        </w:rPr>
        <w:t xml:space="preserve">Note: </w:t>
      </w:r>
      <w:r>
        <w:rPr>
          <w:rFonts w:ascii="Garamond" w:hAnsi="Garamond"/>
          <w:sz w:val="24"/>
        </w:rPr>
        <w:t>Bracket notation and tree diagram are provided below each table. Student diagrams drawn in the diagramming app should match the tree structure.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Practice One:  </w:t>
      </w:r>
      <w:r>
        <w:rPr>
          <w:rFonts w:ascii="Garamond" w:hAnsi="Garamond"/>
          <w:i/>
          <w:sz w:val="24"/>
        </w:rPr>
        <w:t>Bears seldomly attack without a very good reason.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Phrase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VP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VP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</w:tr>
      <w:tr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Word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Bears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seldomly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attack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without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a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very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good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reason</w:t>
            </w:r>
          </w:p>
        </w:tc>
      </w:tr>
      <w:tr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Part of Speech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N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Adv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V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Prep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Det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Adv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Adj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N</w:t>
            </w:r>
          </w:p>
        </w:tc>
      </w:tr>
    </w:tbl>
    <w:p>
      <w:pPr>
        <w:spacing w:before="40" w:after="40"/>
      </w:pPr>
    </w:p>
    <w:p>
      <w:pPr>
        <w:ind w:left="504"/>
        <w:spacing w:before="120" w:after="40"/>
      </w:pPr>
      <w:r>
        <w:rPr>
          <w:rFonts w:ascii="Garamond" w:hAnsi="Garamond"/>
          <w:b/>
          <w:sz w:val="24"/>
        </w:rPr>
        <w:t>Bracket notation:</w:t>
      </w:r>
    </w:p>
    <w:p>
      <w:pPr>
        <w:ind w:left="720"/>
        <w:spacing w:before="0" w:after="80"/>
      </w:pPr>
      <w:r>
        <w:rPr>
          <w:rFonts w:ascii="Courier New" w:hAnsi="Courier New"/>
          <w:sz w:val="20"/>
        </w:rPr>
        <w:t>[NP Bears] [VP seldomly attack [PP without [NP a very good reason]]]</w:t>
      </w:r>
    </w:p>
    <w:p>
      <w:pPr>
        <w:ind w:left="504"/>
        <w:spacing w:before="80" w:after="40"/>
      </w:pPr>
      <w:r>
        <w:rPr>
          <w:rFonts w:ascii="Garamond" w:hAnsi="Garamond"/>
          <w:b/>
          <w:sz w:val="24"/>
        </w:rPr>
        <w:t>Tree diagram:</w:t>
      </w:r>
    </w:p>
    <w:p>
      <w:pPr>
        <w:jc w:val="center"/>
        <w:spacing w:before="40" w:after="120"/>
      </w:pPr>
      <w:r>
        <w:drawing>
          <wp:inline xmlns:a="http://schemas.openxmlformats.org/drawingml/2006/main" xmlns:pic="http://schemas.openxmlformats.org/drawingml/2006/picture">
            <wp:extent cx="5486400" cy="3248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1_rg_p1_be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Practice Two:  </w:t>
      </w:r>
      <w:r>
        <w:rPr>
          <w:rFonts w:ascii="Garamond" w:hAnsi="Garamond"/>
          <w:i/>
          <w:sz w:val="24"/>
        </w:rPr>
        <w:t>Stephen usually sits alone at home.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Garamond" w:hAnsi="Garamond"/>
                <w:b/>
                <w:sz w:val="22"/>
              </w:rPr>
              <w:t>Phrase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b/>
                <w:sz w:val="22"/>
              </w:rPr>
              <w:t>VP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b/>
                <w:sz w:val="22"/>
              </w:rPr>
              <w:t>VP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b/>
                <w:sz w:val="22"/>
              </w:rPr>
              <w:t>VP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</w:tr>
      <w:tr>
        <w:tc>
          <w:tcPr>
            <w:tcW w:type="dxa" w:w="1234"/>
          </w:tcPr>
          <w:p>
            <w:r>
              <w:rPr>
                <w:rFonts w:ascii="Garamond" w:hAnsi="Garamond"/>
                <w:b/>
                <w:sz w:val="22"/>
              </w:rPr>
              <w:t>Word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sz w:val="22"/>
              </w:rPr>
              <w:t>Stephen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sz w:val="22"/>
              </w:rPr>
              <w:t>usually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sz w:val="22"/>
              </w:rPr>
              <w:t>sits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sz w:val="22"/>
              </w:rPr>
              <w:t>alone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sz w:val="22"/>
              </w:rPr>
              <w:t>at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sz w:val="22"/>
              </w:rPr>
              <w:t>home</w:t>
            </w:r>
          </w:p>
        </w:tc>
      </w:tr>
      <w:tr>
        <w:tc>
          <w:tcPr>
            <w:tcW w:type="dxa" w:w="1234"/>
          </w:tcPr>
          <w:p>
            <w:r>
              <w:rPr>
                <w:rFonts w:ascii="Garamond" w:hAnsi="Garamond"/>
                <w:b/>
                <w:sz w:val="22"/>
              </w:rPr>
              <w:t>Part of Speech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sz w:val="22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sz w:val="22"/>
              </w:rPr>
              <w:t>Adv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sz w:val="22"/>
              </w:rPr>
              <w:t>V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sz w:val="22"/>
              </w:rPr>
              <w:t>Adv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sz w:val="22"/>
              </w:rPr>
              <w:t>Prep</w:t>
            </w:r>
          </w:p>
        </w:tc>
        <w:tc>
          <w:tcPr>
            <w:tcW w:type="dxa" w:w="1234"/>
          </w:tcPr>
          <w:p>
            <w:r>
              <w:rPr>
                <w:rFonts w:ascii="Garamond" w:hAnsi="Garamond"/>
                <w:sz w:val="22"/>
              </w:rPr>
              <w:t>N</w:t>
            </w:r>
          </w:p>
        </w:tc>
      </w:tr>
    </w:tbl>
    <w:p>
      <w:pPr>
        <w:spacing w:before="40" w:after="40"/>
      </w:pPr>
    </w:p>
    <w:p>
      <w:pPr>
        <w:ind w:left="504"/>
        <w:spacing w:before="120" w:after="40"/>
      </w:pPr>
      <w:r>
        <w:rPr>
          <w:rFonts w:ascii="Garamond" w:hAnsi="Garamond"/>
          <w:b/>
          <w:sz w:val="24"/>
        </w:rPr>
        <w:t>Bracket notation:</w:t>
      </w:r>
    </w:p>
    <w:p>
      <w:pPr>
        <w:ind w:left="720"/>
        <w:spacing w:before="0" w:after="80"/>
      </w:pPr>
      <w:r>
        <w:rPr>
          <w:rFonts w:ascii="Courier New" w:hAnsi="Courier New"/>
          <w:sz w:val="20"/>
        </w:rPr>
        <w:t>[NP Stephen] [VP usually sits alone [PP at [NP home]]]</w:t>
      </w:r>
    </w:p>
    <w:p>
      <w:pPr>
        <w:ind w:left="504"/>
        <w:spacing w:before="80" w:after="40"/>
      </w:pPr>
      <w:r>
        <w:rPr>
          <w:rFonts w:ascii="Garamond" w:hAnsi="Garamond"/>
          <w:b/>
          <w:sz w:val="24"/>
        </w:rPr>
        <w:t>Tree diagram:</w:t>
      </w:r>
    </w:p>
    <w:p>
      <w:pPr>
        <w:jc w:val="center"/>
        <w:spacing w:before="40" w:after="120"/>
      </w:pPr>
      <w:r>
        <w:drawing>
          <wp:inline xmlns:a="http://schemas.openxmlformats.org/drawingml/2006/main" xmlns:pic="http://schemas.openxmlformats.org/drawingml/2006/picture">
            <wp:extent cx="4114800" cy="2775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1_rg_p2_steph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Practice Three:  </w:t>
      </w:r>
      <w:r>
        <w:rPr>
          <w:rFonts w:ascii="Garamond" w:hAnsi="Garamond"/>
          <w:i/>
          <w:sz w:val="24"/>
        </w:rPr>
        <w:t>My younger brother works for the city.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Garamond" w:hAnsi="Garamond"/>
                <w:b/>
                <w:sz w:val="22"/>
              </w:rPr>
              <w:t>Phrase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b/>
                <w:sz w:val="22"/>
              </w:rPr>
              <w:t>VP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</w:tr>
      <w:tr>
        <w:tc>
          <w:tcPr>
            <w:tcW w:type="dxa" w:w="1080"/>
          </w:tcPr>
          <w:p>
            <w:r>
              <w:rPr>
                <w:rFonts w:ascii="Garamond" w:hAnsi="Garamond"/>
                <w:b/>
                <w:sz w:val="22"/>
              </w:rPr>
              <w:t>Word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My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younger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brother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works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for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the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city</w:t>
            </w:r>
          </w:p>
        </w:tc>
      </w:tr>
      <w:tr>
        <w:tc>
          <w:tcPr>
            <w:tcW w:type="dxa" w:w="1080"/>
          </w:tcPr>
          <w:p>
            <w:r>
              <w:rPr>
                <w:rFonts w:ascii="Garamond" w:hAnsi="Garamond"/>
                <w:b/>
                <w:sz w:val="22"/>
              </w:rPr>
              <w:t>Part of Speech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Det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Adj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N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V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Prep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Det</w:t>
            </w:r>
          </w:p>
        </w:tc>
        <w:tc>
          <w:tcPr>
            <w:tcW w:type="dxa" w:w="1080"/>
          </w:tcPr>
          <w:p>
            <w:r>
              <w:rPr>
                <w:rFonts w:ascii="Garamond" w:hAnsi="Garamond"/>
                <w:sz w:val="22"/>
              </w:rPr>
              <w:t>N</w:t>
            </w:r>
          </w:p>
        </w:tc>
      </w:tr>
    </w:tbl>
    <w:p>
      <w:pPr>
        <w:spacing w:before="40" w:after="40"/>
      </w:pPr>
    </w:p>
    <w:p>
      <w:pPr>
        <w:ind w:left="504"/>
        <w:spacing w:before="120" w:after="40"/>
      </w:pPr>
      <w:r>
        <w:rPr>
          <w:rFonts w:ascii="Garamond" w:hAnsi="Garamond"/>
          <w:b/>
          <w:sz w:val="24"/>
        </w:rPr>
        <w:t>Bracket notation:</w:t>
      </w:r>
    </w:p>
    <w:p>
      <w:pPr>
        <w:ind w:left="720"/>
        <w:spacing w:before="0" w:after="80"/>
      </w:pPr>
      <w:r>
        <w:rPr>
          <w:rFonts w:ascii="Courier New" w:hAnsi="Courier New"/>
          <w:sz w:val="20"/>
        </w:rPr>
        <w:t>[NP My younger brother] [VP works [PP for [NP the city]]]</w:t>
      </w:r>
    </w:p>
    <w:p>
      <w:pPr>
        <w:ind w:left="504"/>
        <w:spacing w:before="80" w:after="40"/>
      </w:pPr>
      <w:r>
        <w:rPr>
          <w:rFonts w:ascii="Garamond" w:hAnsi="Garamond"/>
          <w:b/>
          <w:sz w:val="24"/>
        </w:rPr>
        <w:t>Tree diagram:</w:t>
      </w:r>
    </w:p>
    <w:p>
      <w:pPr>
        <w:jc w:val="center"/>
        <w:spacing w:before="40" w:after="120"/>
      </w:pPr>
      <w:r>
        <w:drawing>
          <wp:inline xmlns:a="http://schemas.openxmlformats.org/drawingml/2006/main" xmlns:pic="http://schemas.openxmlformats.org/drawingml/2006/picture">
            <wp:extent cx="4572000" cy="2624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1_rg_p3_brot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4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Practice Four:  </w:t>
      </w:r>
      <w:r>
        <w:rPr>
          <w:rFonts w:ascii="Garamond" w:hAnsi="Garamond"/>
          <w:i/>
          <w:sz w:val="24"/>
        </w:rPr>
        <w:t>The painfully long discussion continued incessantly until noon.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Phrase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VP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VP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</w:tr>
      <w:tr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Word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The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painfully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long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discussion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continued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incessantly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until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noon</w:t>
            </w:r>
          </w:p>
        </w:tc>
      </w:tr>
      <w:tr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Part of Speech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Det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Adv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Adj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N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V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Adv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Prep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N</w:t>
            </w:r>
          </w:p>
        </w:tc>
      </w:tr>
    </w:tbl>
    <w:p>
      <w:pPr>
        <w:spacing w:before="40" w:after="40"/>
      </w:pPr>
    </w:p>
    <w:p>
      <w:pPr>
        <w:ind w:left="504"/>
        <w:spacing w:before="120" w:after="40"/>
      </w:pPr>
      <w:r>
        <w:rPr>
          <w:rFonts w:ascii="Garamond" w:hAnsi="Garamond"/>
          <w:b/>
          <w:sz w:val="24"/>
        </w:rPr>
        <w:t>Bracket notation:</w:t>
      </w:r>
    </w:p>
    <w:p>
      <w:pPr>
        <w:ind w:left="720"/>
        <w:spacing w:before="0" w:after="80"/>
      </w:pPr>
      <w:r>
        <w:rPr>
          <w:rFonts w:ascii="Courier New" w:hAnsi="Courier New"/>
          <w:sz w:val="20"/>
        </w:rPr>
        <w:t>[NP The painfully long discussion] [VP continued incessantly [PP until [NP noon]]]</w:t>
      </w:r>
    </w:p>
    <w:p>
      <w:pPr>
        <w:ind w:left="504"/>
        <w:spacing w:before="80" w:after="40"/>
      </w:pPr>
      <w:r>
        <w:rPr>
          <w:rFonts w:ascii="Garamond" w:hAnsi="Garamond"/>
          <w:b/>
          <w:sz w:val="24"/>
        </w:rPr>
        <w:t>Tree diagram:</w:t>
      </w:r>
    </w:p>
    <w:p>
      <w:pPr>
        <w:jc w:val="center"/>
        <w:spacing w:before="40" w:after="120"/>
      </w:pPr>
      <w:r>
        <w:drawing>
          <wp:inline xmlns:a="http://schemas.openxmlformats.org/drawingml/2006/main" xmlns:pic="http://schemas.openxmlformats.org/drawingml/2006/picture">
            <wp:extent cx="5029200" cy="25120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1_rg_p4_discu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Example Five:  </w:t>
      </w:r>
      <w:r>
        <w:rPr>
          <w:rFonts w:ascii="Garamond" w:hAnsi="Garamond"/>
          <w:i/>
          <w:sz w:val="24"/>
        </w:rPr>
        <w:t>All my dearest friends from highschool suddenly left.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Phrase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VP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VP</w:t>
            </w:r>
          </w:p>
        </w:tc>
      </w:tr>
      <w:tr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Word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All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my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dearest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friends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from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highschool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suddenly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left</w:t>
            </w:r>
          </w:p>
        </w:tc>
      </w:tr>
      <w:tr>
        <w:tc>
          <w:tcPr>
            <w:tcW w:type="dxa" w:w="960"/>
          </w:tcPr>
          <w:p>
            <w:r>
              <w:rPr>
                <w:rFonts w:ascii="Garamond" w:hAnsi="Garamond"/>
                <w:b/>
                <w:sz w:val="22"/>
              </w:rPr>
              <w:t>Part of Speech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Det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Det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Adj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N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Prep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N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Adv</w:t>
            </w:r>
          </w:p>
        </w:tc>
        <w:tc>
          <w:tcPr>
            <w:tcW w:type="dxa" w:w="960"/>
          </w:tcPr>
          <w:p>
            <w:r>
              <w:rPr>
                <w:rFonts w:ascii="Garamond" w:hAnsi="Garamond"/>
                <w:sz w:val="22"/>
              </w:rPr>
              <w:t>V</w:t>
            </w:r>
          </w:p>
        </w:tc>
      </w:tr>
    </w:tbl>
    <w:p>
      <w:pPr>
        <w:spacing w:before="40" w:after="40"/>
      </w:pPr>
    </w:p>
    <w:p>
      <w:pPr>
        <w:ind w:left="504"/>
        <w:spacing w:before="120" w:after="40"/>
      </w:pPr>
      <w:r>
        <w:rPr>
          <w:rFonts w:ascii="Garamond" w:hAnsi="Garamond"/>
          <w:b/>
          <w:sz w:val="24"/>
        </w:rPr>
        <w:t>Bracket notation:</w:t>
      </w:r>
    </w:p>
    <w:p>
      <w:pPr>
        <w:ind w:left="720"/>
        <w:spacing w:before="0" w:after="80"/>
      </w:pPr>
      <w:r>
        <w:rPr>
          <w:rFonts w:ascii="Courier New" w:hAnsi="Courier New"/>
          <w:sz w:val="20"/>
        </w:rPr>
        <w:t>[NP All my dearest friends [PP from [NP highschool]]] [VP suddenly left]</w:t>
      </w:r>
    </w:p>
    <w:p>
      <w:pPr>
        <w:ind w:left="504"/>
        <w:spacing w:before="80" w:after="40"/>
      </w:pPr>
      <w:r>
        <w:rPr>
          <w:rFonts w:ascii="Garamond" w:hAnsi="Garamond"/>
          <w:b/>
          <w:sz w:val="24"/>
        </w:rPr>
        <w:t>Tree diagram:</w:t>
      </w:r>
    </w:p>
    <w:p>
      <w:pPr>
        <w:jc w:val="center"/>
        <w:spacing w:before="40" w:after="120"/>
      </w:pPr>
      <w:r>
        <w:drawing>
          <wp:inline xmlns:a="http://schemas.openxmlformats.org/drawingml/2006/main" xmlns:pic="http://schemas.openxmlformats.org/drawingml/2006/picture">
            <wp:extent cx="5029200" cy="2512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1_rg_p5_frie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20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