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93"/>
          <w:sz w:val="44"/>
          <w:szCs w:val="44"/>
        </w:rPr>
        <w:t xml:space="preserve">Outsourcing Roadmap</w:t>
      </w:r>
    </w:p>
    <w:p>
      <w:pPr>
        <w:spacing w:after="60"/>
      </w:pPr>
      <w:r>
        <w:rPr>
          <w:color w:val="444444"/>
          <w:sz w:val="30"/>
          <w:szCs w:val="30"/>
        </w:rPr>
        <w:t xml:space="preserve">White-Label Association Platform</w:t>
      </w:r>
    </w:p>
    <w:p>
      <w:pPr>
        <w:spacing w:after="100"/>
      </w:pPr>
      <w:r>
        <w:rPr>
          <w:i/>
          <w:iCs/>
          <w:color w:val="555555"/>
        </w:rPr>
        <w:t xml:space="preserve">Turning the Elektr-Âme website into a reusable template that any association can deploy by changing colours, name, and a selection of features.</w:t>
      </w:r>
    </w:p>
    <w:p>
      <w:pPr>
        <w:pBdr>
          <w:bottom w:val="single" w:color="1F3A93" w:sz="12"/>
        </w:pBdr>
        <w:spacing w:after="200"/>
      </w:pPr>
    </w:p>
    <w:p>
      <w:pPr>
        <w:pStyle w:val="Heading1"/>
        <w:spacing w:after="120" w:before="260"/>
      </w:pPr>
      <w:r>
        <w:rPr>
          <w:b/>
          <w:bCs/>
          <w:color w:val="1F3A93"/>
        </w:rPr>
        <w:t xml:space="preserve">0. Goal &amp; guardrails</w:t>
      </w:r>
    </w:p>
    <w:p>
      <w:pPr>
        <w:spacing w:after="100"/>
      </w:pPr>
      <w:r>
        <w:rPr>
          <w:b/>
          <w:bCs/>
        </w:rPr>
        <w:t xml:space="preserve">Objective. </w:t>
      </w:r>
      <w:r>
        <w:t xml:space="preserve">Refactor the existing React/TypeScript + PHP/MySQL codebase into a white-label platform. A new association site is created by copying one config file, editing values, and adding brand assets — with zero code edits.</w:t>
      </w:r>
    </w:p>
    <w:p>
      <w:pPr>
        <w:spacing w:after="100"/>
      </w:pPr>
      <w:r>
        <w:rPr>
          <w:b/>
          <w:bCs/>
        </w:rPr>
        <w:t xml:space="preserve">Definition of done. </w:t>
      </w:r>
      <w:r>
        <w:t xml:space="preserve">A named test association (“Demo Assoc”) runs with a different name, colour scheme, logo, and a different subset of features, produced only by editing site.config.ts, brand assets, and locale files.</w:t>
      </w:r>
    </w:p>
    <w:p>
      <w:pPr>
        <w:spacing w:after="100"/>
      </w:pPr>
      <w:r>
        <w:rPr>
          <w:b/>
          <w:bCs/>
        </w:rPr>
        <w:t xml:space="preserve">Hard constraints: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No brand string, colour value, or URL may remain hardcoded in src/ or api/.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Feature flags must gate the front-end and the back-end.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No regression in existing Elektr-Âme functionality.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Phase 1 security fixes are non-negotiable and come first.</w:t>
      </w:r>
    </w:p>
    <w:p>
      <w:pPr>
        <w:pStyle w:val="Heading1"/>
        <w:spacing w:after="120" w:before="260"/>
      </w:pPr>
      <w:r>
        <w:rPr>
          <w:b/>
          <w:bCs/>
          <w:color w:val="1F3A93"/>
        </w:rPr>
        <w:t xml:space="preserve">Phase 1 — Security &amp; hygiene (before anything else)</w:t>
      </w:r>
    </w:p>
    <w:p>
      <w:pPr>
        <w:spacing w:after="100"/>
      </w:pPr>
      <w:r>
        <w:rPr>
          <w:i/>
          <w:iCs/>
        </w:rPr>
        <w:t xml:space="preserve">This phase protects the existing live site and must ship before refactoring.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Rotate the exposed production DB password (present in git history) and the reused admin password; update config.php on the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all debug/one-off scripts from repo and server (~40 files: find-files.php, check-files.php, move-images-to-public.php, fix-video-mismatch.php, generate-password-hash.php, setup-smtp-config.php, and similar run-once utilities).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auth to every state-changing endpoint using the existing requireLoggedInAdmin() / require-admin-section.php guard.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file uploads: validate real content with finfo (not client MIME), keep random filenames, and disable PHP execution in upload directories via .htaccess.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down CORS: remove Access-Control-Allow-Origin: * from upload endpoints; use the allow-list in cors-headers.php everywhere.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Scrub git history (BFG or git filter-repo) or start a clean template repo so no secret is inherited by future associations.</w:t>
      </w:r>
    </w:p>
    <w:p>
      <w:pPr>
        <w:spacing w:after="100"/>
      </w:pPr>
      <w:r>
        <w:rPr>
          <w:b/>
          <w:bCs/>
        </w:rPr>
        <w:t xml:space="preserve">Deliverable: </w:t>
      </w:r>
      <w:r>
        <w:t xml:space="preserve">a security checklist with all items closed, plus the cleaned repo.</w:t>
      </w:r>
    </w:p>
    <w:p>
      <w:pPr>
        <w:pStyle w:val="Heading1"/>
        <w:spacing w:after="120" w:before="260"/>
      </w:pPr>
      <w:r>
        <w:rPr>
          <w:b/>
          <w:bCs/>
          <w:color w:val="1F3A93"/>
        </w:rPr>
        <w:t xml:space="preserve">Phase 2 — Repository restructure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Reorganise api/ into api/endpoints/, api/lib/, api/classes/; remove migrations/debug from this folder.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Consolidate the 76 SQL files into one schema of record plus sequential migrations (0001_init.sql, 0002_…). This makes standing up a new association's DB a one-command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Move the 15 root status .md notes into /docs; remove .bak/.backup files.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TypeScript strictness incrementally: strictNullChecks, then noImplicitAny, then strict.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Split the largest components (MemberPortal.tsx ~1,938 lines; MembersManager.tsx ~1,076) where it reduces risk for the parameterisation work.</w:t>
      </w:r>
    </w:p>
    <w:p>
      <w:pPr>
        <w:spacing w:after="100"/>
      </w:pPr>
      <w:r>
        <w:rPr>
          <w:b/>
          <w:bCs/>
        </w:rPr>
        <w:t xml:space="preserve">Deliverable: </w:t>
      </w:r>
      <w:r>
        <w:t xml:space="preserve">reorganised tree, single migration path, a fresh DB provable from schema.sql + migrations alone.</w:t>
      </w:r>
    </w:p>
    <w:p>
      <w:pPr>
        <w:pStyle w:val="Heading1"/>
        <w:spacing w:after="120" w:before="260"/>
      </w:pPr>
      <w:r>
        <w:rPr>
          <w:b/>
          <w:bCs/>
          <w:color w:val="1F3A93"/>
        </w:rPr>
        <w:t xml:space="preserve">Phase 3 — Theming engine (“change of colours”)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config/site.config.ts as the single source of truth (template provided).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a ThemeProvider that writes theme.light/theme.dark HSL values and radius into CSS variables on :root and .dark at startup — shadcn/ui + Tailwind already read these, so recolouring is automatic.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Remove the ~769 bespoke colour classes (neon-pink, electric-blue, deep-purple, blue-dark, …) from components; replace with semantic tokens (primary, accent, muted).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Font family and logo become config values read by hero/header.</w:t>
      </w:r>
    </w:p>
    <w:p>
      <w:pPr>
        <w:spacing w:after="100"/>
      </w:pPr>
      <w:r>
        <w:rPr>
          <w:b/>
          <w:bCs/>
        </w:rPr>
        <w:t xml:space="preserve">Deliverable: </w:t>
      </w:r>
      <w:r>
        <w:t xml:space="preserve">switching the theme block re-skins the whole site with no other change.</w:t>
      </w:r>
    </w:p>
    <w:p>
      <w:pPr>
        <w:pStyle w:val="Heading1"/>
        <w:spacing w:after="120" w:before="260"/>
      </w:pPr>
      <w:r>
        <w:rPr>
          <w:b/>
          <w:bCs/>
          <w:color w:val="1F3A93"/>
        </w:rPr>
        <w:t xml:space="preserve">Phase 4 — Identity &amp; content extraction (“change of name”)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Replace ~273 brand strings in src/ and ~235 in api/ with reads from config.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Replace ~195 hardcoded elektr-ame.com URLs with siteConfig.domain.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Generate index.html title/meta, manifest.json, and favicon references from config at build time.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Interpolate the association name into locale strings ({{name}}) instead of baking it into copy.</w:t>
      </w:r>
    </w:p>
    <w:p>
      <w:pPr>
        <w:spacing w:after="100"/>
      </w:pPr>
      <w:r>
        <w:rPr>
          <w:b/>
          <w:bCs/>
        </w:rPr>
        <w:t xml:space="preserve">Deliverable: </w:t>
      </w:r>
      <w:r>
        <w:t xml:space="preserve">grep for elektr / Âme in src and api returns zero results outside config and locale interpolation.</w:t>
      </w:r>
    </w:p>
    <w:p>
      <w:pPr>
        <w:pStyle w:val="Heading1"/>
        <w:spacing w:after="120" w:before="260"/>
      </w:pPr>
      <w:r>
        <w:rPr>
          <w:b/>
          <w:bCs/>
          <w:color w:val="1F3A93"/>
        </w:rPr>
        <w:t xml:space="preserve">Phase 5 — Feature toggles (“selection of features”)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 a useFeature(flag) hook and &lt;Feature name="gallery"&gt;…&lt;/Feature&gt; wrapper reading siteConfig.features.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Gate routes (don't mount disabled routes), nav items (Header/Footer) and admin tabs (Admin.tsx) by flag.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 a PHP require_feature('gallery') guard at the top of every toggleable endpoint, reading site.config.php — disabled features return 403 server-side.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Make membership tiers, payment gateway and legal entity data-driven from config.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Ensure disabling a feature leaves no broken links and no dead nav; test each flag off in isolation.</w:t>
      </w:r>
    </w:p>
    <w:p>
      <w:pPr>
        <w:spacing w:after="100"/>
      </w:pPr>
      <w:r>
        <w:rPr>
          <w:b/>
          <w:bCs/>
        </w:rPr>
        <w:t xml:space="preserve">Toggleable feature catalogue (initial):</w:t>
      </w:r>
    </w:p>
    <w:p>
      <w:pPr>
        <w:spacing w:after="100"/>
      </w:pPr>
      <w:r>
        <w:t xml:space="preserve">Events · Artists · Gallery · Member Portal · Membership Payments · Sponsor/Donations · Newsletter · Email Automation · Open Call · Tax Receipts · (association-specific modules default off).</w:t>
      </w:r>
    </w:p>
    <w:p>
      <w:pPr>
        <w:spacing w:after="100"/>
      </w:pPr>
      <w:r>
        <w:rPr>
          <w:b/>
          <w:bCs/>
        </w:rPr>
        <w:t xml:space="preserve">Deliverable: </w:t>
      </w:r>
      <w:r>
        <w:t xml:space="preserve">the Demo Assoc runs with a different subset of features than Elektr-Âme, set only in config.</w:t>
      </w:r>
    </w:p>
    <w:p>
      <w:pPr>
        <w:pStyle w:val="Heading1"/>
        <w:spacing w:after="120" w:before="260"/>
      </w:pPr>
      <w:r>
        <w:rPr>
          <w:b/>
          <w:bCs/>
          <w:color w:val="1F3A93"/>
        </w:rPr>
        <w:t xml:space="preserve">Phase 6 — Provisioning &amp; docs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Configure the repo as a GitHub Template Repository, plus a create-association script (or documented steps) that scaffolds site.config.ts, a public/brand/ folder, and a fresh database.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Launch guide + per-tenant deployment checklist.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Document the per-tenant provisioning steps and the (already decided) copy-per-association model.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Quality gates: tests for critical flows (auth, payment webhook, membership signup), a build/lint CI, and route-level code splitting to cut the ~1.2 MB bundle.</w:t>
      </w:r>
    </w:p>
    <w:p>
      <w:pPr>
        <w:pStyle w:val="Heading1"/>
        <w:spacing w:after="120" w:before="260"/>
      </w:pPr>
      <w:r>
        <w:rPr>
          <w:b/>
          <w:bCs/>
          <w:color w:val="1F3A93"/>
        </w:rPr>
        <w:t xml:space="preserve">Deployment &amp; repository model (DECIDED: copy-per-association)</w:t>
      </w:r>
    </w:p>
    <w:p>
      <w:pPr>
        <w:spacing w:after="100"/>
      </w:pPr>
      <w:r>
        <w:t xml:space="preserve">One new, separate template repo; each association is a copy with its own repo, hosting account and database. No shared runtime between associations.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rPr>
          <w:tblHeader/>
        </w:trPr>
        <w:tc>
          <w:tcPr>
            <w:tcW w:type="dxa" w:w="2600"/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600"/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How</w:t>
            </w:r>
          </w:p>
        </w:tc>
        <w:tc>
          <w:tcPr>
            <w:tcW w:type="dxa" w:w="2800"/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600"/>
            <w:shd w:fill="EEF2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Copy-per-association</w:t>
            </w:r>
          </w:p>
        </w:tc>
        <w:tc>
          <w:tcPr>
            <w:tcW w:type="dxa" w:w="3600"/>
            <w:shd w:fill="EEF2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New template repo, made a GitHub Template Repository. Each association = “Use this template” → its own repo, one DB, one hosting account.</w:t>
            </w:r>
          </w:p>
        </w:tc>
        <w:tc>
          <w:tcPr>
            <w:tcW w:type="dxa" w:w="2800"/>
            <w:shd w:fill="EEF2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CHOSEN. Low risk, fits OVH setup and the config-file model.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Multi-tenant single deploy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One deployment serves many associations, tenant chosen by domain; config + data keyed by tenant.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Later option only. Code should not preclude it, but out of scope now.</w:t>
            </w:r>
          </w:p>
        </w:tc>
      </w:tr>
    </w:tbl>
    <w:p>
      <w:pPr>
        <w:spacing w:after="100"/>
      </w:pPr>
      <w:r>
        <w:rPr>
          <w:b/>
          <w:bCs/>
        </w:rPr>
        <w:t xml:space="preserve">Repo setup (not a branch of Elektr-Âme):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Seed a fresh repo from the Elektr-Âme codebase with git history stripped, only after Phase 1 cleanup, so commit #1 carries no secret and no brand strings.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Enable the “Template repository” setting so each new association is created via “Use this template” with clean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Per association: create from template → edit site.config.ts → add brand assets → provision DB from schema.sql + migrations → deploy.</w:t>
      </w:r>
    </w:p>
    <w:p>
      <w:pPr>
        <w:pStyle w:val="Heading1"/>
        <w:spacing w:after="120" w:before="260"/>
      </w:pPr>
      <w:r>
        <w:rPr>
          <w:b/>
          <w:bCs/>
          <w:color w:val="1F3A93"/>
        </w:rPr>
        <w:t xml:space="preserve">Suggested sequencing &amp; rough effort</w:t>
      </w:r>
    </w:p>
    <w:p>
      <w:pPr>
        <w:spacing w:after="100"/>
      </w:pPr>
      <w:r>
        <w:rPr>
          <w:i/>
          <w:iCs/>
          <w:color w:val="555555"/>
        </w:rPr>
        <w:t xml:space="preserve">Indicative for one experienced full-stack contractor. Get firm quotes.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600"/>
      </w:tblGrid>
      <w:tr>
        <w:trPr>
          <w:tblHeader/>
        </w:trPr>
        <w:tc>
          <w:tcPr>
            <w:tcW w:type="dxa" w:w="1200"/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200"/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Work</w:t>
            </w:r>
          </w:p>
        </w:tc>
        <w:tc>
          <w:tcPr>
            <w:tcW w:type="dxa" w:w="2600"/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Rough size</w:t>
            </w:r>
          </w:p>
        </w:tc>
      </w:tr>
      <w:tr>
        <w:tc>
          <w:tcPr>
            <w:tcW w:type="dxa" w:w="1200"/>
            <w:shd w:fill="EEF2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200"/>
            <w:shd w:fill="EEF2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Security &amp; hygiene</w:t>
            </w:r>
          </w:p>
        </w:tc>
        <w:tc>
          <w:tcPr>
            <w:tcW w:type="dxa" w:w="2600"/>
            <w:shd w:fill="EEF2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~1 week</w:t>
            </w:r>
          </w:p>
        </w:tc>
      </w:tr>
      <w:tr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Repo restructure + migrations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~1–2 weeks</w:t>
            </w:r>
          </w:p>
        </w:tc>
      </w:tr>
      <w:tr>
        <w:tc>
          <w:tcPr>
            <w:tcW w:type="dxa" w:w="1200"/>
            <w:shd w:fill="EEF2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5200"/>
            <w:shd w:fill="EEF2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Theming engine</w:t>
            </w:r>
          </w:p>
        </w:tc>
        <w:tc>
          <w:tcPr>
            <w:tcW w:type="dxa" w:w="2600"/>
            <w:shd w:fill="EEF2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~1 week</w:t>
            </w:r>
          </w:p>
        </w:tc>
      </w:tr>
      <w:tr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Identity/content extraction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~1 week</w:t>
            </w:r>
          </w:p>
        </w:tc>
      </w:tr>
      <w:tr>
        <w:tc>
          <w:tcPr>
            <w:tcW w:type="dxa" w:w="1200"/>
            <w:shd w:fill="EEF2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5200"/>
            <w:shd w:fill="EEF2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Feature toggles (front + back)</w:t>
            </w:r>
          </w:p>
        </w:tc>
        <w:tc>
          <w:tcPr>
            <w:tcW w:type="dxa" w:w="2600"/>
            <w:shd w:fill="EEF2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~1–2 weeks</w:t>
            </w:r>
          </w:p>
        </w:tc>
      </w:tr>
      <w:tr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Provisioning, tests, CI, docs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~1 week</w:t>
            </w:r>
          </w:p>
        </w:tc>
      </w:tr>
    </w:tbl>
    <w:p>
      <w:pPr>
        <w:spacing w:after="100"/>
      </w:pPr>
      <w:r>
        <w:t xml:space="preserve">Phases 1–2 are prerequisites. 3, 4, 5 can partly overlap. Ask contractors to quote per phase, with Phase 1 as a fixed-price gate.</w:t>
      </w:r>
    </w:p>
    <w:p>
      <w:pPr>
        <w:pStyle w:val="Heading1"/>
        <w:spacing w:after="120" w:before="260"/>
      </w:pPr>
      <w:r>
        <w:rPr>
          <w:b/>
          <w:bCs/>
          <w:color w:val="1F3A93"/>
        </w:rPr>
        <w:t xml:space="preserve">How to verify each phase (acceptance tests)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Theming: change theme.primary → whole site recolours, no component edits.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Naming: grep -ri "elektr" src api → only config/locale interpolation.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Features: set gallery:false → no gallery route, nav, admin tab; /api/galleries-list.php returns 403; no dead links or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Provisioning: create “Demo Assoc” with different name, colours, logo and feature set using only config + brand assets.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Security: the Phase 1 checklist is fully closed and re-audited.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2026-09-25T10:01:23.944Z</dcterms:created>
  <dcterms:modified xsi:type="dcterms:W3CDTF">2026-09-25T10:01:23.945Z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