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989CC" w14:textId="46C5B980" w:rsidR="008959EF" w:rsidRDefault="008959EF" w:rsidP="008959E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F0874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E585537" wp14:editId="0B79A735">
            <wp:simplePos x="0" y="0"/>
            <wp:positionH relativeFrom="margin">
              <wp:posOffset>-480060</wp:posOffset>
            </wp:positionH>
            <wp:positionV relativeFrom="paragraph">
              <wp:posOffset>-245110</wp:posOffset>
            </wp:positionV>
            <wp:extent cx="1466850" cy="14820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recherche_SI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1" t="11634" r="10837" b="13134"/>
                    <a:stretch/>
                  </pic:blipFill>
                  <pic:spPr bwMode="auto">
                    <a:xfrm>
                      <a:off x="0" y="0"/>
                      <a:ext cx="1466850" cy="148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74">
        <w:rPr>
          <w:rFonts w:ascii="Arial" w:hAnsi="Arial" w:cs="Arial"/>
          <w:b/>
          <w:bCs/>
          <w:sz w:val="24"/>
          <w:szCs w:val="24"/>
        </w:rPr>
        <w:t xml:space="preserve">Accéder à l’information et à sa compréhension </w:t>
      </w:r>
      <w:r w:rsidR="00F96808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</w:t>
      </w:r>
      <w:r w:rsidRPr="003F0874">
        <w:rPr>
          <w:rFonts w:ascii="Arial" w:hAnsi="Arial" w:cs="Arial"/>
          <w:b/>
          <w:bCs/>
          <w:sz w:val="24"/>
          <w:szCs w:val="24"/>
        </w:rPr>
        <w:t>pour</w:t>
      </w:r>
      <w:r w:rsidR="00F9680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F0874">
        <w:rPr>
          <w:rFonts w:ascii="Arial" w:hAnsi="Arial" w:cs="Arial"/>
          <w:b/>
          <w:bCs/>
          <w:sz w:val="24"/>
          <w:szCs w:val="24"/>
        </w:rPr>
        <w:t>une société inclusive</w:t>
      </w:r>
    </w:p>
    <w:p w14:paraId="2A6A36D2" w14:textId="77777777" w:rsidR="00D261AD" w:rsidRPr="003F0874" w:rsidRDefault="00D261AD" w:rsidP="00C22B74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45BA866" w14:textId="3A82E801" w:rsidR="003D2D65" w:rsidRPr="00605518" w:rsidRDefault="00F96808" w:rsidP="00392414">
      <w:pPr>
        <w:jc w:val="center"/>
      </w:pPr>
      <w:r>
        <w:rPr>
          <w:rFonts w:ascii="Arial" w:hAnsi="Arial" w:cs="Arial"/>
          <w:b/>
          <w:sz w:val="28"/>
          <w:szCs w:val="28"/>
        </w:rPr>
        <w:t xml:space="preserve">Liste de vérification </w:t>
      </w:r>
      <w:r w:rsidR="00605518" w:rsidRPr="00605518">
        <w:rPr>
          <w:rFonts w:ascii="Arial" w:hAnsi="Arial" w:cs="Arial"/>
          <w:b/>
          <w:bCs/>
          <w:sz w:val="28"/>
          <w:szCs w:val="28"/>
        </w:rPr>
        <w:t>pour l’illustration logique</w:t>
      </w:r>
      <w:r w:rsidR="00C22B74" w:rsidRPr="00605518">
        <w:t xml:space="preserve"> </w:t>
      </w:r>
    </w:p>
    <w:p w14:paraId="36DD2D2F" w14:textId="1B081D12" w:rsidR="00366C21" w:rsidRDefault="00366C21"/>
    <w:p w14:paraId="4987AB96" w14:textId="77777777" w:rsidR="00605518" w:rsidRDefault="00605518" w:rsidP="00605518">
      <w:pPr>
        <w:spacing w:after="0"/>
        <w:rPr>
          <w:rFonts w:ascii="Arial" w:hAnsi="Arial" w:cs="Arial"/>
        </w:rPr>
      </w:pPr>
    </w:p>
    <w:p w14:paraId="21500618" w14:textId="76FE7318" w:rsidR="00136717" w:rsidRDefault="00136717" w:rsidP="005C5280">
      <w:pPr>
        <w:rPr>
          <w:rFonts w:ascii="Arial" w:hAnsi="Arial" w:cs="Arial"/>
        </w:rPr>
      </w:pPr>
      <w:r w:rsidRPr="00136717">
        <w:rPr>
          <w:rFonts w:ascii="Arial" w:hAnsi="Arial" w:cs="Arial"/>
        </w:rPr>
        <w:t xml:space="preserve">Cette liste de vérification </w:t>
      </w:r>
      <w:r w:rsidR="00605518">
        <w:rPr>
          <w:rFonts w:ascii="Arial" w:hAnsi="Arial" w:cs="Arial"/>
        </w:rPr>
        <w:t xml:space="preserve">pour l’illustration logique présente des recommandations lorsque l’information est présentée sous une forme de graphique, de </w:t>
      </w:r>
      <w:r w:rsidR="00605518" w:rsidRPr="00605518">
        <w:rPr>
          <w:rFonts w:ascii="Arial" w:hAnsi="Arial" w:cs="Arial"/>
        </w:rPr>
        <w:t xml:space="preserve">tableau, </w:t>
      </w:r>
      <w:r w:rsidR="00605518">
        <w:rPr>
          <w:rFonts w:ascii="Arial" w:hAnsi="Arial" w:cs="Arial"/>
        </w:rPr>
        <w:t>d’</w:t>
      </w:r>
      <w:r w:rsidR="00605518" w:rsidRPr="00605518">
        <w:rPr>
          <w:rFonts w:ascii="Arial" w:hAnsi="Arial" w:cs="Arial"/>
        </w:rPr>
        <w:t>organigramme</w:t>
      </w:r>
      <w:r w:rsidR="00605518">
        <w:rPr>
          <w:rFonts w:ascii="Arial" w:hAnsi="Arial" w:cs="Arial"/>
        </w:rPr>
        <w:t xml:space="preserve"> ou de </w:t>
      </w:r>
      <w:r w:rsidR="00605518" w:rsidRPr="00605518">
        <w:rPr>
          <w:rFonts w:ascii="Arial" w:hAnsi="Arial" w:cs="Arial"/>
        </w:rPr>
        <w:t>schéma</w:t>
      </w:r>
      <w:r w:rsidR="00605518">
        <w:rPr>
          <w:rFonts w:ascii="Arial" w:hAnsi="Arial" w:cs="Arial"/>
        </w:rPr>
        <w:t xml:space="preserve">. </w:t>
      </w:r>
      <w:r w:rsidR="00114FC5">
        <w:rPr>
          <w:rFonts w:ascii="Arial" w:hAnsi="Arial" w:cs="Arial"/>
        </w:rPr>
        <w:t xml:space="preserve"> </w:t>
      </w:r>
      <w:r w:rsidR="005C5280">
        <w:rPr>
          <w:rFonts w:ascii="Arial" w:hAnsi="Arial" w:cs="Arial"/>
        </w:rPr>
        <w:t xml:space="preserve">Ces recommandations ont été élaborées par madame Sylvie Gravel, cofondatrice et </w:t>
      </w:r>
      <w:r w:rsidR="005C5280" w:rsidRPr="00D964F0">
        <w:rPr>
          <w:rFonts w:ascii="Arial" w:hAnsi="Arial" w:cs="Arial"/>
          <w:bCs/>
        </w:rPr>
        <w:t>coordonnatrice de projet</w:t>
      </w:r>
      <w:r w:rsidR="005C5280">
        <w:rPr>
          <w:rFonts w:ascii="Arial" w:hAnsi="Arial" w:cs="Arial"/>
          <w:bCs/>
        </w:rPr>
        <w:t xml:space="preserve"> à </w:t>
      </w:r>
      <w:r w:rsidR="005C5280" w:rsidRPr="00D964F0">
        <w:rPr>
          <w:rFonts w:ascii="Arial" w:hAnsi="Arial" w:cs="Arial"/>
          <w:bCs/>
        </w:rPr>
        <w:t>Simplicom</w:t>
      </w:r>
      <w:r w:rsidR="005C5280">
        <w:rPr>
          <w:rFonts w:ascii="Arial" w:hAnsi="Arial" w:cs="Arial"/>
          <w:bCs/>
        </w:rPr>
        <w:t xml:space="preserve">, </w:t>
      </w:r>
      <w:hyperlink r:id="rId9" w:history="1">
        <w:r w:rsidR="005C5280" w:rsidRPr="00146874">
          <w:rPr>
            <w:rStyle w:val="Hyperlink"/>
            <w:rFonts w:ascii="Arial" w:hAnsi="Arial" w:cs="Arial"/>
            <w:bCs/>
          </w:rPr>
          <w:t>www.simplicom.org</w:t>
        </w:r>
      </w:hyperlink>
      <w:r w:rsidR="00025E6B">
        <w:rPr>
          <w:rFonts w:ascii="Arial" w:hAnsi="Arial" w:cs="Arial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237"/>
        <w:gridCol w:w="567"/>
        <w:gridCol w:w="567"/>
        <w:gridCol w:w="567"/>
        <w:gridCol w:w="567"/>
      </w:tblGrid>
      <w:tr w:rsidR="00605518" w14:paraId="32072185" w14:textId="77777777" w:rsidTr="000D511A">
        <w:trPr>
          <w:trHeight w:val="592"/>
          <w:tblHeader/>
        </w:trPr>
        <w:tc>
          <w:tcPr>
            <w:tcW w:w="6941" w:type="dxa"/>
            <w:gridSpan w:val="2"/>
            <w:shd w:val="clear" w:color="auto" w:fill="17365D" w:themeFill="text2" w:themeFillShade="BF"/>
            <w:vAlign w:val="center"/>
          </w:tcPr>
          <w:p w14:paraId="48335381" w14:textId="30557B1F" w:rsidR="00605518" w:rsidRPr="00D261AD" w:rsidRDefault="00605518" w:rsidP="00114FC5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D261AD">
              <w:rPr>
                <w:rFonts w:ascii="Arial" w:hAnsi="Arial" w:cs="Arial"/>
                <w:b/>
                <w:bCs/>
              </w:rPr>
              <w:t xml:space="preserve">Items – critères de vérification </w:t>
            </w:r>
          </w:p>
        </w:tc>
        <w:tc>
          <w:tcPr>
            <w:tcW w:w="567" w:type="dxa"/>
            <w:vAlign w:val="center"/>
          </w:tcPr>
          <w:p w14:paraId="74176728" w14:textId="28C9BF31" w:rsidR="00605518" w:rsidRDefault="00605518" w:rsidP="00114FC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b/>
                <w:sz w:val="36"/>
                <w:szCs w:val="36"/>
              </w:rPr>
              <w:t></w:t>
            </w:r>
          </w:p>
        </w:tc>
        <w:tc>
          <w:tcPr>
            <w:tcW w:w="567" w:type="dxa"/>
            <w:vAlign w:val="center"/>
          </w:tcPr>
          <w:p w14:paraId="40DD6DEE" w14:textId="17017386" w:rsidR="00605518" w:rsidRDefault="00605518" w:rsidP="00114FC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b/>
                <w:sz w:val="36"/>
                <w:szCs w:val="36"/>
              </w:rPr>
              <w:t></w:t>
            </w:r>
          </w:p>
        </w:tc>
        <w:tc>
          <w:tcPr>
            <w:tcW w:w="567" w:type="dxa"/>
            <w:vAlign w:val="center"/>
          </w:tcPr>
          <w:p w14:paraId="09CF1BCE" w14:textId="2DB9A543" w:rsidR="00605518" w:rsidRDefault="00605518" w:rsidP="00114FC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b/>
                <w:sz w:val="36"/>
                <w:szCs w:val="36"/>
              </w:rPr>
              <w:t></w:t>
            </w:r>
          </w:p>
        </w:tc>
        <w:tc>
          <w:tcPr>
            <w:tcW w:w="567" w:type="dxa"/>
            <w:vAlign w:val="center"/>
          </w:tcPr>
          <w:p w14:paraId="696A673B" w14:textId="60549531" w:rsidR="00605518" w:rsidRPr="00F43481" w:rsidRDefault="00605518" w:rsidP="00114FC5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43481"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</w:tr>
      <w:tr w:rsidR="00B04E99" w14:paraId="250BD18E" w14:textId="77777777" w:rsidTr="00B04E99">
        <w:tc>
          <w:tcPr>
            <w:tcW w:w="9209" w:type="dxa"/>
            <w:gridSpan w:val="6"/>
            <w:shd w:val="clear" w:color="auto" w:fill="C6D9F1" w:themeFill="text2" w:themeFillTint="33"/>
            <w:vAlign w:val="center"/>
          </w:tcPr>
          <w:p w14:paraId="3DF2C211" w14:textId="6D798481" w:rsidR="00B04E99" w:rsidRPr="00B04E99" w:rsidRDefault="00B04E99" w:rsidP="00B04E99">
            <w:pPr>
              <w:spacing w:before="60" w:after="60" w:line="276" w:lineRule="auto"/>
              <w:rPr>
                <w:rFonts w:ascii="Arial" w:hAnsi="Arial" w:cs="Arial"/>
              </w:rPr>
            </w:pPr>
            <w:r w:rsidRPr="00B04E99">
              <w:rPr>
                <w:rFonts w:ascii="Arial" w:hAnsi="Arial" w:cs="Arial"/>
                <w:b/>
              </w:rPr>
              <w:t>Pour l’illustration logique : graphique</w:t>
            </w:r>
            <w:r w:rsidR="00B039FF">
              <w:rPr>
                <w:rFonts w:ascii="Arial" w:hAnsi="Arial" w:cs="Arial"/>
                <w:b/>
              </w:rPr>
              <w:t>s</w:t>
            </w:r>
            <w:r w:rsidRPr="00B04E99">
              <w:rPr>
                <w:rFonts w:ascii="Arial" w:hAnsi="Arial" w:cs="Arial"/>
                <w:b/>
              </w:rPr>
              <w:t>, tableau</w:t>
            </w:r>
            <w:r w:rsidR="00B039FF">
              <w:rPr>
                <w:rFonts w:ascii="Arial" w:hAnsi="Arial" w:cs="Arial"/>
                <w:b/>
              </w:rPr>
              <w:t>x</w:t>
            </w:r>
            <w:r w:rsidRPr="00B04E99">
              <w:rPr>
                <w:rFonts w:ascii="Arial" w:hAnsi="Arial" w:cs="Arial"/>
                <w:b/>
              </w:rPr>
              <w:t>, organigramme</w:t>
            </w:r>
            <w:r w:rsidR="00B039FF">
              <w:rPr>
                <w:rFonts w:ascii="Arial" w:hAnsi="Arial" w:cs="Arial"/>
                <w:b/>
              </w:rPr>
              <w:t>s</w:t>
            </w:r>
            <w:r w:rsidRPr="00B04E99">
              <w:rPr>
                <w:rFonts w:ascii="Arial" w:hAnsi="Arial" w:cs="Arial"/>
                <w:b/>
              </w:rPr>
              <w:t>, schéma</w:t>
            </w:r>
            <w:r w:rsidR="00B039FF">
              <w:rPr>
                <w:rFonts w:ascii="Arial" w:hAnsi="Arial" w:cs="Arial"/>
                <w:b/>
              </w:rPr>
              <w:t>s</w:t>
            </w:r>
          </w:p>
        </w:tc>
      </w:tr>
      <w:tr w:rsidR="00605518" w14:paraId="567AA99C" w14:textId="77777777" w:rsidTr="000D511A">
        <w:tc>
          <w:tcPr>
            <w:tcW w:w="704" w:type="dxa"/>
            <w:vAlign w:val="center"/>
          </w:tcPr>
          <w:p w14:paraId="695D2108" w14:textId="79C37434" w:rsidR="00605518" w:rsidRPr="00B04E99" w:rsidRDefault="00605518" w:rsidP="00B04E9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14:paraId="34C921F3" w14:textId="6A37162B" w:rsidR="00605518" w:rsidRPr="00B04E99" w:rsidRDefault="00B04E99" w:rsidP="00B04E99">
            <w:pPr>
              <w:spacing w:before="60" w:after="60" w:line="276" w:lineRule="auto"/>
              <w:rPr>
                <w:rFonts w:ascii="Arial" w:hAnsi="Arial" w:cs="Arial"/>
              </w:rPr>
            </w:pPr>
            <w:r w:rsidRPr="00B04E99">
              <w:rPr>
                <w:rFonts w:ascii="Arial" w:hAnsi="Arial" w:cs="Arial"/>
              </w:rPr>
              <w:t>Présenter une illustration logique hiérarchisée : mettre en évidence l’information pertinente la plus importante vers la moins importante pour la mémorisation et le passage à l’action du lecteur </w:t>
            </w:r>
          </w:p>
        </w:tc>
        <w:tc>
          <w:tcPr>
            <w:tcW w:w="567" w:type="dxa"/>
          </w:tcPr>
          <w:p w14:paraId="23282C4A" w14:textId="1834D5E1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737D186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36DD5D4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7B0D8D0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605518" w14:paraId="46F15C6C" w14:textId="77777777" w:rsidTr="000D511A">
        <w:tc>
          <w:tcPr>
            <w:tcW w:w="704" w:type="dxa"/>
            <w:vAlign w:val="center"/>
          </w:tcPr>
          <w:p w14:paraId="3AC99DDD" w14:textId="45F5A27E" w:rsidR="00605518" w:rsidRPr="00B04E99" w:rsidRDefault="00605518" w:rsidP="00B04E9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14:paraId="63B9F91B" w14:textId="35B51CC1" w:rsidR="00605518" w:rsidRPr="00B04E99" w:rsidRDefault="00B04E99" w:rsidP="00B04E99">
            <w:pPr>
              <w:spacing w:before="60" w:after="60" w:line="276" w:lineRule="auto"/>
              <w:rPr>
                <w:rFonts w:ascii="Arial" w:hAnsi="Arial" w:cs="Arial"/>
              </w:rPr>
            </w:pPr>
            <w:r w:rsidRPr="00B04E99">
              <w:rPr>
                <w:rFonts w:ascii="Arial" w:hAnsi="Arial" w:cs="Arial"/>
              </w:rPr>
              <w:t>Titrer le tableau ou le graphique pour bien indiquer le rapport entre l’illustration et le texte</w:t>
            </w:r>
          </w:p>
        </w:tc>
        <w:tc>
          <w:tcPr>
            <w:tcW w:w="567" w:type="dxa"/>
          </w:tcPr>
          <w:p w14:paraId="70966822" w14:textId="5036619F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525CCB2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62ABBAE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06ED515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605518" w14:paraId="4733A567" w14:textId="77777777" w:rsidTr="000D511A">
        <w:tc>
          <w:tcPr>
            <w:tcW w:w="704" w:type="dxa"/>
            <w:vAlign w:val="center"/>
          </w:tcPr>
          <w:p w14:paraId="34737440" w14:textId="04E4F32C" w:rsidR="00605518" w:rsidRPr="00B04E99" w:rsidRDefault="00605518" w:rsidP="00B04E9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14:paraId="4C3F8CFF" w14:textId="7531D89C" w:rsidR="00605518" w:rsidRPr="00B04E99" w:rsidRDefault="00B04E99" w:rsidP="00B04E99">
            <w:pPr>
              <w:tabs>
                <w:tab w:val="left" w:pos="1625"/>
              </w:tabs>
              <w:spacing w:before="60" w:after="60" w:line="276" w:lineRule="auto"/>
              <w:rPr>
                <w:rFonts w:ascii="Arial" w:hAnsi="Arial" w:cs="Arial"/>
              </w:rPr>
            </w:pPr>
            <w:r w:rsidRPr="00B04E99">
              <w:rPr>
                <w:rFonts w:ascii="Arial" w:hAnsi="Arial" w:cs="Arial"/>
              </w:rPr>
              <w:t>Respecter les règles du droit d’auteur du tableau ou du graphique</w:t>
            </w:r>
            <w:r w:rsidRPr="00B04E99">
              <w:rPr>
                <w:rFonts w:ascii="Arial" w:hAnsi="Arial" w:cs="Arial"/>
              </w:rPr>
              <w:tab/>
            </w:r>
          </w:p>
        </w:tc>
        <w:tc>
          <w:tcPr>
            <w:tcW w:w="567" w:type="dxa"/>
          </w:tcPr>
          <w:p w14:paraId="3D10F2FF" w14:textId="68E40292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E46EABE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1A84727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FBE6B9F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605518" w14:paraId="13FC520C" w14:textId="77777777" w:rsidTr="000D511A">
        <w:tc>
          <w:tcPr>
            <w:tcW w:w="704" w:type="dxa"/>
            <w:vAlign w:val="center"/>
          </w:tcPr>
          <w:p w14:paraId="235D36F6" w14:textId="77777777" w:rsidR="00605518" w:rsidRPr="00B04E99" w:rsidRDefault="00605518" w:rsidP="00B04E9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14:paraId="4A124D57" w14:textId="0E557E14" w:rsidR="00605518" w:rsidRPr="00B04E99" w:rsidRDefault="00B04E99" w:rsidP="00B04E99">
            <w:pPr>
              <w:spacing w:before="60" w:after="60" w:line="276" w:lineRule="auto"/>
              <w:rPr>
                <w:rFonts w:ascii="Arial" w:hAnsi="Arial" w:cs="Arial"/>
              </w:rPr>
            </w:pPr>
            <w:r w:rsidRPr="00B04E99">
              <w:rPr>
                <w:rFonts w:ascii="Arial" w:hAnsi="Arial" w:cs="Arial"/>
              </w:rPr>
              <w:t>Insérer un graphique de catégories (réseau, liste, hiérarchie) dans une page (ne pas dépasser une page)</w:t>
            </w:r>
          </w:p>
        </w:tc>
        <w:tc>
          <w:tcPr>
            <w:tcW w:w="567" w:type="dxa"/>
          </w:tcPr>
          <w:p w14:paraId="3B2DD181" w14:textId="517F5884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7CB25F7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77C6857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ABBDC38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605518" w14:paraId="64CF1F60" w14:textId="77777777" w:rsidTr="000D511A">
        <w:tc>
          <w:tcPr>
            <w:tcW w:w="704" w:type="dxa"/>
            <w:vAlign w:val="center"/>
          </w:tcPr>
          <w:p w14:paraId="51E45A05" w14:textId="77777777" w:rsidR="00605518" w:rsidRPr="00B04E99" w:rsidRDefault="00605518" w:rsidP="00B04E9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14:paraId="405E4C7B" w14:textId="55091215" w:rsidR="00605518" w:rsidRPr="00B04E99" w:rsidRDefault="00B04E99" w:rsidP="00B04E99">
            <w:pPr>
              <w:spacing w:before="60" w:after="60" w:line="276" w:lineRule="auto"/>
              <w:rPr>
                <w:rFonts w:ascii="Arial" w:hAnsi="Arial" w:cs="Arial"/>
              </w:rPr>
            </w:pPr>
            <w:r w:rsidRPr="00B04E99">
              <w:rPr>
                <w:rFonts w:ascii="Arial" w:hAnsi="Arial" w:cs="Arial"/>
              </w:rPr>
              <w:t>Insérer un graphique de processus (séquence, branchement) dans une page (ne pas dépasser une page)</w:t>
            </w:r>
          </w:p>
        </w:tc>
        <w:tc>
          <w:tcPr>
            <w:tcW w:w="567" w:type="dxa"/>
          </w:tcPr>
          <w:p w14:paraId="7CA8DC47" w14:textId="772D6EEC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5178893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2DF681D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FA9EBFC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605518" w14:paraId="7C5110A9" w14:textId="77777777" w:rsidTr="000D511A">
        <w:tc>
          <w:tcPr>
            <w:tcW w:w="704" w:type="dxa"/>
            <w:vAlign w:val="center"/>
          </w:tcPr>
          <w:p w14:paraId="78F39763" w14:textId="77777777" w:rsidR="00605518" w:rsidRPr="00B04E99" w:rsidRDefault="00605518" w:rsidP="00B04E9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14:paraId="3403B849" w14:textId="050426AD" w:rsidR="00605518" w:rsidRPr="00B04E99" w:rsidRDefault="00B04E99" w:rsidP="00B04E99">
            <w:pPr>
              <w:spacing w:before="60" w:after="60" w:line="276" w:lineRule="auto"/>
              <w:rPr>
                <w:rFonts w:ascii="Arial" w:hAnsi="Arial" w:cs="Arial"/>
              </w:rPr>
            </w:pPr>
            <w:r w:rsidRPr="00B04E99">
              <w:rPr>
                <w:rFonts w:ascii="Arial" w:hAnsi="Arial" w:cs="Arial"/>
              </w:rPr>
              <w:t>Présenter l’information quantitative avec des barres horizontales non juxtaposées pour une meilleure utilisation de l’espace</w:t>
            </w:r>
          </w:p>
        </w:tc>
        <w:tc>
          <w:tcPr>
            <w:tcW w:w="567" w:type="dxa"/>
          </w:tcPr>
          <w:p w14:paraId="0DC1A429" w14:textId="58F34A0A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8C371FD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CF8E07C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2C8CC43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605518" w14:paraId="39C5CDE6" w14:textId="77777777" w:rsidTr="000D511A">
        <w:tc>
          <w:tcPr>
            <w:tcW w:w="704" w:type="dxa"/>
            <w:vAlign w:val="center"/>
          </w:tcPr>
          <w:p w14:paraId="04A0DA53" w14:textId="77777777" w:rsidR="00605518" w:rsidRPr="00B04E99" w:rsidRDefault="00605518" w:rsidP="00B04E9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14:paraId="29E461C5" w14:textId="19749C56" w:rsidR="00605518" w:rsidRPr="00B04E99" w:rsidRDefault="00B04E99" w:rsidP="00B04E99">
            <w:pPr>
              <w:spacing w:before="60" w:after="60" w:line="276" w:lineRule="auto"/>
              <w:rPr>
                <w:rFonts w:ascii="Arial" w:hAnsi="Arial" w:cs="Arial"/>
              </w:rPr>
            </w:pPr>
            <w:r w:rsidRPr="00B04E99">
              <w:rPr>
                <w:rFonts w:ascii="Arial" w:hAnsi="Arial" w:cs="Arial"/>
              </w:rPr>
              <w:t>Éviter d’utiliser des barres comparatives côte à côte (horizontales ou verticales)</w:t>
            </w:r>
          </w:p>
        </w:tc>
        <w:tc>
          <w:tcPr>
            <w:tcW w:w="567" w:type="dxa"/>
          </w:tcPr>
          <w:p w14:paraId="39877E36" w14:textId="3C15786A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E01A793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0867098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09A47EC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605518" w14:paraId="55BE6306" w14:textId="77777777" w:rsidTr="000D511A">
        <w:tc>
          <w:tcPr>
            <w:tcW w:w="704" w:type="dxa"/>
            <w:vAlign w:val="center"/>
          </w:tcPr>
          <w:p w14:paraId="322CB794" w14:textId="77777777" w:rsidR="00605518" w:rsidRPr="00B04E99" w:rsidRDefault="00605518" w:rsidP="00B04E9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14:paraId="788B7989" w14:textId="15B15285" w:rsidR="00605518" w:rsidRPr="00B04E99" w:rsidRDefault="00B04E99" w:rsidP="00B04E99">
            <w:pPr>
              <w:spacing w:before="60" w:after="60" w:line="276" w:lineRule="auto"/>
              <w:rPr>
                <w:rFonts w:ascii="Arial" w:hAnsi="Arial" w:cs="Arial"/>
              </w:rPr>
            </w:pPr>
            <w:r w:rsidRPr="00B04E99">
              <w:rPr>
                <w:rFonts w:ascii="Arial" w:hAnsi="Arial" w:cs="Arial"/>
              </w:rPr>
              <w:t>Éviter d’utiliser le diagramme à secteurs circulaires</w:t>
            </w:r>
          </w:p>
        </w:tc>
        <w:tc>
          <w:tcPr>
            <w:tcW w:w="567" w:type="dxa"/>
          </w:tcPr>
          <w:p w14:paraId="19C275A2" w14:textId="4408ACFB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4277AE0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9A1D7F8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0E6EA7C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605518" w14:paraId="01818C1E" w14:textId="77777777" w:rsidTr="000D511A">
        <w:tc>
          <w:tcPr>
            <w:tcW w:w="704" w:type="dxa"/>
            <w:vAlign w:val="center"/>
          </w:tcPr>
          <w:p w14:paraId="35918641" w14:textId="77777777" w:rsidR="00605518" w:rsidRPr="00B04E99" w:rsidRDefault="00605518" w:rsidP="00B04E9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14:paraId="2AD83A97" w14:textId="5F59A6AF" w:rsidR="00605518" w:rsidRPr="00B04E99" w:rsidRDefault="00B04E99" w:rsidP="00B04E99">
            <w:pPr>
              <w:spacing w:before="60" w:after="60" w:line="276" w:lineRule="auto"/>
              <w:rPr>
                <w:rFonts w:ascii="Arial" w:hAnsi="Arial" w:cs="Arial"/>
              </w:rPr>
            </w:pPr>
            <w:r w:rsidRPr="00B04E99">
              <w:rPr>
                <w:rFonts w:ascii="Arial" w:hAnsi="Arial" w:cs="Arial"/>
              </w:rPr>
              <w:t>Éviter d’utiliser le diagramme des courbes</w:t>
            </w:r>
          </w:p>
        </w:tc>
        <w:tc>
          <w:tcPr>
            <w:tcW w:w="567" w:type="dxa"/>
          </w:tcPr>
          <w:p w14:paraId="444C7791" w14:textId="220885A3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493BECE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30BC976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63CB1E6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605518" w14:paraId="1E8CF375" w14:textId="77777777" w:rsidTr="000D511A">
        <w:tc>
          <w:tcPr>
            <w:tcW w:w="704" w:type="dxa"/>
            <w:vAlign w:val="center"/>
          </w:tcPr>
          <w:p w14:paraId="44233CE9" w14:textId="77777777" w:rsidR="00605518" w:rsidRPr="00B04E99" w:rsidRDefault="00605518" w:rsidP="00B04E9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14:paraId="16E48FF6" w14:textId="7D80A0E0" w:rsidR="00605518" w:rsidRPr="00B04E99" w:rsidRDefault="00B04E99" w:rsidP="00B04E99">
            <w:pPr>
              <w:spacing w:before="60" w:after="60" w:line="276" w:lineRule="auto"/>
              <w:rPr>
                <w:rFonts w:ascii="Arial" w:hAnsi="Arial" w:cs="Arial"/>
              </w:rPr>
            </w:pPr>
            <w:r w:rsidRPr="00B04E99">
              <w:rPr>
                <w:rFonts w:ascii="Arial" w:hAnsi="Arial" w:cs="Arial"/>
              </w:rPr>
              <w:t xml:space="preserve">Utiliser l’organigramme pour mettre en évidence </w:t>
            </w:r>
            <w:r w:rsidRPr="00B039FF">
              <w:rPr>
                <w:rFonts w:ascii="Arial" w:hAnsi="Arial" w:cs="Arial"/>
                <w:bCs/>
              </w:rPr>
              <w:t>le lien/résultat avec l’option possible à percevoir pa</w:t>
            </w:r>
            <w:r w:rsidRPr="00B04E99">
              <w:rPr>
                <w:rFonts w:ascii="Arial" w:hAnsi="Arial" w:cs="Arial"/>
              </w:rPr>
              <w:t>r le lecteur</w:t>
            </w:r>
          </w:p>
        </w:tc>
        <w:tc>
          <w:tcPr>
            <w:tcW w:w="567" w:type="dxa"/>
          </w:tcPr>
          <w:p w14:paraId="5973979F" w14:textId="3881C242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28CA500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8A2BC9B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62A445A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605518" w14:paraId="464FC461" w14:textId="77777777" w:rsidTr="000D511A">
        <w:tc>
          <w:tcPr>
            <w:tcW w:w="704" w:type="dxa"/>
            <w:vAlign w:val="center"/>
          </w:tcPr>
          <w:p w14:paraId="48664554" w14:textId="77777777" w:rsidR="00605518" w:rsidRPr="00B04E99" w:rsidRDefault="00605518" w:rsidP="00B04E9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14:paraId="167E82DB" w14:textId="6C9335FD" w:rsidR="00605518" w:rsidRPr="00B04E99" w:rsidRDefault="00B04E99" w:rsidP="00B04E99">
            <w:pPr>
              <w:spacing w:before="60" w:after="60" w:line="276" w:lineRule="auto"/>
              <w:rPr>
                <w:rFonts w:ascii="Arial" w:hAnsi="Arial" w:cs="Arial"/>
              </w:rPr>
            </w:pPr>
            <w:r w:rsidRPr="00B04E99">
              <w:rPr>
                <w:rFonts w:ascii="Arial" w:hAnsi="Arial" w:cs="Arial"/>
              </w:rPr>
              <w:t>Présenter un tableau de type alphabétique dans un format simple, aéré, pour voir facilement les caractéristiques d’un élément</w:t>
            </w:r>
          </w:p>
        </w:tc>
        <w:tc>
          <w:tcPr>
            <w:tcW w:w="567" w:type="dxa"/>
          </w:tcPr>
          <w:p w14:paraId="0E6ECF26" w14:textId="390E5051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C0D9223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FAC1E6F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9185A5F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605518" w14:paraId="35CD1613" w14:textId="77777777" w:rsidTr="000D511A">
        <w:tc>
          <w:tcPr>
            <w:tcW w:w="704" w:type="dxa"/>
            <w:vAlign w:val="center"/>
          </w:tcPr>
          <w:p w14:paraId="4A1095DD" w14:textId="77777777" w:rsidR="00605518" w:rsidRPr="00B04E99" w:rsidRDefault="00605518" w:rsidP="00B04E9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14:paraId="795221BD" w14:textId="79B45603" w:rsidR="00605518" w:rsidRPr="00B04E99" w:rsidRDefault="00B04E99" w:rsidP="00B04E99">
            <w:pPr>
              <w:spacing w:before="60" w:after="60" w:line="276" w:lineRule="auto"/>
              <w:rPr>
                <w:rFonts w:ascii="Arial" w:hAnsi="Arial" w:cs="Arial"/>
              </w:rPr>
            </w:pPr>
            <w:r w:rsidRPr="00B04E99">
              <w:rPr>
                <w:rFonts w:ascii="Arial" w:hAnsi="Arial" w:cs="Arial"/>
              </w:rPr>
              <w:t>Présenter un tableau de type quantitatif avec les chiffres en colonnes pour faciliter la comparaison</w:t>
            </w:r>
          </w:p>
        </w:tc>
        <w:tc>
          <w:tcPr>
            <w:tcW w:w="567" w:type="dxa"/>
          </w:tcPr>
          <w:p w14:paraId="5EE5436C" w14:textId="3453AEE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C587881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913A06B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0FDDB26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605518" w14:paraId="49F9CD8C" w14:textId="77777777" w:rsidTr="000D511A">
        <w:tc>
          <w:tcPr>
            <w:tcW w:w="704" w:type="dxa"/>
            <w:vAlign w:val="center"/>
          </w:tcPr>
          <w:p w14:paraId="6BC013A1" w14:textId="77777777" w:rsidR="00605518" w:rsidRPr="00B04E99" w:rsidRDefault="00605518" w:rsidP="00B04E9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14:paraId="42BDFC87" w14:textId="1E51C228" w:rsidR="00605518" w:rsidRPr="00B04E99" w:rsidRDefault="00B04E99" w:rsidP="00B04E99">
            <w:pPr>
              <w:spacing w:before="60" w:after="60" w:line="276" w:lineRule="auto"/>
              <w:rPr>
                <w:rFonts w:ascii="Arial" w:hAnsi="Arial" w:cs="Arial"/>
              </w:rPr>
            </w:pPr>
            <w:r w:rsidRPr="00B04E99">
              <w:rPr>
                <w:rFonts w:ascii="Arial" w:hAnsi="Arial" w:cs="Arial"/>
              </w:rPr>
              <w:t>Préciser le type d'unités en tête de colonne</w:t>
            </w:r>
          </w:p>
        </w:tc>
        <w:tc>
          <w:tcPr>
            <w:tcW w:w="567" w:type="dxa"/>
          </w:tcPr>
          <w:p w14:paraId="0D8D9665" w14:textId="37722F2F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BCF61E2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DEACFA1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42C13A1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605518" w14:paraId="2BA662A3" w14:textId="77777777" w:rsidTr="000D511A">
        <w:tc>
          <w:tcPr>
            <w:tcW w:w="704" w:type="dxa"/>
            <w:vAlign w:val="center"/>
          </w:tcPr>
          <w:p w14:paraId="3DD40157" w14:textId="77777777" w:rsidR="00605518" w:rsidRPr="00B04E99" w:rsidRDefault="00605518" w:rsidP="00B04E9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14:paraId="0944338F" w14:textId="7DB9F623" w:rsidR="00605518" w:rsidRPr="00B04E99" w:rsidRDefault="00B04E99" w:rsidP="00B04E99">
            <w:pPr>
              <w:spacing w:before="60" w:after="60" w:line="276" w:lineRule="auto"/>
              <w:rPr>
                <w:rFonts w:ascii="Arial" w:hAnsi="Arial" w:cs="Arial"/>
              </w:rPr>
            </w:pPr>
            <w:r w:rsidRPr="00B04E99">
              <w:rPr>
                <w:rFonts w:ascii="Arial" w:hAnsi="Arial" w:cs="Arial"/>
              </w:rPr>
              <w:t>Éviter de faire paraitre l'unité à côté de chaque nombre</w:t>
            </w:r>
          </w:p>
        </w:tc>
        <w:tc>
          <w:tcPr>
            <w:tcW w:w="567" w:type="dxa"/>
          </w:tcPr>
          <w:p w14:paraId="187ABD55" w14:textId="4815064A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7BE2B30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58BAAF4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A2A164D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605518" w14:paraId="1F86B6F4" w14:textId="77777777" w:rsidTr="000D511A">
        <w:tc>
          <w:tcPr>
            <w:tcW w:w="704" w:type="dxa"/>
            <w:vAlign w:val="center"/>
          </w:tcPr>
          <w:p w14:paraId="3871D1A0" w14:textId="77777777" w:rsidR="00605518" w:rsidRPr="00B04E99" w:rsidRDefault="00605518" w:rsidP="00B04E9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14:paraId="0183A818" w14:textId="56473145" w:rsidR="00605518" w:rsidRPr="00B04E99" w:rsidRDefault="00B04E99" w:rsidP="00B04E99">
            <w:pPr>
              <w:spacing w:before="60" w:after="60" w:line="276" w:lineRule="auto"/>
              <w:rPr>
                <w:rFonts w:ascii="Arial" w:hAnsi="Arial" w:cs="Arial"/>
              </w:rPr>
            </w:pPr>
            <w:r w:rsidRPr="00B04E99">
              <w:rPr>
                <w:rFonts w:ascii="Arial" w:hAnsi="Arial" w:cs="Arial"/>
              </w:rPr>
              <w:t>Présenter un tableau avec peu de variables, deux ou trois seulement</w:t>
            </w:r>
          </w:p>
        </w:tc>
        <w:tc>
          <w:tcPr>
            <w:tcW w:w="567" w:type="dxa"/>
          </w:tcPr>
          <w:p w14:paraId="32D44057" w14:textId="16CC8381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3B5161D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51E009C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B0A26FF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605518" w14:paraId="2555A152" w14:textId="77777777" w:rsidTr="000D511A">
        <w:tc>
          <w:tcPr>
            <w:tcW w:w="704" w:type="dxa"/>
            <w:vAlign w:val="center"/>
          </w:tcPr>
          <w:p w14:paraId="4A4489BB" w14:textId="77777777" w:rsidR="00605518" w:rsidRPr="00B04E99" w:rsidRDefault="00605518" w:rsidP="00B04E9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14:paraId="42649680" w14:textId="6CF9D56D" w:rsidR="00605518" w:rsidRPr="00B04E99" w:rsidRDefault="00B04E99" w:rsidP="00B04E99">
            <w:pPr>
              <w:spacing w:before="60" w:after="60" w:line="276" w:lineRule="auto"/>
              <w:rPr>
                <w:rFonts w:ascii="Arial" w:hAnsi="Arial" w:cs="Arial"/>
              </w:rPr>
            </w:pPr>
            <w:r w:rsidRPr="00B04E99">
              <w:rPr>
                <w:rFonts w:ascii="Arial" w:hAnsi="Arial" w:cs="Arial"/>
              </w:rPr>
              <w:t>Arrondir les valeurs chiffrées (maximum 3 chiffres) </w:t>
            </w:r>
          </w:p>
        </w:tc>
        <w:tc>
          <w:tcPr>
            <w:tcW w:w="567" w:type="dxa"/>
          </w:tcPr>
          <w:p w14:paraId="27EE7A47" w14:textId="21739FC0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2D5BE1A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CEAA9C9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18062A8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605518" w14:paraId="64021DD3" w14:textId="77777777" w:rsidTr="000D511A">
        <w:tc>
          <w:tcPr>
            <w:tcW w:w="704" w:type="dxa"/>
            <w:vAlign w:val="center"/>
          </w:tcPr>
          <w:p w14:paraId="3F793E50" w14:textId="77777777" w:rsidR="00605518" w:rsidRPr="00B04E99" w:rsidRDefault="00605518" w:rsidP="00B04E9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14:paraId="29585B54" w14:textId="270A3C8B" w:rsidR="00605518" w:rsidRPr="00B04E99" w:rsidRDefault="00B04E99" w:rsidP="00B04E99">
            <w:pPr>
              <w:spacing w:before="60" w:after="60" w:line="276" w:lineRule="auto"/>
              <w:rPr>
                <w:rFonts w:ascii="Arial" w:hAnsi="Arial" w:cs="Arial"/>
              </w:rPr>
            </w:pPr>
            <w:r w:rsidRPr="00B04E99">
              <w:rPr>
                <w:rFonts w:ascii="Arial" w:hAnsi="Arial" w:cs="Arial"/>
              </w:rPr>
              <w:t>Laisser un espace blanc toutes les cinq lignes avec des colonnes longues, pour faciliter le repérage</w:t>
            </w:r>
          </w:p>
        </w:tc>
        <w:tc>
          <w:tcPr>
            <w:tcW w:w="567" w:type="dxa"/>
          </w:tcPr>
          <w:p w14:paraId="3DB47E4E" w14:textId="632784A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05E598A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E9DEFDA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C076D8B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605518" w14:paraId="30D263A9" w14:textId="77777777" w:rsidTr="000D511A">
        <w:tc>
          <w:tcPr>
            <w:tcW w:w="704" w:type="dxa"/>
            <w:vAlign w:val="center"/>
          </w:tcPr>
          <w:p w14:paraId="43375A10" w14:textId="77777777" w:rsidR="00605518" w:rsidRPr="00B04E99" w:rsidRDefault="00605518" w:rsidP="00B04E9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14:paraId="3D86E583" w14:textId="7F4B63BA" w:rsidR="00605518" w:rsidRPr="00B04E99" w:rsidRDefault="00B04E99" w:rsidP="00B04E99">
            <w:pPr>
              <w:spacing w:before="60" w:after="60" w:line="276" w:lineRule="auto"/>
              <w:rPr>
                <w:rFonts w:ascii="Arial" w:hAnsi="Arial" w:cs="Arial"/>
              </w:rPr>
            </w:pPr>
            <w:r w:rsidRPr="00B04E99">
              <w:rPr>
                <w:rFonts w:ascii="Arial" w:hAnsi="Arial" w:cs="Arial"/>
                <w:bCs/>
              </w:rPr>
              <w:t>Évitez l'effet quadrillage</w:t>
            </w:r>
            <w:r w:rsidRPr="00B04E99">
              <w:rPr>
                <w:rFonts w:ascii="Arial" w:hAnsi="Arial" w:cs="Arial"/>
              </w:rPr>
              <w:t> avec des bordures partout : alléger le quadrillage</w:t>
            </w:r>
          </w:p>
        </w:tc>
        <w:tc>
          <w:tcPr>
            <w:tcW w:w="567" w:type="dxa"/>
          </w:tcPr>
          <w:p w14:paraId="7B1FBA4A" w14:textId="1D1E288D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B3A91B6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0F4AB16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5545F22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605518" w14:paraId="4734BB75" w14:textId="77777777" w:rsidTr="000D511A">
        <w:tc>
          <w:tcPr>
            <w:tcW w:w="704" w:type="dxa"/>
            <w:vAlign w:val="center"/>
          </w:tcPr>
          <w:p w14:paraId="2289D96C" w14:textId="77777777" w:rsidR="00605518" w:rsidRPr="00B04E99" w:rsidRDefault="00605518" w:rsidP="00B04E9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14:paraId="1D66C38D" w14:textId="48ABABD5" w:rsidR="00605518" w:rsidRPr="00B04E99" w:rsidRDefault="00B04E99" w:rsidP="00B04E99">
            <w:pPr>
              <w:spacing w:before="60" w:after="60" w:line="276" w:lineRule="auto"/>
              <w:rPr>
                <w:rFonts w:ascii="Arial" w:hAnsi="Arial" w:cs="Arial"/>
              </w:rPr>
            </w:pPr>
            <w:r w:rsidRPr="00B04E99">
              <w:rPr>
                <w:rFonts w:ascii="Arial" w:hAnsi="Arial" w:cs="Arial"/>
              </w:rPr>
              <w:t>Réaliser plusieurs petits tableaux complémentaires pour un type d'information : éviter un seul grand tableau</w:t>
            </w:r>
          </w:p>
        </w:tc>
        <w:tc>
          <w:tcPr>
            <w:tcW w:w="567" w:type="dxa"/>
          </w:tcPr>
          <w:p w14:paraId="0A68BE5C" w14:textId="76DC7124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F5B837F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4D08232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E1F70BC" w14:textId="77777777" w:rsidR="00605518" w:rsidRPr="00B04E99" w:rsidRDefault="00605518" w:rsidP="00B04E99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CC3373" w14:paraId="43E2CF07" w14:textId="77777777" w:rsidTr="000D511A">
        <w:tc>
          <w:tcPr>
            <w:tcW w:w="704" w:type="dxa"/>
            <w:vAlign w:val="center"/>
          </w:tcPr>
          <w:p w14:paraId="2BB45126" w14:textId="77777777" w:rsidR="00CC3373" w:rsidRPr="00B04E99" w:rsidRDefault="00CC3373" w:rsidP="00B04E99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14:paraId="3F99F3A0" w14:textId="73280850" w:rsidR="00CC3373" w:rsidRPr="00B04E99" w:rsidRDefault="00B04E99" w:rsidP="00B04E99">
            <w:pPr>
              <w:spacing w:before="60" w:after="60"/>
              <w:rPr>
                <w:rFonts w:ascii="Arial" w:hAnsi="Arial" w:cs="Arial"/>
              </w:rPr>
            </w:pPr>
            <w:r w:rsidRPr="00B04E99">
              <w:rPr>
                <w:rFonts w:ascii="Arial" w:hAnsi="Arial" w:cs="Arial"/>
              </w:rPr>
              <w:t>Équilibrer l'interligne, les marges, la taille de la police, ni trop tassées, ni trop espacées</w:t>
            </w:r>
          </w:p>
        </w:tc>
        <w:tc>
          <w:tcPr>
            <w:tcW w:w="567" w:type="dxa"/>
          </w:tcPr>
          <w:p w14:paraId="10240C48" w14:textId="77777777" w:rsidR="00CC3373" w:rsidRPr="00B04E99" w:rsidRDefault="00CC3373" w:rsidP="00B04E99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1F7E0C0" w14:textId="77777777" w:rsidR="00CC3373" w:rsidRPr="00B04E99" w:rsidRDefault="00CC3373" w:rsidP="00B04E99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D76013D" w14:textId="77777777" w:rsidR="00CC3373" w:rsidRPr="00B04E99" w:rsidRDefault="00CC3373" w:rsidP="00B04E99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31A52AF" w14:textId="77777777" w:rsidR="00CC3373" w:rsidRPr="00B04E99" w:rsidRDefault="00CC3373" w:rsidP="00B04E99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14:paraId="4C96722E" w14:textId="77777777" w:rsidR="00392414" w:rsidRDefault="00392414"/>
    <w:p w14:paraId="63DA0FC0" w14:textId="77777777" w:rsidR="001230C7" w:rsidRDefault="001230C7"/>
    <w:sectPr w:rsidR="001230C7" w:rsidSect="00F96808">
      <w:footerReference w:type="default" r:id="rId10"/>
      <w:pgSz w:w="12240" w:h="15840" w:code="1"/>
      <w:pgMar w:top="95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9DFB3" w14:textId="77777777" w:rsidR="00124567" w:rsidRDefault="00124567" w:rsidP="001230C7">
      <w:pPr>
        <w:spacing w:after="0" w:line="240" w:lineRule="auto"/>
      </w:pPr>
      <w:r>
        <w:separator/>
      </w:r>
    </w:p>
  </w:endnote>
  <w:endnote w:type="continuationSeparator" w:id="0">
    <w:p w14:paraId="3AA6F82D" w14:textId="77777777" w:rsidR="00124567" w:rsidRDefault="00124567" w:rsidP="0012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79FF6" w14:textId="71A061FE" w:rsidR="001230C7" w:rsidRPr="001E727A" w:rsidRDefault="00114FC5" w:rsidP="00C96D94">
    <w:pPr>
      <w:pStyle w:val="Footer"/>
      <w:rPr>
        <w:caps/>
        <w:noProof/>
        <w:color w:val="4F81BD" w:themeColor="accent1"/>
      </w:rPr>
    </w:pPr>
    <w:r>
      <w:rPr>
        <w:rFonts w:cstheme="minorHAnsi"/>
        <w:caps/>
        <w:color w:val="4F81BD" w:themeColor="accent1"/>
      </w:rPr>
      <w:t xml:space="preserve">                                      </w:t>
    </w:r>
    <w:r w:rsidR="00F96808">
      <w:rPr>
        <w:rFonts w:cstheme="minorHAnsi"/>
        <w:caps/>
        <w:color w:val="4F81BD" w:themeColor="accent1"/>
      </w:rPr>
      <w:t xml:space="preserve">       </w:t>
    </w:r>
    <w:r w:rsidR="003D2D65">
      <w:rPr>
        <w:rFonts w:cstheme="minorHAnsi"/>
        <w:caps/>
        <w:color w:val="4F81BD" w:themeColor="accent1"/>
      </w:rPr>
      <w:t xml:space="preserve">      </w:t>
    </w:r>
    <w:r w:rsidR="00F96808">
      <w:rPr>
        <w:rFonts w:cstheme="minorHAnsi"/>
        <w:caps/>
        <w:color w:val="4F81BD" w:themeColor="accent1"/>
      </w:rPr>
      <w:t xml:space="preserve"> </w:t>
    </w:r>
    <w:r w:rsidR="003D2D65">
      <w:rPr>
        <w:rFonts w:cstheme="minorHAnsi"/>
        <w:caps/>
        <w:color w:val="4F81BD" w:themeColor="accent1"/>
      </w:rPr>
      <w:t xml:space="preserve"> </w:t>
    </w:r>
    <w:r>
      <w:rPr>
        <w:rFonts w:cstheme="minorHAnsi"/>
        <w:caps/>
        <w:color w:val="4F81BD" w:themeColor="accent1"/>
      </w:rPr>
      <w:t xml:space="preserve">          </w:t>
    </w:r>
    <w:r w:rsidR="00C96D94">
      <w:rPr>
        <w:rFonts w:cstheme="minorHAnsi"/>
        <w:caps/>
        <w:color w:val="4F81BD" w:themeColor="accent1"/>
      </w:rPr>
      <w:t xml:space="preserve">      </w:t>
    </w:r>
    <w:r w:rsidR="00C22B74">
      <w:rPr>
        <w:rFonts w:cstheme="minorHAnsi"/>
        <w:caps/>
        <w:color w:val="4F81BD" w:themeColor="accent1"/>
      </w:rPr>
      <w:t xml:space="preserve">  </w:t>
    </w:r>
    <w:r>
      <w:rPr>
        <w:rFonts w:cstheme="minorHAnsi"/>
        <w:caps/>
        <w:color w:val="4F81BD" w:themeColor="accent1"/>
      </w:rPr>
      <w:t xml:space="preserve"> </w:t>
    </w:r>
    <w:r w:rsidR="003D2D65" w:rsidRPr="00F96808">
      <w:rPr>
        <w:rFonts w:ascii="Arial" w:hAnsi="Arial" w:cs="Arial"/>
        <w:caps/>
        <w:color w:val="4F81BD" w:themeColor="accent1"/>
        <w:sz w:val="18"/>
        <w:szCs w:val="18"/>
      </w:rPr>
      <w:t>©</w:t>
    </w:r>
    <w:r w:rsidR="003D2D65">
      <w:rPr>
        <w:caps/>
        <w:color w:val="4F81BD" w:themeColor="accent1"/>
      </w:rPr>
      <w:t xml:space="preserve"> </w:t>
    </w:r>
    <w:proofErr w:type="spellStart"/>
    <w:r w:rsidR="001E727A">
      <w:rPr>
        <w:rFonts w:ascii="Arial" w:hAnsi="Arial" w:cs="Arial"/>
        <w:sz w:val="18"/>
        <w:szCs w:val="18"/>
      </w:rPr>
      <w:t>Infoaccessible</w:t>
    </w:r>
    <w:proofErr w:type="spellEnd"/>
    <w:r w:rsidR="001E727A">
      <w:rPr>
        <w:rFonts w:ascii="Arial" w:hAnsi="Arial" w:cs="Arial"/>
        <w:sz w:val="18"/>
        <w:szCs w:val="18"/>
      </w:rPr>
      <w:t xml:space="preserve"> – </w:t>
    </w:r>
    <w:r w:rsidR="00C96D94">
      <w:rPr>
        <w:rFonts w:ascii="Arial" w:hAnsi="Arial" w:cs="Arial"/>
        <w:sz w:val="18"/>
        <w:szCs w:val="18"/>
      </w:rPr>
      <w:t>Rédaction</w:t>
    </w:r>
    <w:r w:rsidR="003D2D65">
      <w:rPr>
        <w:caps/>
        <w:color w:val="4F81BD" w:themeColor="accent1"/>
      </w:rPr>
      <w:t xml:space="preserve">  </w:t>
    </w:r>
    <w:r w:rsidR="00F96808">
      <w:rPr>
        <w:caps/>
        <w:color w:val="4F81BD" w:themeColor="accent1"/>
      </w:rPr>
      <w:t xml:space="preserve">   </w:t>
    </w:r>
    <w:r w:rsidR="003D2D65">
      <w:rPr>
        <w:caps/>
        <w:color w:val="4F81BD" w:themeColor="accent1"/>
      </w:rPr>
      <w:t xml:space="preserve">  </w:t>
    </w:r>
    <w:r w:rsidR="00C22B74">
      <w:rPr>
        <w:caps/>
        <w:color w:val="4F81BD" w:themeColor="accent1"/>
      </w:rPr>
      <w:t xml:space="preserve">    </w:t>
    </w:r>
    <w:r>
      <w:rPr>
        <w:caps/>
        <w:color w:val="4F81BD" w:themeColor="accent1"/>
      </w:rPr>
      <w:t xml:space="preserve">                     </w:t>
    </w:r>
    <w:r w:rsidR="003D2D65">
      <w:rPr>
        <w:caps/>
        <w:color w:val="4F81BD" w:themeColor="accent1"/>
      </w:rPr>
      <w:t xml:space="preserve">   </w:t>
    </w:r>
    <w:r w:rsidR="00F96808">
      <w:rPr>
        <w:caps/>
        <w:color w:val="4F81BD" w:themeColor="accent1"/>
      </w:rPr>
      <w:t xml:space="preserve">  </w:t>
    </w:r>
    <w:r>
      <w:rPr>
        <w:caps/>
        <w:color w:val="4F81BD" w:themeColor="accent1"/>
      </w:rPr>
      <w:t xml:space="preserve">     </w:t>
    </w:r>
    <w:r w:rsidR="00F96808">
      <w:rPr>
        <w:caps/>
        <w:color w:val="4F81BD" w:themeColor="accent1"/>
      </w:rPr>
      <w:t xml:space="preserve">  </w:t>
    </w:r>
    <w:r w:rsidR="003D2D65">
      <w:rPr>
        <w:caps/>
        <w:color w:val="4F81BD" w:themeColor="accent1"/>
      </w:rPr>
      <w:t xml:space="preserve">            </w:t>
    </w:r>
    <w:r w:rsidR="00F96808">
      <w:rPr>
        <w:caps/>
        <w:color w:val="4F81BD" w:themeColor="accent1"/>
      </w:rPr>
      <w:t xml:space="preserve">           </w:t>
    </w:r>
    <w:r w:rsidR="003D2D65">
      <w:rPr>
        <w:caps/>
        <w:color w:val="4F81BD" w:themeColor="accent1"/>
      </w:rPr>
      <w:t xml:space="preserve"> </w:t>
    </w:r>
    <w:r w:rsidR="003D2D65" w:rsidRPr="00F96808">
      <w:rPr>
        <w:rFonts w:ascii="Arial" w:hAnsi="Arial" w:cs="Arial"/>
        <w:caps/>
        <w:color w:val="4F81BD" w:themeColor="accent1"/>
        <w:sz w:val="18"/>
        <w:szCs w:val="18"/>
      </w:rPr>
      <w:fldChar w:fldCharType="begin"/>
    </w:r>
    <w:r w:rsidR="003D2D65" w:rsidRPr="00F96808">
      <w:rPr>
        <w:rFonts w:ascii="Arial" w:hAnsi="Arial" w:cs="Arial"/>
        <w:caps/>
        <w:color w:val="4F81BD" w:themeColor="accent1"/>
        <w:sz w:val="18"/>
        <w:szCs w:val="18"/>
      </w:rPr>
      <w:instrText xml:space="preserve"> PAGE   \* MERGEFORMAT </w:instrText>
    </w:r>
    <w:r w:rsidR="003D2D65" w:rsidRPr="00F96808">
      <w:rPr>
        <w:rFonts w:ascii="Arial" w:hAnsi="Arial" w:cs="Arial"/>
        <w:caps/>
        <w:color w:val="4F81BD" w:themeColor="accent1"/>
        <w:sz w:val="18"/>
        <w:szCs w:val="18"/>
      </w:rPr>
      <w:fldChar w:fldCharType="separate"/>
    </w:r>
    <w:r w:rsidR="003D2D65" w:rsidRPr="00F96808">
      <w:rPr>
        <w:rFonts w:ascii="Arial" w:hAnsi="Arial" w:cs="Arial"/>
        <w:caps/>
        <w:color w:val="4F81BD" w:themeColor="accent1"/>
        <w:sz w:val="18"/>
        <w:szCs w:val="18"/>
      </w:rPr>
      <w:t>1</w:t>
    </w:r>
    <w:r w:rsidR="003D2D65" w:rsidRPr="00F96808">
      <w:rPr>
        <w:rFonts w:ascii="Arial" w:hAnsi="Arial" w:cs="Arial"/>
        <w:caps/>
        <w:noProof/>
        <w:color w:val="4F81BD" w:themeColor="accent1"/>
        <w:sz w:val="18"/>
        <w:szCs w:val="18"/>
      </w:rPr>
      <w:fldChar w:fldCharType="end"/>
    </w:r>
    <w:r>
      <w:rPr>
        <w:rFonts w:ascii="Arial" w:hAnsi="Arial" w:cs="Arial"/>
        <w:caps/>
        <w:noProof/>
        <w:color w:val="4F81BD" w:themeColor="accent1"/>
        <w:sz w:val="18"/>
        <w:szCs w:val="18"/>
      </w:rPr>
      <w:t xml:space="preserve">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FEA18" w14:textId="77777777" w:rsidR="00124567" w:rsidRDefault="00124567" w:rsidP="001230C7">
      <w:pPr>
        <w:spacing w:after="0" w:line="240" w:lineRule="auto"/>
      </w:pPr>
      <w:r>
        <w:separator/>
      </w:r>
    </w:p>
  </w:footnote>
  <w:footnote w:type="continuationSeparator" w:id="0">
    <w:p w14:paraId="03E94BD4" w14:textId="77777777" w:rsidR="00124567" w:rsidRDefault="00124567" w:rsidP="00123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74F3C"/>
    <w:multiLevelType w:val="hybridMultilevel"/>
    <w:tmpl w:val="65AE47B8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B7FA7"/>
    <w:multiLevelType w:val="hybridMultilevel"/>
    <w:tmpl w:val="6ADACB8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169FE"/>
    <w:multiLevelType w:val="hybridMultilevel"/>
    <w:tmpl w:val="08DC656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FE0941"/>
    <w:multiLevelType w:val="hybridMultilevel"/>
    <w:tmpl w:val="65AE47B8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0540F6"/>
    <w:multiLevelType w:val="hybridMultilevel"/>
    <w:tmpl w:val="15A48130"/>
    <w:lvl w:ilvl="0" w:tplc="A7084826">
      <w:start w:val="1"/>
      <w:numFmt w:val="decimal"/>
      <w:pStyle w:val="TOC1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4D7BF2"/>
    <w:multiLevelType w:val="hybridMultilevel"/>
    <w:tmpl w:val="E20A16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14"/>
    <w:rsid w:val="00025E6B"/>
    <w:rsid w:val="00070100"/>
    <w:rsid w:val="000741D7"/>
    <w:rsid w:val="000D511A"/>
    <w:rsid w:val="00114FC5"/>
    <w:rsid w:val="00122C9B"/>
    <w:rsid w:val="001230C7"/>
    <w:rsid w:val="00124567"/>
    <w:rsid w:val="001312B9"/>
    <w:rsid w:val="00136717"/>
    <w:rsid w:val="00176DB9"/>
    <w:rsid w:val="00177C4C"/>
    <w:rsid w:val="00185FD7"/>
    <w:rsid w:val="001E727A"/>
    <w:rsid w:val="00205F99"/>
    <w:rsid w:val="00216ED1"/>
    <w:rsid w:val="002A4217"/>
    <w:rsid w:val="00366C21"/>
    <w:rsid w:val="00386ED9"/>
    <w:rsid w:val="00392414"/>
    <w:rsid w:val="003D2D65"/>
    <w:rsid w:val="003E59B6"/>
    <w:rsid w:val="00454CEC"/>
    <w:rsid w:val="004628D0"/>
    <w:rsid w:val="004704BA"/>
    <w:rsid w:val="004806ED"/>
    <w:rsid w:val="005170E5"/>
    <w:rsid w:val="005C5280"/>
    <w:rsid w:val="005F7565"/>
    <w:rsid w:val="00605518"/>
    <w:rsid w:val="00626349"/>
    <w:rsid w:val="0066771C"/>
    <w:rsid w:val="006A3502"/>
    <w:rsid w:val="006B19AA"/>
    <w:rsid w:val="006D2894"/>
    <w:rsid w:val="00720817"/>
    <w:rsid w:val="00800AF5"/>
    <w:rsid w:val="00820FDA"/>
    <w:rsid w:val="00823148"/>
    <w:rsid w:val="008373AE"/>
    <w:rsid w:val="008959EF"/>
    <w:rsid w:val="008C388B"/>
    <w:rsid w:val="00996043"/>
    <w:rsid w:val="009C54AE"/>
    <w:rsid w:val="00A31BCB"/>
    <w:rsid w:val="00A47A3C"/>
    <w:rsid w:val="00A5178D"/>
    <w:rsid w:val="00A524E3"/>
    <w:rsid w:val="00B039FF"/>
    <w:rsid w:val="00B04E99"/>
    <w:rsid w:val="00B45358"/>
    <w:rsid w:val="00BB4786"/>
    <w:rsid w:val="00BC2AEC"/>
    <w:rsid w:val="00C02F54"/>
    <w:rsid w:val="00C22B74"/>
    <w:rsid w:val="00C96D94"/>
    <w:rsid w:val="00CC3373"/>
    <w:rsid w:val="00D261AD"/>
    <w:rsid w:val="00D5172C"/>
    <w:rsid w:val="00DC20E2"/>
    <w:rsid w:val="00E027B5"/>
    <w:rsid w:val="00E92CA4"/>
    <w:rsid w:val="00EB7A33"/>
    <w:rsid w:val="00F43481"/>
    <w:rsid w:val="00F54B84"/>
    <w:rsid w:val="00F9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9F32B"/>
  <w15:chartTrackingRefBased/>
  <w15:docId w15:val="{AE88FDBE-2804-4D1C-ACF3-AF259E23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414"/>
  </w:style>
  <w:style w:type="paragraph" w:styleId="Heading1">
    <w:name w:val="heading 1"/>
    <w:basedOn w:val="Normal"/>
    <w:next w:val="Normal"/>
    <w:link w:val="Heading1Char"/>
    <w:uiPriority w:val="9"/>
    <w:qFormat/>
    <w:rsid w:val="00366C2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FFFFFF" w:themeColor="background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92414"/>
    <w:pPr>
      <w:suppressAutoHyphens/>
      <w:autoSpaceDN w:val="0"/>
      <w:spacing w:after="160" w:line="254" w:lineRule="auto"/>
      <w:textAlignment w:val="baseline"/>
    </w:pPr>
    <w:rPr>
      <w:rFonts w:ascii="Calibri" w:eastAsia="Calibri" w:hAnsi="Calibri" w:cs="Tahoma"/>
      <w:lang w:val="fr-FR"/>
    </w:rPr>
  </w:style>
  <w:style w:type="character" w:styleId="Hyperlink">
    <w:name w:val="Hyperlink"/>
    <w:basedOn w:val="DefaultParagraphFont"/>
    <w:uiPriority w:val="99"/>
    <w:unhideWhenUsed/>
    <w:rsid w:val="00392414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rsid w:val="0039241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924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0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0C7"/>
  </w:style>
  <w:style w:type="paragraph" w:styleId="Footer">
    <w:name w:val="footer"/>
    <w:basedOn w:val="Normal"/>
    <w:link w:val="FooterChar"/>
    <w:uiPriority w:val="99"/>
    <w:unhideWhenUsed/>
    <w:rsid w:val="001230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0C7"/>
  </w:style>
  <w:style w:type="character" w:customStyle="1" w:styleId="Heading1Char">
    <w:name w:val="Heading 1 Char"/>
    <w:basedOn w:val="DefaultParagraphFont"/>
    <w:link w:val="Heading1"/>
    <w:uiPriority w:val="9"/>
    <w:rsid w:val="00366C21"/>
    <w:rPr>
      <w:rFonts w:ascii="Times New Roman" w:eastAsiaTheme="majorEastAsia" w:hAnsi="Times New Roman" w:cstheme="majorBidi"/>
      <w:color w:val="FFFFFF" w:themeColor="background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6C21"/>
    <w:p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8959EF"/>
    <w:pPr>
      <w:numPr>
        <w:numId w:val="3"/>
      </w:numPr>
      <w:tabs>
        <w:tab w:val="right" w:leader="dot" w:pos="12996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1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simplicom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BB0AC-B6F9-4109-9497-DA8412F20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407</Words>
  <Characters>2240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Administrateur</cp:lastModifiedBy>
  <cp:revision>8</cp:revision>
  <dcterms:created xsi:type="dcterms:W3CDTF">2019-10-20T14:49:00Z</dcterms:created>
  <dcterms:modified xsi:type="dcterms:W3CDTF">2020-01-12T16:20:00Z</dcterms:modified>
</cp:coreProperties>
</file>