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77777777" w:rsidR="008959EF" w:rsidRPr="003F0874" w:rsidRDefault="008959EF" w:rsidP="008959EF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5DC9ED6E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792D668A" w14:textId="77777777" w:rsidR="00524190" w:rsidRDefault="00524190" w:rsidP="00392414">
      <w:pPr>
        <w:jc w:val="center"/>
        <w:rPr>
          <w:rFonts w:ascii="Arial" w:hAnsi="Arial" w:cs="Arial"/>
          <w:b/>
          <w:sz w:val="28"/>
          <w:szCs w:val="28"/>
        </w:rPr>
      </w:pPr>
    </w:p>
    <w:p w14:paraId="2A1D2CE2" w14:textId="526DFBDA" w:rsidR="003D2D65" w:rsidRPr="003D2D65" w:rsidRDefault="00392414" w:rsidP="00392414">
      <w:pPr>
        <w:jc w:val="center"/>
        <w:rPr>
          <w:rFonts w:ascii="Arial" w:hAnsi="Arial" w:cs="Arial"/>
          <w:b/>
          <w:sz w:val="28"/>
          <w:szCs w:val="28"/>
        </w:rPr>
      </w:pPr>
      <w:r w:rsidRPr="003D2D65">
        <w:rPr>
          <w:rFonts w:ascii="Arial" w:hAnsi="Arial" w:cs="Arial"/>
          <w:b/>
          <w:sz w:val="28"/>
          <w:szCs w:val="28"/>
        </w:rPr>
        <w:t>Références</w:t>
      </w:r>
    </w:p>
    <w:p w14:paraId="1F3B82F4" w14:textId="77777777" w:rsidR="009D5C61" w:rsidRDefault="009D5C61" w:rsidP="00392414">
      <w:pPr>
        <w:jc w:val="center"/>
        <w:rPr>
          <w:rFonts w:ascii="Arial" w:hAnsi="Arial" w:cs="Arial"/>
          <w:b/>
          <w:sz w:val="32"/>
          <w:szCs w:val="32"/>
        </w:rPr>
      </w:pPr>
    </w:p>
    <w:p w14:paraId="0FF72200" w14:textId="48772E64" w:rsidR="00392414" w:rsidRPr="005F7565" w:rsidRDefault="00392414" w:rsidP="00037C15">
      <w:pPr>
        <w:spacing w:before="120" w:after="120"/>
        <w:jc w:val="center"/>
        <w:rPr>
          <w:rFonts w:ascii="Arial" w:hAnsi="Arial" w:cs="Arial"/>
          <w:b/>
          <w:sz w:val="32"/>
          <w:szCs w:val="32"/>
        </w:rPr>
      </w:pPr>
      <w:r w:rsidRPr="005F7565">
        <w:rPr>
          <w:rFonts w:ascii="Arial" w:hAnsi="Arial" w:cs="Arial"/>
          <w:b/>
          <w:sz w:val="32"/>
          <w:szCs w:val="32"/>
        </w:rPr>
        <w:t xml:space="preserve"> </w:t>
      </w:r>
    </w:p>
    <w:p w14:paraId="60BA708A" w14:textId="24FA8B4F" w:rsidR="00E027B5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 xml:space="preserve">Dans </w:t>
      </w:r>
      <w:r w:rsidR="00E027B5">
        <w:rPr>
          <w:rFonts w:ascii="Arial" w:hAnsi="Arial" w:cs="Arial"/>
        </w:rPr>
        <w:t>ce</w:t>
      </w:r>
      <w:r w:rsidR="008959EF">
        <w:rPr>
          <w:rFonts w:ascii="Arial" w:hAnsi="Arial" w:cs="Arial"/>
        </w:rPr>
        <w:t xml:space="preserve"> document, </w:t>
      </w:r>
      <w:r w:rsidRPr="00EB7A33">
        <w:rPr>
          <w:rFonts w:ascii="Arial" w:hAnsi="Arial" w:cs="Arial"/>
        </w:rPr>
        <w:t>nous présentons des références qui p</w:t>
      </w:r>
      <w:r w:rsidR="00205F99">
        <w:rPr>
          <w:rFonts w:ascii="Arial" w:hAnsi="Arial" w:cs="Arial"/>
        </w:rPr>
        <w:t xml:space="preserve">euvent </w:t>
      </w:r>
      <w:r w:rsidRPr="00EB7A33">
        <w:rPr>
          <w:rFonts w:ascii="Arial" w:hAnsi="Arial" w:cs="Arial"/>
        </w:rPr>
        <w:t>vous être utiles.</w:t>
      </w:r>
      <w:r w:rsidR="008959EF">
        <w:rPr>
          <w:rFonts w:ascii="Arial" w:hAnsi="Arial" w:cs="Arial"/>
        </w:rPr>
        <w:t xml:space="preserve"> Elles </w:t>
      </w:r>
      <w:r w:rsidR="001E727A">
        <w:rPr>
          <w:rFonts w:ascii="Arial" w:hAnsi="Arial" w:cs="Arial"/>
        </w:rPr>
        <w:t xml:space="preserve">vous informent sur quelques sujets concernant l’accès à l’information. </w:t>
      </w:r>
    </w:p>
    <w:p w14:paraId="16E00CBB" w14:textId="3E23751B" w:rsidR="00392414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>Vous retrouvez plusieurs catégories de références, soit</w:t>
      </w:r>
      <w:r w:rsidR="008959EF">
        <w:rPr>
          <w:rFonts w:ascii="Arial" w:hAnsi="Arial" w:cs="Arial"/>
        </w:rPr>
        <w:t> </w:t>
      </w:r>
      <w:r w:rsidRPr="00EB7A33">
        <w:rPr>
          <w:rFonts w:ascii="Arial" w:hAnsi="Arial" w:cs="Arial"/>
        </w:rPr>
        <w:t xml:space="preserve">1) des normes et des politiques </w:t>
      </w:r>
      <w:r w:rsidR="00E027B5">
        <w:rPr>
          <w:rFonts w:ascii="Arial" w:hAnsi="Arial" w:cs="Arial"/>
        </w:rPr>
        <w:t xml:space="preserve">relatives aux </w:t>
      </w:r>
      <w:r w:rsidRPr="00EB7A33">
        <w:rPr>
          <w:rFonts w:ascii="Arial" w:hAnsi="Arial" w:cs="Arial"/>
        </w:rPr>
        <w:t xml:space="preserve">personnes </w:t>
      </w:r>
      <w:r w:rsidR="00E027B5">
        <w:rPr>
          <w:rFonts w:ascii="Arial" w:hAnsi="Arial" w:cs="Arial"/>
        </w:rPr>
        <w:t>en situation de handicap</w:t>
      </w:r>
      <w:r w:rsidRPr="00EB7A33">
        <w:rPr>
          <w:rFonts w:ascii="Arial" w:hAnsi="Arial" w:cs="Arial"/>
        </w:rPr>
        <w:t>, 2) des guides qui fa</w:t>
      </w:r>
      <w:r w:rsidR="00E027B5">
        <w:rPr>
          <w:rFonts w:ascii="Arial" w:hAnsi="Arial" w:cs="Arial"/>
        </w:rPr>
        <w:t xml:space="preserve">cilitent </w:t>
      </w:r>
      <w:r w:rsidRPr="00EB7A33">
        <w:rPr>
          <w:rFonts w:ascii="Arial" w:hAnsi="Arial" w:cs="Arial"/>
        </w:rPr>
        <w:t xml:space="preserve">la rédaction de matériel </w:t>
      </w:r>
      <w:r w:rsidR="00E027B5">
        <w:rPr>
          <w:rFonts w:ascii="Arial" w:hAnsi="Arial" w:cs="Arial"/>
        </w:rPr>
        <w:t xml:space="preserve">plus </w:t>
      </w:r>
      <w:r w:rsidRPr="00EB7A33">
        <w:rPr>
          <w:rFonts w:ascii="Arial" w:hAnsi="Arial" w:cs="Arial"/>
        </w:rPr>
        <w:t>accessible</w:t>
      </w:r>
      <w:r w:rsidR="00E027B5">
        <w:rPr>
          <w:rFonts w:ascii="Arial" w:hAnsi="Arial" w:cs="Arial"/>
        </w:rPr>
        <w:t xml:space="preserve"> et compréhensible</w:t>
      </w:r>
      <w:r w:rsidRPr="00EB7A33">
        <w:rPr>
          <w:rFonts w:ascii="Arial" w:hAnsi="Arial" w:cs="Arial"/>
        </w:rPr>
        <w:t xml:space="preserve">, 3) des enquêtes qui présentent l’état de situation </w:t>
      </w:r>
      <w:r w:rsidR="00E027B5">
        <w:rPr>
          <w:rFonts w:ascii="Arial" w:hAnsi="Arial" w:cs="Arial"/>
        </w:rPr>
        <w:t xml:space="preserve">concernant les compétences en </w:t>
      </w:r>
      <w:r w:rsidRPr="00EB7A33">
        <w:rPr>
          <w:rFonts w:ascii="Arial" w:hAnsi="Arial" w:cs="Arial"/>
        </w:rPr>
        <w:t>littératie et finalement, 4) des sites Web pertinents qui p</w:t>
      </w:r>
      <w:r w:rsidR="00EB7A33" w:rsidRPr="00EB7A33">
        <w:rPr>
          <w:rFonts w:ascii="Arial" w:hAnsi="Arial" w:cs="Arial"/>
        </w:rPr>
        <w:t>ourront vous être utiles</w:t>
      </w:r>
      <w:r w:rsidRPr="00EB7A33">
        <w:rPr>
          <w:rFonts w:ascii="Arial" w:hAnsi="Arial" w:cs="Arial"/>
        </w:rPr>
        <w:t xml:space="preserve">. </w:t>
      </w:r>
    </w:p>
    <w:p w14:paraId="2C551449" w14:textId="77777777" w:rsidR="00366C21" w:rsidRPr="00EB7A33" w:rsidRDefault="00366C21" w:rsidP="0039241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156668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E3708" w14:textId="570A7AF5" w:rsidR="003D2D65" w:rsidRPr="00B62CC1" w:rsidRDefault="00366C21" w:rsidP="00B62CC1">
          <w:pPr>
            <w:pStyle w:val="TOCHeading"/>
            <w:spacing w:before="60" w:after="60" w:line="276" w:lineRule="auto"/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</w:pPr>
          <w:r w:rsidRPr="00B62CC1"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  <w:t>Table des matières</w:t>
          </w:r>
        </w:p>
        <w:p w14:paraId="68DBFCB9" w14:textId="0507EF99" w:rsidR="00B62CC1" w:rsidRPr="00B62CC1" w:rsidRDefault="00600101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r w:rsidRPr="00B62CC1">
            <w:rPr>
              <w:rFonts w:ascii="Arial" w:hAnsi="Arial" w:cs="Arial"/>
              <w:color w:val="4F81BD" w:themeColor="accent1"/>
            </w:rPr>
            <w:fldChar w:fldCharType="begin"/>
          </w:r>
          <w:r w:rsidRPr="00B62CC1">
            <w:rPr>
              <w:rFonts w:ascii="Arial" w:hAnsi="Arial" w:cs="Arial"/>
              <w:color w:val="4F81BD" w:themeColor="accent1"/>
            </w:rPr>
            <w:instrText xml:space="preserve"> TOC \o "1-3" \h \z \u </w:instrText>
          </w:r>
          <w:r w:rsidRPr="00B62CC1">
            <w:rPr>
              <w:rFonts w:ascii="Arial" w:hAnsi="Arial" w:cs="Arial"/>
              <w:color w:val="4F81BD" w:themeColor="accent1"/>
            </w:rPr>
            <w:fldChar w:fldCharType="separate"/>
          </w:r>
          <w:hyperlink w:anchor="_Toc22128339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1.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Normes et politiques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_Toc22128339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2DA4">
              <w:rPr>
                <w:rFonts w:ascii="Arial" w:hAnsi="Arial" w:cs="Arial"/>
                <w:noProof/>
                <w:webHidden/>
              </w:rPr>
              <w:t>2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B2437" w14:textId="68762196" w:rsidR="00B62CC1" w:rsidRPr="00B62CC1" w:rsidRDefault="00850DEF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0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2.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Guides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_Toc22128340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2DA4">
              <w:rPr>
                <w:rFonts w:ascii="Arial" w:hAnsi="Arial" w:cs="Arial"/>
                <w:noProof/>
                <w:webHidden/>
              </w:rPr>
              <w:t>3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9381C" w14:textId="13FEE7F4" w:rsidR="00B62CC1" w:rsidRPr="00B62CC1" w:rsidRDefault="00850DEF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1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3.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Enquêtes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_Toc22128341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2DA4">
              <w:rPr>
                <w:rFonts w:ascii="Arial" w:hAnsi="Arial" w:cs="Arial"/>
                <w:noProof/>
                <w:webHidden/>
              </w:rPr>
              <w:t>4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5A53C0" w14:textId="09783B2B" w:rsidR="00B62CC1" w:rsidRPr="00B62CC1" w:rsidRDefault="00850DEF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2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4.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Sites Web pertinents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_Toc22128342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2DA4">
              <w:rPr>
                <w:rFonts w:ascii="Arial" w:hAnsi="Arial" w:cs="Arial"/>
                <w:noProof/>
                <w:webHidden/>
              </w:rPr>
              <w:t>5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D2D2F" w14:textId="2A250275" w:rsidR="00366C21" w:rsidRDefault="00600101" w:rsidP="00B62CC1">
          <w:pPr>
            <w:spacing w:before="60" w:after="60"/>
          </w:pPr>
          <w:r w:rsidRPr="00B62CC1">
            <w:rPr>
              <w:rFonts w:ascii="Arial" w:hAnsi="Arial" w:cs="Arial"/>
              <w:color w:val="4F81BD" w:themeColor="accent1"/>
            </w:rPr>
            <w:fldChar w:fldCharType="end"/>
          </w:r>
        </w:p>
      </w:sdtContent>
    </w:sdt>
    <w:p w14:paraId="5E1B342C" w14:textId="7343E3AC" w:rsidR="00122C9B" w:rsidRDefault="00122C9B">
      <w:pPr>
        <w:rPr>
          <w:sz w:val="36"/>
        </w:rPr>
      </w:pPr>
    </w:p>
    <w:p w14:paraId="4D334D6D" w14:textId="77777777" w:rsidR="005B53A3" w:rsidRPr="00392414" w:rsidRDefault="005B53A3">
      <w:pPr>
        <w:rPr>
          <w:sz w:val="36"/>
        </w:rPr>
      </w:pPr>
    </w:p>
    <w:tbl>
      <w:tblPr>
        <w:tblStyle w:val="TableGrid"/>
        <w:tblpPr w:leftFromText="141" w:rightFromText="141" w:vertAnchor="page" w:horzAnchor="margin" w:tblpXSpec="center" w:tblpY="1351"/>
        <w:tblW w:w="14170" w:type="dxa"/>
        <w:tblLayout w:type="fixed"/>
        <w:tblLook w:val="04A0" w:firstRow="1" w:lastRow="0" w:firstColumn="1" w:lastColumn="0" w:noHBand="0" w:noVBand="1"/>
      </w:tblPr>
      <w:tblGrid>
        <w:gridCol w:w="4257"/>
        <w:gridCol w:w="3676"/>
        <w:gridCol w:w="4500"/>
        <w:gridCol w:w="1737"/>
      </w:tblGrid>
      <w:tr w:rsidR="00E92CA4" w:rsidRPr="003D2D65" w14:paraId="4B51A799" w14:textId="77777777" w:rsidTr="000D26B8">
        <w:tc>
          <w:tcPr>
            <w:tcW w:w="14170" w:type="dxa"/>
            <w:gridSpan w:val="4"/>
            <w:shd w:val="clear" w:color="auto" w:fill="17365D" w:themeFill="text2" w:themeFillShade="BF"/>
            <w:vAlign w:val="center"/>
          </w:tcPr>
          <w:p w14:paraId="20D2A005" w14:textId="7A6B4799" w:rsidR="00E92CA4" w:rsidRPr="003D2D65" w:rsidRDefault="00E92CA4" w:rsidP="00456CE0">
            <w:pPr>
              <w:pStyle w:val="Heading1"/>
              <w:numPr>
                <w:ilvl w:val="0"/>
                <w:numId w:val="5"/>
              </w:numPr>
              <w:spacing w:before="60" w:after="60"/>
              <w:ind w:left="306" w:hanging="357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22128339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Normes et politiques</w:t>
            </w:r>
            <w:bookmarkEnd w:id="0"/>
          </w:p>
        </w:tc>
      </w:tr>
      <w:tr w:rsidR="00E92CA4" w:rsidRPr="003D2D65" w14:paraId="636B842B" w14:textId="77777777" w:rsidTr="007425DF">
        <w:tc>
          <w:tcPr>
            <w:tcW w:w="4257" w:type="dxa"/>
            <w:shd w:val="clear" w:color="auto" w:fill="C6D9F1" w:themeFill="text2" w:themeFillTint="33"/>
            <w:vAlign w:val="center"/>
          </w:tcPr>
          <w:p w14:paraId="169772E0" w14:textId="2D9DD06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3676" w:type="dxa"/>
            <w:shd w:val="clear" w:color="auto" w:fill="C6D9F1" w:themeFill="text2" w:themeFillTint="33"/>
            <w:vAlign w:val="center"/>
          </w:tcPr>
          <w:p w14:paraId="4B1EAA21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500" w:type="dxa"/>
            <w:shd w:val="clear" w:color="auto" w:fill="C6D9F1" w:themeFill="text2" w:themeFillTint="33"/>
            <w:vAlign w:val="center"/>
          </w:tcPr>
          <w:p w14:paraId="72719B03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14:paraId="4C47393C" w14:textId="1A513D4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E92CA4" w:rsidRPr="003D2D65" w14:paraId="67DB537A" w14:textId="77777777" w:rsidTr="000F7652">
        <w:tc>
          <w:tcPr>
            <w:tcW w:w="4257" w:type="dxa"/>
          </w:tcPr>
          <w:p w14:paraId="2EBA4980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À part entière : pour un véritable exercice du droit à l'égalité</w:t>
            </w:r>
          </w:p>
        </w:tc>
        <w:tc>
          <w:tcPr>
            <w:tcW w:w="3676" w:type="dxa"/>
          </w:tcPr>
          <w:p w14:paraId="3BA29236" w14:textId="77777777" w:rsidR="00E92CA4" w:rsidRPr="003D2D65" w:rsidRDefault="00E92CA4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Office des personnes handicapées du Québec (OPHQ) (2009)</w:t>
            </w:r>
          </w:p>
        </w:tc>
        <w:tc>
          <w:tcPr>
            <w:tcW w:w="4500" w:type="dxa"/>
          </w:tcPr>
          <w:p w14:paraId="66CFEBDE" w14:textId="77777777" w:rsidR="00E92CA4" w:rsidRPr="003D2D65" w:rsidRDefault="00850DEF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9" w:history="1">
              <w:r w:rsidR="00E92CA4" w:rsidRPr="003D2D65">
                <w:rPr>
                  <w:rStyle w:val="Internetlink"/>
                  <w:rFonts w:ascii="Arial" w:hAnsi="Arial" w:cs="Arial"/>
                </w:rPr>
                <w:t>https://www.ophq.gouv.qc.ca/fileadmin/centre_documentaire/Documents_administratifs/Politique_a_part_entiere_Acc.pdf</w:t>
              </w:r>
            </w:hyperlink>
          </w:p>
        </w:tc>
        <w:tc>
          <w:tcPr>
            <w:tcW w:w="1737" w:type="dxa"/>
            <w:vAlign w:val="center"/>
          </w:tcPr>
          <w:p w14:paraId="5198A413" w14:textId="1622B50F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01910084" wp14:editId="279B9152">
                  <wp:extent cx="476250" cy="4762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726228BD" w14:textId="77777777" w:rsidTr="000F7652">
        <w:tc>
          <w:tcPr>
            <w:tcW w:w="4257" w:type="dxa"/>
          </w:tcPr>
          <w:p w14:paraId="641E62B5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Convention relative aux droits des personnes handicapées</w:t>
            </w:r>
          </w:p>
        </w:tc>
        <w:tc>
          <w:tcPr>
            <w:tcW w:w="3676" w:type="dxa"/>
          </w:tcPr>
          <w:p w14:paraId="7CBDAF76" w14:textId="61433CF3" w:rsidR="00E92CA4" w:rsidRPr="003D2D65" w:rsidRDefault="0005042E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Organisation des </w:t>
            </w:r>
            <w:r w:rsidR="00E92CA4" w:rsidRPr="003D2D65">
              <w:rPr>
                <w:rFonts w:ascii="Arial" w:hAnsi="Arial" w:cs="Arial"/>
              </w:rPr>
              <w:t xml:space="preserve">Nations Unies </w:t>
            </w:r>
            <w:r>
              <w:rPr>
                <w:rFonts w:ascii="Arial" w:hAnsi="Arial" w:cs="Arial"/>
              </w:rPr>
              <w:t xml:space="preserve">(ONU) </w:t>
            </w:r>
            <w:r w:rsidR="00E92CA4" w:rsidRPr="003D2D65">
              <w:rPr>
                <w:rFonts w:ascii="Arial" w:hAnsi="Arial" w:cs="Arial"/>
              </w:rPr>
              <w:t>(200</w:t>
            </w:r>
            <w:r w:rsidR="0039351C">
              <w:rPr>
                <w:rFonts w:ascii="Arial" w:hAnsi="Arial" w:cs="Arial"/>
              </w:rPr>
              <w:t>6</w:t>
            </w:r>
            <w:r w:rsidR="00E92CA4" w:rsidRPr="003D2D65">
              <w:rPr>
                <w:rFonts w:ascii="Arial" w:hAnsi="Arial" w:cs="Arial"/>
              </w:rPr>
              <w:t>)</w:t>
            </w:r>
          </w:p>
        </w:tc>
        <w:tc>
          <w:tcPr>
            <w:tcW w:w="4500" w:type="dxa"/>
          </w:tcPr>
          <w:p w14:paraId="14014FC9" w14:textId="77777777" w:rsidR="00E92CA4" w:rsidRPr="003D2D65" w:rsidRDefault="00850DEF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1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http://www.un.org/disabilities/documents/convention/convoptprot-f.pdf</w:t>
              </w:r>
            </w:hyperlink>
          </w:p>
        </w:tc>
        <w:tc>
          <w:tcPr>
            <w:tcW w:w="1737" w:type="dxa"/>
            <w:vAlign w:val="center"/>
          </w:tcPr>
          <w:p w14:paraId="115E86B3" w14:textId="3EF6CC0C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9D443E5" wp14:editId="5EDF7E22">
                  <wp:extent cx="476250" cy="4762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6E189452" w14:textId="77777777" w:rsidTr="000F7652">
        <w:tc>
          <w:tcPr>
            <w:tcW w:w="4257" w:type="dxa"/>
          </w:tcPr>
          <w:p w14:paraId="3AC1BED7" w14:textId="64364AA6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Loi assurant l'exercice des droits des personnes handicapées en vue de leur intégration scolaire</w:t>
            </w:r>
            <w:r w:rsidR="00B310C1">
              <w:rPr>
                <w:rFonts w:ascii="Arial" w:hAnsi="Arial" w:cs="Arial"/>
              </w:rPr>
              <w:t>,</w:t>
            </w:r>
            <w:r w:rsidRPr="003D2D65">
              <w:rPr>
                <w:rFonts w:ascii="Arial" w:hAnsi="Arial" w:cs="Arial"/>
              </w:rPr>
              <w:t xml:space="preserve"> professionnelle et sociale</w:t>
            </w:r>
            <w:r w:rsidR="00C74AE6">
              <w:rPr>
                <w:rFonts w:ascii="Arial" w:hAnsi="Arial" w:cs="Arial"/>
              </w:rPr>
              <w:t>*</w:t>
            </w:r>
          </w:p>
        </w:tc>
        <w:tc>
          <w:tcPr>
            <w:tcW w:w="3676" w:type="dxa"/>
          </w:tcPr>
          <w:p w14:paraId="35C31267" w14:textId="2CEB89C9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 </w:t>
            </w:r>
            <w:r w:rsidR="00E92CA4" w:rsidRPr="003D2D65">
              <w:rPr>
                <w:rFonts w:ascii="Arial" w:hAnsi="Arial" w:cs="Arial"/>
              </w:rPr>
              <w:t>(20</w:t>
            </w:r>
            <w:r w:rsidR="00E2394D">
              <w:rPr>
                <w:rFonts w:ascii="Arial" w:hAnsi="Arial" w:cs="Arial"/>
              </w:rPr>
              <w:t>1</w:t>
            </w:r>
            <w:r w:rsidR="002015F7">
              <w:rPr>
                <w:rFonts w:ascii="Arial" w:hAnsi="Arial" w:cs="Arial"/>
              </w:rPr>
              <w:t>9</w:t>
            </w:r>
            <w:r w:rsidR="00E2394D">
              <w:rPr>
                <w:rFonts w:ascii="Arial" w:hAnsi="Arial" w:cs="Arial"/>
              </w:rPr>
              <w:t>)</w:t>
            </w:r>
          </w:p>
        </w:tc>
        <w:tc>
          <w:tcPr>
            <w:tcW w:w="4500" w:type="dxa"/>
          </w:tcPr>
          <w:p w14:paraId="17A5BA29" w14:textId="77777777" w:rsidR="00E92CA4" w:rsidRPr="003D2D65" w:rsidRDefault="00850DEF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2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http://legisquebec.gouv.qc.ca/fr/pdf/cs/E-20.1.pdf</w:t>
              </w:r>
            </w:hyperlink>
          </w:p>
        </w:tc>
        <w:tc>
          <w:tcPr>
            <w:tcW w:w="1737" w:type="dxa"/>
            <w:vAlign w:val="center"/>
          </w:tcPr>
          <w:p w14:paraId="4BE367F9" w14:textId="1575AC19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9748AE7" wp14:editId="3F6B6104">
                  <wp:extent cx="476250" cy="4762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7384E6C8" w14:textId="77777777" w:rsidTr="000F7652">
        <w:tc>
          <w:tcPr>
            <w:tcW w:w="4257" w:type="dxa"/>
          </w:tcPr>
          <w:p w14:paraId="3FFEF7F6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Politique de l'accès aux documents et services offerts au public pour les personnes handicapées</w:t>
            </w:r>
          </w:p>
        </w:tc>
        <w:tc>
          <w:tcPr>
            <w:tcW w:w="3676" w:type="dxa"/>
          </w:tcPr>
          <w:p w14:paraId="337B810B" w14:textId="3A0488F7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Québec, Ministère de la santé et des services sociaux </w:t>
            </w:r>
            <w:r w:rsidR="00E92CA4" w:rsidRPr="003D2D65">
              <w:rPr>
                <w:rFonts w:ascii="Arial" w:hAnsi="Arial" w:cs="Arial"/>
              </w:rPr>
              <w:t>(2006)</w:t>
            </w:r>
          </w:p>
        </w:tc>
        <w:tc>
          <w:tcPr>
            <w:tcW w:w="4500" w:type="dxa"/>
          </w:tcPr>
          <w:p w14:paraId="24125352" w14:textId="77777777" w:rsidR="00E92CA4" w:rsidRPr="003D2D65" w:rsidRDefault="00850DEF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3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http://publications.msss.gouv.qc.ca/msss/document-001156/</w:t>
              </w:r>
            </w:hyperlink>
          </w:p>
        </w:tc>
        <w:tc>
          <w:tcPr>
            <w:tcW w:w="1737" w:type="dxa"/>
            <w:vAlign w:val="center"/>
          </w:tcPr>
          <w:p w14:paraId="6E133FD6" w14:textId="3AD73770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48EA6EA" wp14:editId="64A220F5">
                  <wp:extent cx="476250" cy="4762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1D8DE" w14:textId="28747343" w:rsidR="00B408CC" w:rsidRPr="00EC5B68" w:rsidRDefault="00C74AE6" w:rsidP="00EC5B68">
      <w:pPr>
        <w:spacing w:before="60" w:after="60"/>
        <w:jc w:val="both"/>
        <w:rPr>
          <w:rStyle w:val="Strong"/>
          <w:rFonts w:ascii="Arial" w:hAnsi="Arial" w:cs="Arial"/>
        </w:rPr>
      </w:pPr>
      <w:r w:rsidRPr="00EC5B68">
        <w:rPr>
          <w:rFonts w:ascii="Arial" w:hAnsi="Arial" w:cs="Arial"/>
        </w:rPr>
        <w:t xml:space="preserve">*En 2004, le gouvernement du Québec adopte la Loi assurant l’exercice des droits des personnes handicapées en vue de leur intégration scolaire, professionnelle et sociale. En vertu de l’article 61.1 de cette Loi, </w:t>
      </w:r>
      <w:r w:rsidR="00B408CC" w:rsidRPr="00EC5B68">
        <w:rPr>
          <w:rFonts w:ascii="Arial" w:hAnsi="Arial" w:cs="Arial"/>
        </w:rPr>
        <w:t>les organisations assujetties ont l’obligation légale de produire</w:t>
      </w:r>
      <w:r w:rsidR="00A741D2" w:rsidRPr="00EC5B68">
        <w:rPr>
          <w:rFonts w:ascii="Arial" w:hAnsi="Arial" w:cs="Arial"/>
        </w:rPr>
        <w:t>, adopter et rendre public,</w:t>
      </w:r>
      <w:r w:rsidR="00B408CC" w:rsidRPr="00EC5B68">
        <w:rPr>
          <w:rFonts w:ascii="Arial" w:hAnsi="Arial" w:cs="Arial"/>
        </w:rPr>
        <w:t xml:space="preserve"> annuellement</w:t>
      </w:r>
      <w:r w:rsidR="00A741D2" w:rsidRPr="00EC5B68">
        <w:rPr>
          <w:rFonts w:ascii="Arial" w:hAnsi="Arial" w:cs="Arial"/>
        </w:rPr>
        <w:t>,</w:t>
      </w:r>
      <w:r w:rsidR="00B408CC" w:rsidRPr="00EC5B68">
        <w:rPr>
          <w:rFonts w:ascii="Arial" w:hAnsi="Arial" w:cs="Arial"/>
        </w:rPr>
        <w:t xml:space="preserve"> un plan d’action annuel destiné à réduire les obstacles à la participation sociale des personnes handicapées. Ces organisations sont :</w:t>
      </w:r>
      <w:r w:rsidR="00B408CC" w:rsidRPr="00EC5B68">
        <w:rPr>
          <w:rStyle w:val="Strong"/>
          <w:rFonts w:ascii="Arial" w:hAnsi="Arial" w:cs="Arial"/>
        </w:rPr>
        <w:t> </w:t>
      </w:r>
    </w:p>
    <w:p w14:paraId="69BC70F5" w14:textId="1A450939" w:rsidR="00B408CC" w:rsidRPr="00EC5B68" w:rsidRDefault="00B408CC" w:rsidP="00EC5B68">
      <w:pPr>
        <w:pStyle w:val="ListParagraph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Les ministères et organismes publics employant au moins 50 personnes</w:t>
      </w:r>
    </w:p>
    <w:p w14:paraId="3C38A227" w14:textId="2F6D1229" w:rsidR="00B408CC" w:rsidRPr="00EC5B68" w:rsidRDefault="00A741D2" w:rsidP="00EC5B68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</w:rPr>
      </w:pPr>
      <w:r w:rsidRPr="00EC5B68">
        <w:rPr>
          <w:rFonts w:ascii="Arial" w:hAnsi="Arial" w:cs="Arial"/>
        </w:rPr>
        <w:t>Les c</w:t>
      </w:r>
      <w:r w:rsidR="00B408CC" w:rsidRPr="00EC5B68">
        <w:rPr>
          <w:rFonts w:ascii="Arial" w:hAnsi="Arial" w:cs="Arial"/>
        </w:rPr>
        <w:t xml:space="preserve">entres intégrés de santé et services sociaux (CISSS),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 xml:space="preserve">centres intégrés universitaires de santé et de services sociaux (CIUSSS) et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>établissements non fusionnés (ENF)</w:t>
      </w:r>
    </w:p>
    <w:p w14:paraId="657FA054" w14:textId="292D6AD7" w:rsidR="00B408CC" w:rsidRPr="00EC5B68" w:rsidRDefault="00B408CC" w:rsidP="00EC5B68">
      <w:pPr>
        <w:pStyle w:val="ListParagraph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 xml:space="preserve">Les </w:t>
      </w:r>
      <w:hyperlink r:id="rId14" w:history="1">
        <w:r w:rsidRPr="00EC5B68">
          <w:rPr>
            <w:rStyle w:val="Hyperlink"/>
            <w:rFonts w:ascii="Arial" w:hAnsi="Arial" w:cs="Arial"/>
            <w:color w:val="auto"/>
            <w:u w:val="none"/>
          </w:rPr>
          <w:t>municipalités locales comptant au moins 15 000 habitants</w:t>
        </w:r>
      </w:hyperlink>
    </w:p>
    <w:p w14:paraId="7963155E" w14:textId="77777777" w:rsidR="00B408CC" w:rsidRPr="007425DF" w:rsidRDefault="00B408CC" w:rsidP="007425D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E6DAF3" w14:textId="792E21AB" w:rsidR="00A741D2" w:rsidRPr="00EC5B68" w:rsidRDefault="004B3323" w:rsidP="00EC5B68">
      <w:p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 site de l’OPHQ recense les plans d’action</w:t>
      </w:r>
      <w:r w:rsidR="00F20F0B">
        <w:rPr>
          <w:rFonts w:ascii="Arial" w:hAnsi="Arial" w:cs="Arial"/>
        </w:rPr>
        <w:t xml:space="preserve"> : </w:t>
      </w:r>
    </w:p>
    <w:p w14:paraId="4438AACF" w14:textId="77777777" w:rsidR="00EC5B68" w:rsidRPr="00EC5B68" w:rsidRDefault="00EC5B68" w:rsidP="007425DF">
      <w:pPr>
        <w:pStyle w:val="ListParagraph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proofErr w:type="gramStart"/>
      <w:r w:rsidRPr="00EC5B68">
        <w:rPr>
          <w:rFonts w:ascii="Arial" w:hAnsi="Arial" w:cs="Arial"/>
        </w:rPr>
        <w:t>des</w:t>
      </w:r>
      <w:proofErr w:type="gramEnd"/>
      <w:r w:rsidRPr="00EC5B68">
        <w:rPr>
          <w:rFonts w:ascii="Arial" w:hAnsi="Arial" w:cs="Arial"/>
        </w:rPr>
        <w:t xml:space="preserve"> différents ministères, organismes, CISSS, CIUSSS et ENF assujettis à cette loi : </w:t>
      </w:r>
    </w:p>
    <w:p w14:paraId="4CFD9832" w14:textId="77777777" w:rsidR="00EC5B68" w:rsidRPr="00EC5B68" w:rsidRDefault="00850DEF" w:rsidP="007425DF">
      <w:pPr>
        <w:pStyle w:val="ListParagraph"/>
        <w:spacing w:before="60" w:after="60" w:line="240" w:lineRule="auto"/>
        <w:jc w:val="both"/>
        <w:rPr>
          <w:rFonts w:ascii="Arial" w:hAnsi="Arial" w:cs="Arial"/>
        </w:rPr>
      </w:pPr>
      <w:hyperlink r:id="rId15" w:history="1">
        <w:r w:rsidR="00EC5B68" w:rsidRPr="00EC5B68">
          <w:rPr>
            <w:rStyle w:val="Hyperlink"/>
            <w:rFonts w:ascii="Arial" w:hAnsi="Arial" w:cs="Arial"/>
          </w:rPr>
          <w:t>https://www.ophq.gouv.qc.ca/plans-daction/ministeres-et-organismes-publics-assujettis-a-larticle-611-de-la-loi.html</w:t>
        </w:r>
      </w:hyperlink>
    </w:p>
    <w:p w14:paraId="48B121E7" w14:textId="77777777" w:rsidR="00A741D2" w:rsidRPr="00EC5B68" w:rsidRDefault="004B3323" w:rsidP="007425DF">
      <w:pPr>
        <w:pStyle w:val="ListParagraph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proofErr w:type="gramStart"/>
      <w:r w:rsidRPr="00EC5B68">
        <w:rPr>
          <w:rFonts w:ascii="Arial" w:hAnsi="Arial" w:cs="Arial"/>
        </w:rPr>
        <w:t>des</w:t>
      </w:r>
      <w:proofErr w:type="gramEnd"/>
      <w:r w:rsidRPr="00EC5B68">
        <w:rPr>
          <w:rFonts w:ascii="Arial" w:hAnsi="Arial" w:cs="Arial"/>
        </w:rPr>
        <w:t xml:space="preserve"> différentes municipalités assujetties à cette loi</w:t>
      </w:r>
      <w:r w:rsidR="00A741D2" w:rsidRPr="00EC5B68">
        <w:rPr>
          <w:rFonts w:ascii="Arial" w:hAnsi="Arial" w:cs="Arial"/>
        </w:rPr>
        <w:t> :</w:t>
      </w:r>
    </w:p>
    <w:p w14:paraId="6753EA03" w14:textId="27CD7015" w:rsidR="00E76F2A" w:rsidRPr="007425DF" w:rsidRDefault="00850DEF" w:rsidP="007425DF">
      <w:pPr>
        <w:pStyle w:val="ListParagraph"/>
        <w:spacing w:before="60" w:after="60"/>
        <w:jc w:val="both"/>
        <w:rPr>
          <w:rFonts w:ascii="Arial" w:hAnsi="Arial" w:cs="Arial"/>
        </w:rPr>
      </w:pPr>
      <w:hyperlink r:id="rId16" w:history="1">
        <w:r w:rsidR="00A741D2" w:rsidRPr="00EC5B68">
          <w:rPr>
            <w:rStyle w:val="Hyperlink"/>
            <w:rFonts w:ascii="Arial" w:hAnsi="Arial" w:cs="Arial"/>
          </w:rPr>
          <w:t>https://www.ophq.gouv.qc.ca/plans-daction/municipalites-assujetties-a-larticle-611-de-la-loi.html</w:t>
        </w:r>
      </w:hyperlink>
    </w:p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4111"/>
        <w:gridCol w:w="4626"/>
        <w:gridCol w:w="1440"/>
      </w:tblGrid>
      <w:tr w:rsidR="001230C7" w:rsidRPr="003D2D65" w14:paraId="1281D57F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6241D38" w14:textId="7405E340" w:rsidR="001230C7" w:rsidRPr="003D2D65" w:rsidRDefault="001230C7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1" w:name="_Toc22128340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Guides</w:t>
            </w:r>
            <w:bookmarkEnd w:id="1"/>
          </w:p>
        </w:tc>
      </w:tr>
      <w:tr w:rsidR="001230C7" w:rsidRPr="003D2D65" w14:paraId="1E85531A" w14:textId="77777777" w:rsidTr="002129F2">
        <w:tc>
          <w:tcPr>
            <w:tcW w:w="4112" w:type="dxa"/>
            <w:shd w:val="clear" w:color="auto" w:fill="C6D9F1" w:themeFill="text2" w:themeFillTint="33"/>
          </w:tcPr>
          <w:p w14:paraId="19E82F0C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 xml:space="preserve">Nom </w:t>
            </w:r>
          </w:p>
        </w:tc>
        <w:tc>
          <w:tcPr>
            <w:tcW w:w="4111" w:type="dxa"/>
            <w:shd w:val="clear" w:color="auto" w:fill="C6D9F1" w:themeFill="text2" w:themeFillTint="33"/>
          </w:tcPr>
          <w:p w14:paraId="7B61A4E4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626" w:type="dxa"/>
            <w:shd w:val="clear" w:color="auto" w:fill="C6D9F1" w:themeFill="text2" w:themeFillTint="33"/>
          </w:tcPr>
          <w:p w14:paraId="6BFFAE3F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14:paraId="2308AA98" w14:textId="32383E4F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6A38E6" w:rsidRPr="003D2D65" w14:paraId="31EDFDE6" w14:textId="77777777" w:rsidTr="000F7652">
        <w:tc>
          <w:tcPr>
            <w:tcW w:w="4112" w:type="dxa"/>
          </w:tcPr>
          <w:p w14:paraId="3EBD7D9C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bookmarkStart w:id="2" w:name="_Hlk10357387"/>
            <w:r w:rsidRPr="003D2D65">
              <w:rPr>
                <w:rFonts w:ascii="Arial" w:hAnsi="Arial" w:cs="Arial"/>
              </w:rPr>
              <w:t>Accessibilité Web : guide à l’intention des édimestres</w:t>
            </w:r>
            <w:bookmarkEnd w:id="2"/>
          </w:p>
        </w:tc>
        <w:tc>
          <w:tcPr>
            <w:tcW w:w="4111" w:type="dxa"/>
          </w:tcPr>
          <w:p w14:paraId="0688ACA8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Sophie Lepage (Ville de Montréal) (2011)</w:t>
            </w:r>
          </w:p>
        </w:tc>
        <w:tc>
          <w:tcPr>
            <w:tcW w:w="4626" w:type="dxa"/>
          </w:tcPr>
          <w:p w14:paraId="44545A7C" w14:textId="0F904624" w:rsidR="006A38E6" w:rsidRPr="003D2D65" w:rsidRDefault="005C25F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disponible</w:t>
            </w:r>
          </w:p>
        </w:tc>
        <w:tc>
          <w:tcPr>
            <w:tcW w:w="1440" w:type="dxa"/>
            <w:vAlign w:val="center"/>
          </w:tcPr>
          <w:p w14:paraId="73201C63" w14:textId="38DD4BA6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A4D4C0" wp14:editId="7E66627D">
                  <wp:extent cx="476250" cy="4762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330253E3" w14:textId="77777777" w:rsidTr="000F7652">
        <w:tc>
          <w:tcPr>
            <w:tcW w:w="4112" w:type="dxa"/>
          </w:tcPr>
          <w:p w14:paraId="123224D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Communiquer pour tous : Guide pour une information accessible</w:t>
            </w:r>
          </w:p>
        </w:tc>
        <w:tc>
          <w:tcPr>
            <w:tcW w:w="4111" w:type="dxa"/>
          </w:tcPr>
          <w:p w14:paraId="28BB2B9C" w14:textId="235F9CCF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 Ruel (CIRLI), Cécile Allaire (Santé publique France)</w:t>
            </w:r>
            <w:r w:rsidR="00451812">
              <w:rPr>
                <w:rFonts w:ascii="Arial" w:hAnsi="Arial" w:cs="Arial"/>
              </w:rPr>
              <w:t xml:space="preserve"> et</w:t>
            </w:r>
            <w:r w:rsidRPr="003D2D65">
              <w:rPr>
                <w:rFonts w:ascii="Arial" w:hAnsi="Arial" w:cs="Arial"/>
              </w:rPr>
              <w:t xml:space="preserve"> collaborateurs (2018)</w:t>
            </w:r>
          </w:p>
        </w:tc>
        <w:tc>
          <w:tcPr>
            <w:tcW w:w="4626" w:type="dxa"/>
          </w:tcPr>
          <w:p w14:paraId="2F84D6AA" w14:textId="77777777" w:rsidR="006A38E6" w:rsidRPr="003D2D65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7" w:history="1">
              <w:r w:rsidR="006A38E6" w:rsidRPr="003D2D65">
                <w:rPr>
                  <w:rStyle w:val="Internetlink"/>
                  <w:rFonts w:ascii="Arial" w:hAnsi="Arial" w:cs="Arial"/>
                </w:rPr>
                <w:t>http://w3.uqo.ca/communiquerpourtous</w:t>
              </w:r>
            </w:hyperlink>
          </w:p>
        </w:tc>
        <w:tc>
          <w:tcPr>
            <w:tcW w:w="1440" w:type="dxa"/>
            <w:vAlign w:val="center"/>
          </w:tcPr>
          <w:p w14:paraId="162C0D2E" w14:textId="1CDD5E81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5EB0AE6" wp14:editId="6A06AB0F">
                  <wp:extent cx="476250" cy="4762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456830F7" w14:textId="77777777" w:rsidTr="000F7652">
        <w:tc>
          <w:tcPr>
            <w:tcW w:w="4112" w:type="dxa"/>
          </w:tcPr>
          <w:p w14:paraId="7B58EB7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Guide pour faciliter la communication avec une personne sourde</w:t>
            </w:r>
          </w:p>
        </w:tc>
        <w:tc>
          <w:tcPr>
            <w:tcW w:w="4111" w:type="dxa"/>
          </w:tcPr>
          <w:p w14:paraId="1D4D9FA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de réadaptation en déficience physique de Québec (2014)</w:t>
            </w:r>
          </w:p>
        </w:tc>
        <w:tc>
          <w:tcPr>
            <w:tcW w:w="4626" w:type="dxa"/>
          </w:tcPr>
          <w:p w14:paraId="45F198EA" w14:textId="3633F0CC" w:rsidR="006A38E6" w:rsidRPr="003D2D65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18" w:history="1">
              <w:r w:rsidR="005C25F3" w:rsidRPr="005C25F3">
                <w:rPr>
                  <w:rStyle w:val="Internetlink"/>
                  <w:rFonts w:ascii="Arial" w:hAnsi="Arial" w:cs="Arial"/>
                </w:rPr>
                <w:t>http://numerique.banq.qc.ca/patrimoine/details/52327/3500258</w:t>
              </w:r>
            </w:hyperlink>
          </w:p>
        </w:tc>
        <w:tc>
          <w:tcPr>
            <w:tcW w:w="1440" w:type="dxa"/>
            <w:vAlign w:val="center"/>
          </w:tcPr>
          <w:p w14:paraId="6084100A" w14:textId="41B6388F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C7C8222" wp14:editId="1BC723D4">
                  <wp:extent cx="476250" cy="4762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4E6F58AB" w14:textId="77777777" w:rsidTr="000F7652">
        <w:tc>
          <w:tcPr>
            <w:tcW w:w="4112" w:type="dxa"/>
          </w:tcPr>
          <w:p w14:paraId="492B4BB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Informer les personnes aveugles ou malvoyantes</w:t>
            </w:r>
          </w:p>
        </w:tc>
        <w:tc>
          <w:tcPr>
            <w:tcW w:w="4111" w:type="dxa"/>
          </w:tcPr>
          <w:p w14:paraId="1D03CEF2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national de prévention et d’éducation pour la santé (INPES) (2012)</w:t>
            </w:r>
          </w:p>
        </w:tc>
        <w:tc>
          <w:tcPr>
            <w:tcW w:w="4626" w:type="dxa"/>
          </w:tcPr>
          <w:p w14:paraId="3626E73E" w14:textId="2D24141A" w:rsidR="006A38E6" w:rsidRPr="005C25F3" w:rsidRDefault="00850DEF" w:rsidP="002129F2">
            <w:pPr>
              <w:spacing w:beforeLines="60" w:before="144" w:after="60" w:line="276" w:lineRule="auto"/>
              <w:rPr>
                <w:rStyle w:val="Internetlink"/>
              </w:rPr>
            </w:pPr>
            <w:hyperlink r:id="rId19" w:history="1">
              <w:r w:rsidR="005C25F3" w:rsidRPr="005C25F3">
                <w:rPr>
                  <w:rStyle w:val="Internetlink"/>
                  <w:rFonts w:ascii="Arial" w:hAnsi="Arial" w:cs="Arial"/>
                </w:rPr>
                <w:t>https://www.cnsa.fr/documentation/informer_les_personnes_aveugles_et_malvoyantes-2.pdf</w:t>
              </w:r>
            </w:hyperlink>
          </w:p>
        </w:tc>
        <w:tc>
          <w:tcPr>
            <w:tcW w:w="1440" w:type="dxa"/>
            <w:vAlign w:val="center"/>
          </w:tcPr>
          <w:p w14:paraId="0D81FA63" w14:textId="2F6AA4F7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90B4771" wp14:editId="037B61FC">
                  <wp:extent cx="476250" cy="4762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22A0ED15" w14:textId="77777777" w:rsidTr="000F7652">
        <w:tc>
          <w:tcPr>
            <w:tcW w:w="4112" w:type="dxa"/>
          </w:tcPr>
          <w:p w14:paraId="20A9748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L’information pour tous</w:t>
            </w:r>
          </w:p>
        </w:tc>
        <w:tc>
          <w:tcPr>
            <w:tcW w:w="4111" w:type="dxa"/>
          </w:tcPr>
          <w:p w14:paraId="1FE777A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Nous Aussi, Unapei (2009)</w:t>
            </w:r>
          </w:p>
        </w:tc>
        <w:tc>
          <w:tcPr>
            <w:tcW w:w="4626" w:type="dxa"/>
          </w:tcPr>
          <w:p w14:paraId="0DE5B54F" w14:textId="77777777" w:rsidR="006A38E6" w:rsidRPr="003D2D65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0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https://www.unapei.org/wp-content/uploads/2018/11/L%E2%80%99information-pour-tous-Re%CC%80gles-europe%CC%81ennes-pour-une-information-facile-a%CC%80-lire-et-a%CC%80-comprendre.pdf</w:t>
              </w:r>
            </w:hyperlink>
          </w:p>
        </w:tc>
        <w:tc>
          <w:tcPr>
            <w:tcW w:w="1440" w:type="dxa"/>
            <w:vAlign w:val="center"/>
          </w:tcPr>
          <w:p w14:paraId="40694C4D" w14:textId="607969A5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7309ED5" wp14:editId="0235AEA4">
                  <wp:extent cx="476250" cy="4762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23C831F6" w14:textId="77777777" w:rsidTr="000F7652">
        <w:tc>
          <w:tcPr>
            <w:tcW w:w="4112" w:type="dxa"/>
          </w:tcPr>
          <w:p w14:paraId="12B4009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Le langage clair : un outil indispensable à l’avocat</w:t>
            </w:r>
          </w:p>
        </w:tc>
        <w:tc>
          <w:tcPr>
            <w:tcW w:w="4111" w:type="dxa"/>
          </w:tcPr>
          <w:p w14:paraId="1E868E86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Barreau du Québec (2008)</w:t>
            </w:r>
          </w:p>
        </w:tc>
        <w:tc>
          <w:tcPr>
            <w:tcW w:w="4626" w:type="dxa"/>
          </w:tcPr>
          <w:p w14:paraId="2B1667F9" w14:textId="77777777" w:rsidR="006A38E6" w:rsidRPr="003D2D65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1" w:history="1">
              <w:r w:rsidR="006A38E6" w:rsidRPr="003D2D65">
                <w:rPr>
                  <w:rStyle w:val="Internetlink"/>
                  <w:rFonts w:ascii="Arial" w:hAnsi="Arial" w:cs="Arial"/>
                </w:rPr>
                <w:t>http://collections.banq.qc.ca/ark:/52327/bs2006344</w:t>
              </w:r>
            </w:hyperlink>
          </w:p>
        </w:tc>
        <w:tc>
          <w:tcPr>
            <w:tcW w:w="1440" w:type="dxa"/>
            <w:vAlign w:val="center"/>
          </w:tcPr>
          <w:p w14:paraId="159F8544" w14:textId="1BE82986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BBA2C03" wp14:editId="49F3754F">
                  <wp:extent cx="476250" cy="4762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01602" w14:textId="77777777" w:rsidR="00451812" w:rsidRDefault="00451812" w:rsidP="002129F2">
      <w:pPr>
        <w:pStyle w:val="Standard"/>
        <w:spacing w:beforeLines="60" w:before="144" w:after="60" w:line="276" w:lineRule="auto"/>
        <w:rPr>
          <w:rFonts w:ascii="Arial" w:hAnsi="Arial" w:cs="Arial"/>
        </w:rPr>
        <w:sectPr w:rsidR="00451812" w:rsidSect="008959EF">
          <w:footerReference w:type="default" r:id="rId22"/>
          <w:pgSz w:w="15840" w:h="12240" w:orient="landscape" w:code="1"/>
          <w:pgMar w:top="1417" w:right="956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4111"/>
        <w:gridCol w:w="4626"/>
        <w:gridCol w:w="1440"/>
      </w:tblGrid>
      <w:tr w:rsidR="006A38E6" w:rsidRPr="003D2D65" w14:paraId="2ED9BB9D" w14:textId="77777777" w:rsidTr="000F7652">
        <w:tc>
          <w:tcPr>
            <w:tcW w:w="4112" w:type="dxa"/>
          </w:tcPr>
          <w:p w14:paraId="52315CF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>Pour bien communiquer avec les aînés</w:t>
            </w:r>
            <w:r>
              <w:rPr>
                <w:rFonts w:ascii="Arial" w:hAnsi="Arial" w:cs="Arial"/>
              </w:rPr>
              <w:t> </w:t>
            </w:r>
            <w:r w:rsidRPr="003D2D65">
              <w:rPr>
                <w:rFonts w:ascii="Arial" w:hAnsi="Arial" w:cs="Arial"/>
              </w:rPr>
              <w:t>: faits conseils et idées</w:t>
            </w:r>
          </w:p>
        </w:tc>
        <w:tc>
          <w:tcPr>
            <w:tcW w:w="4111" w:type="dxa"/>
          </w:tcPr>
          <w:p w14:paraId="4AC77AB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Agence de la santé publique du Canada (2010)</w:t>
            </w:r>
          </w:p>
        </w:tc>
        <w:tc>
          <w:tcPr>
            <w:tcW w:w="4626" w:type="dxa"/>
          </w:tcPr>
          <w:p w14:paraId="61BABCC7" w14:textId="0E2AF685" w:rsidR="006A38E6" w:rsidRPr="00DF7D08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3" w:history="1">
              <w:r w:rsidR="005C25F3" w:rsidRPr="00DF7D08">
                <w:rPr>
                  <w:rStyle w:val="Internetlink"/>
                  <w:rFonts w:ascii="Arial" w:hAnsi="Arial" w:cs="Arial"/>
                </w:rPr>
                <w:t>https://www.canada.ca/content/dam/phac-aspc/migration/phac-aspc/seniors-aines/alt-formats/pdf/publications/public/various-varies/afcomm-commavecaines/AFComm-Commavecaines-fra.pdf</w:t>
              </w:r>
            </w:hyperlink>
          </w:p>
        </w:tc>
        <w:tc>
          <w:tcPr>
            <w:tcW w:w="1440" w:type="dxa"/>
            <w:vAlign w:val="center"/>
          </w:tcPr>
          <w:p w14:paraId="53E90E63" w14:textId="43856D84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34AB9BD" wp14:editId="700D265B">
                  <wp:extent cx="476250" cy="4762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62351B33" w14:textId="77777777" w:rsidTr="000F7652">
        <w:tc>
          <w:tcPr>
            <w:tcW w:w="4112" w:type="dxa"/>
          </w:tcPr>
          <w:p w14:paraId="71FF5318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Règles pour l'accessibilité des contenus Web (WCAG) 2.1</w:t>
            </w:r>
          </w:p>
        </w:tc>
        <w:tc>
          <w:tcPr>
            <w:tcW w:w="4111" w:type="dxa"/>
          </w:tcPr>
          <w:p w14:paraId="6B23B07C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(2018)</w:t>
            </w:r>
          </w:p>
        </w:tc>
        <w:tc>
          <w:tcPr>
            <w:tcW w:w="4626" w:type="dxa"/>
          </w:tcPr>
          <w:p w14:paraId="53366D1F" w14:textId="77777777" w:rsidR="006A38E6" w:rsidRPr="003D2D65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4" w:anchor="sotd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https://www.w3.org/TR/WCAG21/#sotd</w:t>
              </w:r>
            </w:hyperlink>
          </w:p>
        </w:tc>
        <w:tc>
          <w:tcPr>
            <w:tcW w:w="1440" w:type="dxa"/>
            <w:vAlign w:val="center"/>
          </w:tcPr>
          <w:p w14:paraId="6A0523A3" w14:textId="77777777" w:rsidR="006A38E6" w:rsidRPr="003D2D65" w:rsidRDefault="006A38E6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ND</w:t>
            </w:r>
          </w:p>
        </w:tc>
      </w:tr>
      <w:tr w:rsidR="006A38E6" w:rsidRPr="003D2D65" w14:paraId="71E7FA70" w14:textId="77777777" w:rsidTr="000F7652">
        <w:tc>
          <w:tcPr>
            <w:tcW w:w="4112" w:type="dxa"/>
          </w:tcPr>
          <w:p w14:paraId="2A615E74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Standard sur l'accessibilité des sites Web (SGQRI 008 2.0)</w:t>
            </w:r>
          </w:p>
        </w:tc>
        <w:tc>
          <w:tcPr>
            <w:tcW w:w="4111" w:type="dxa"/>
          </w:tcPr>
          <w:p w14:paraId="7471435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Québec (201</w:t>
            </w:r>
            <w:r>
              <w:rPr>
                <w:rFonts w:ascii="Arial" w:hAnsi="Arial" w:cs="Arial"/>
              </w:rPr>
              <w:t>8</w:t>
            </w:r>
            <w:r w:rsidRPr="003D2D65">
              <w:rPr>
                <w:rFonts w:ascii="Arial" w:hAnsi="Arial" w:cs="Arial"/>
              </w:rPr>
              <w:t>)</w:t>
            </w:r>
          </w:p>
        </w:tc>
        <w:tc>
          <w:tcPr>
            <w:tcW w:w="4626" w:type="dxa"/>
          </w:tcPr>
          <w:p w14:paraId="383100C0" w14:textId="77777777" w:rsidR="006A38E6" w:rsidRPr="0039351C" w:rsidRDefault="00850DEF" w:rsidP="002129F2">
            <w:pPr>
              <w:spacing w:beforeLines="60" w:before="144" w:after="60" w:line="276" w:lineRule="auto"/>
              <w:rPr>
                <w:rFonts w:ascii="Arial" w:hAnsi="Arial" w:cs="Arial"/>
                <w:color w:val="0563C1"/>
                <w:u w:val="single"/>
              </w:rPr>
            </w:pPr>
            <w:hyperlink r:id="rId25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https://www.tresor.gouv.qc.ca/fileadmin/PDF/ressources_informationnelles/AccessibiliteWeb/standard-access-web.pdf</w:t>
              </w:r>
            </w:hyperlink>
          </w:p>
        </w:tc>
        <w:tc>
          <w:tcPr>
            <w:tcW w:w="1440" w:type="dxa"/>
            <w:vAlign w:val="center"/>
          </w:tcPr>
          <w:p w14:paraId="4AF69CBE" w14:textId="2940E7FC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2BD5299" wp14:editId="392A5D0F">
                  <wp:extent cx="476250" cy="4762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DEEA4" w14:textId="77777777" w:rsidR="00392414" w:rsidRDefault="00392414"/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73"/>
        <w:gridCol w:w="4088"/>
        <w:gridCol w:w="4088"/>
        <w:gridCol w:w="1440"/>
      </w:tblGrid>
      <w:tr w:rsidR="001230C7" w:rsidRPr="003D2D65" w14:paraId="17D1C038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00AC26D" w14:textId="6063B4AC" w:rsidR="001230C7" w:rsidRPr="003D2D65" w:rsidRDefault="001230C7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3" w:name="_Toc22128341"/>
            <w:r w:rsidRPr="003D2D65">
              <w:rPr>
                <w:rFonts w:ascii="Arial" w:hAnsi="Arial" w:cs="Arial"/>
                <w:sz w:val="28"/>
                <w:szCs w:val="28"/>
              </w:rPr>
              <w:t>Enquêtes</w:t>
            </w:r>
            <w:bookmarkEnd w:id="3"/>
          </w:p>
        </w:tc>
      </w:tr>
      <w:tr w:rsidR="001230C7" w:rsidRPr="003D2D65" w14:paraId="0DE9BFD4" w14:textId="77777777" w:rsidTr="00441AFF">
        <w:tc>
          <w:tcPr>
            <w:tcW w:w="4673" w:type="dxa"/>
            <w:shd w:val="clear" w:color="auto" w:fill="C6D9F1" w:themeFill="text2" w:themeFillTint="33"/>
            <w:vAlign w:val="center"/>
          </w:tcPr>
          <w:p w14:paraId="64C7E382" w14:textId="5780974C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636FD0C9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53A991B3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14:paraId="6C943CB4" w14:textId="0E9982B6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1230C7" w:rsidRPr="003D2D65" w14:paraId="17B311AB" w14:textId="77777777" w:rsidTr="000F7652">
        <w:tc>
          <w:tcPr>
            <w:tcW w:w="4673" w:type="dxa"/>
          </w:tcPr>
          <w:p w14:paraId="5B70D3FF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Analyse du niveau de littératie en français au Québec : une comparaison entre natifs et immigrants</w:t>
            </w:r>
          </w:p>
        </w:tc>
        <w:tc>
          <w:tcPr>
            <w:tcW w:w="4088" w:type="dxa"/>
          </w:tcPr>
          <w:p w14:paraId="1281CF62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Alain Bélanger, Samuel Vézina (2016)</w:t>
            </w:r>
          </w:p>
        </w:tc>
        <w:tc>
          <w:tcPr>
            <w:tcW w:w="4088" w:type="dxa"/>
          </w:tcPr>
          <w:p w14:paraId="18FD8BBD" w14:textId="77777777" w:rsidR="001230C7" w:rsidRPr="003D2D65" w:rsidRDefault="00850DEF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6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http://espace.inrs.ca/4842/1/belanger-2016-analyse.pdf</w:t>
              </w:r>
            </w:hyperlink>
          </w:p>
        </w:tc>
        <w:tc>
          <w:tcPr>
            <w:tcW w:w="1440" w:type="dxa"/>
            <w:vAlign w:val="center"/>
          </w:tcPr>
          <w:p w14:paraId="51E6A0C9" w14:textId="2F0AFEE3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C15BD98" wp14:editId="576A960B">
                  <wp:extent cx="476250" cy="4762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6F9A71A8" w14:textId="77777777" w:rsidTr="000F7652">
        <w:tc>
          <w:tcPr>
            <w:tcW w:w="4673" w:type="dxa"/>
          </w:tcPr>
          <w:p w14:paraId="4BB98E02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La littératie en milieu de travail : compétences, pratiques et formation</w:t>
            </w:r>
          </w:p>
        </w:tc>
        <w:tc>
          <w:tcPr>
            <w:tcW w:w="4088" w:type="dxa"/>
          </w:tcPr>
          <w:p w14:paraId="71EE6ED4" w14:textId="77777777" w:rsidR="001230C7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 xml:space="preserve">Francine </w:t>
            </w:r>
            <w:proofErr w:type="spellStart"/>
            <w:r w:rsidRPr="003D2D65">
              <w:rPr>
                <w:rFonts w:ascii="Arial" w:hAnsi="Arial" w:cs="Arial"/>
              </w:rPr>
              <w:t>Bernèche</w:t>
            </w:r>
            <w:proofErr w:type="spellEnd"/>
            <w:r w:rsidRPr="003D2D65">
              <w:rPr>
                <w:rFonts w:ascii="Arial" w:hAnsi="Arial" w:cs="Arial"/>
              </w:rPr>
              <w:t>, Issouf Traoré (Institut de la statistique du Québec) (2012)</w:t>
            </w:r>
          </w:p>
          <w:p w14:paraId="2889C81B" w14:textId="7B7BC57E" w:rsidR="00DF7D08" w:rsidRPr="003D2D65" w:rsidRDefault="00DF7D08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3</w:t>
            </w:r>
          </w:p>
        </w:tc>
        <w:tc>
          <w:tcPr>
            <w:tcW w:w="4088" w:type="dxa"/>
          </w:tcPr>
          <w:p w14:paraId="48CE846E" w14:textId="31DC9D96" w:rsidR="001230C7" w:rsidRPr="003D2D65" w:rsidRDefault="00850DEF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7" w:history="1">
              <w:r w:rsidR="00DF7D08" w:rsidRPr="00DF7D08">
                <w:rPr>
                  <w:rStyle w:val="Internetlink"/>
                  <w:rFonts w:ascii="Arial" w:hAnsi="Arial" w:cs="Arial"/>
                </w:rPr>
                <w:t>http://www.stat.gouv.qc.ca/statistiques/conditions-vie-societe/bulletins/sociodemo-vol16-no3.pdf</w:t>
              </w:r>
            </w:hyperlink>
          </w:p>
        </w:tc>
        <w:tc>
          <w:tcPr>
            <w:tcW w:w="1440" w:type="dxa"/>
            <w:vAlign w:val="center"/>
          </w:tcPr>
          <w:p w14:paraId="35BB5AE2" w14:textId="137F5560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5DD37EB" wp14:editId="0C0E166F">
                  <wp:extent cx="476250" cy="4762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2A2A580F" w14:textId="77777777" w:rsidTr="000F7652">
        <w:tc>
          <w:tcPr>
            <w:tcW w:w="4673" w:type="dxa"/>
          </w:tcPr>
          <w:p w14:paraId="130726E8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6A38E6">
              <w:rPr>
                <w:rFonts w:ascii="Arial" w:hAnsi="Arial" w:cs="Arial"/>
                <w:color w:val="000000"/>
              </w:rPr>
              <w:t>Les compétences en littératie des francophones de l'Ontario</w:t>
            </w:r>
            <w:r w:rsidRPr="006A38E6">
              <w:rPr>
                <w:rFonts w:ascii="Arial" w:hAnsi="Arial" w:cs="Arial"/>
                <w:color w:val="000000"/>
                <w:lang w:val="fr-CA"/>
              </w:rPr>
              <w:t> </w:t>
            </w:r>
            <w:r w:rsidRPr="006A38E6">
              <w:rPr>
                <w:rFonts w:ascii="Arial" w:hAnsi="Arial" w:cs="Arial"/>
                <w:color w:val="000000"/>
              </w:rPr>
              <w:t>: état des lieux et enjeux émergents</w:t>
            </w:r>
          </w:p>
        </w:tc>
        <w:tc>
          <w:tcPr>
            <w:tcW w:w="4088" w:type="dxa"/>
          </w:tcPr>
          <w:p w14:paraId="146C42EA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Julien Bérard-Chagnon (Statistique Canada) (2015)</w:t>
            </w:r>
          </w:p>
        </w:tc>
        <w:tc>
          <w:tcPr>
            <w:tcW w:w="4088" w:type="dxa"/>
          </w:tcPr>
          <w:p w14:paraId="184FBA11" w14:textId="77777777" w:rsidR="001230C7" w:rsidRPr="003D2D65" w:rsidRDefault="00850DEF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8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http://bv.cdeacf.ca/RA_PDF/54946.pdf</w:t>
              </w:r>
            </w:hyperlink>
          </w:p>
          <w:p w14:paraId="45A1D459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C5C40AF" w14:textId="65D19E2C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B74A1C" wp14:editId="6E7A5311">
                  <wp:extent cx="476250" cy="4762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E76F2A" w14:paraId="273E11B5" w14:textId="77777777" w:rsidTr="000F7652">
        <w:tc>
          <w:tcPr>
            <w:tcW w:w="4673" w:type="dxa"/>
          </w:tcPr>
          <w:p w14:paraId="3581133D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 xml:space="preserve">Les compétences en littératie, en numératie et en résolution de problèmes dans des environnements technologiques : des clefs pour relever les défis du XXIe siècle. Rapport québécois du Programme pour l’évaluation internationale des compétences des adultes (PEICA) </w:t>
            </w:r>
          </w:p>
        </w:tc>
        <w:tc>
          <w:tcPr>
            <w:tcW w:w="4088" w:type="dxa"/>
          </w:tcPr>
          <w:p w14:paraId="77AB64FA" w14:textId="77777777" w:rsidR="002B6F6A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Hélène Desrosiers, Virginie </w:t>
            </w:r>
            <w:proofErr w:type="spellStart"/>
            <w:r>
              <w:rPr>
                <w:rFonts w:ascii="Arial" w:hAnsi="Arial" w:cs="Arial"/>
              </w:rPr>
              <w:t>Nanhou</w:t>
            </w:r>
            <w:proofErr w:type="spellEnd"/>
            <w:r>
              <w:rPr>
                <w:rFonts w:ascii="Arial" w:hAnsi="Arial" w:cs="Arial"/>
              </w:rPr>
              <w:t>, Amélie Ducharme, Luc Cloutier-Villeneuve, Marc-André Gauthier et Marie-Pier Labrie</w:t>
            </w:r>
          </w:p>
          <w:p w14:paraId="33CBD231" w14:textId="025B774C" w:rsidR="001230C7" w:rsidRPr="003D2D65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(Institut de la statistique du Québec) (2015)</w:t>
            </w:r>
          </w:p>
        </w:tc>
        <w:tc>
          <w:tcPr>
            <w:tcW w:w="4088" w:type="dxa"/>
          </w:tcPr>
          <w:p w14:paraId="2D4B8322" w14:textId="77777777" w:rsidR="001230C7" w:rsidRPr="003D2D65" w:rsidRDefault="00850DEF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29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http://www.stat.gouv.qc.ca/statistiques/education/alphabetisation-litteratie/peica.pdf</w:t>
              </w:r>
            </w:hyperlink>
          </w:p>
        </w:tc>
        <w:tc>
          <w:tcPr>
            <w:tcW w:w="1440" w:type="dxa"/>
            <w:vAlign w:val="center"/>
          </w:tcPr>
          <w:p w14:paraId="44F28751" w14:textId="2EF1495E" w:rsidR="00AD2FB4" w:rsidRPr="003D2D65" w:rsidRDefault="007725BF" w:rsidP="000F7652">
            <w:pPr>
              <w:spacing w:before="60" w:afterLines="60" w:after="144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BA77720" wp14:editId="3025A32A">
                  <wp:extent cx="476250" cy="4762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44687A2B" w14:textId="77777777" w:rsidTr="000F7652">
        <w:tc>
          <w:tcPr>
            <w:tcW w:w="4673" w:type="dxa"/>
          </w:tcPr>
          <w:p w14:paraId="133A1A15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Littératie en santé : compétences, groupes cibles et facteurs favorables</w:t>
            </w:r>
          </w:p>
        </w:tc>
        <w:tc>
          <w:tcPr>
            <w:tcW w:w="4088" w:type="dxa"/>
          </w:tcPr>
          <w:p w14:paraId="37075C7D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 xml:space="preserve">Francine </w:t>
            </w:r>
            <w:proofErr w:type="spellStart"/>
            <w:r w:rsidRPr="003D2D65">
              <w:rPr>
                <w:rFonts w:ascii="Arial" w:hAnsi="Arial" w:cs="Arial"/>
              </w:rPr>
              <w:t>Bernèche</w:t>
            </w:r>
            <w:proofErr w:type="spellEnd"/>
            <w:r w:rsidRPr="003D2D65">
              <w:rPr>
                <w:rFonts w:ascii="Arial" w:hAnsi="Arial" w:cs="Arial"/>
              </w:rPr>
              <w:t>, Issouf Traoré, Bertrand Perron (Institut de la statistique du Québec) (2012)</w:t>
            </w:r>
          </w:p>
        </w:tc>
        <w:tc>
          <w:tcPr>
            <w:tcW w:w="4088" w:type="dxa"/>
          </w:tcPr>
          <w:p w14:paraId="3073FE7A" w14:textId="77777777" w:rsidR="001230C7" w:rsidRPr="003D2D65" w:rsidRDefault="00850DEF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30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http://www.stat.gouv.qc.ca/statistiques/sante/bulletins/zoom-sante-201202-35.pdf</w:t>
              </w:r>
            </w:hyperlink>
          </w:p>
        </w:tc>
        <w:tc>
          <w:tcPr>
            <w:tcW w:w="1440" w:type="dxa"/>
            <w:vAlign w:val="center"/>
          </w:tcPr>
          <w:p w14:paraId="6CF66AB4" w14:textId="69E3BC82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1300B7D" wp14:editId="581CF4AF">
                  <wp:extent cx="476250" cy="4762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FDD49" w14:textId="77777777" w:rsidR="00366C21" w:rsidRDefault="00366C21" w:rsidP="002129F2">
      <w:pPr>
        <w:spacing w:before="60" w:afterLines="60" w:after="144"/>
      </w:pPr>
    </w:p>
    <w:tbl>
      <w:tblPr>
        <w:tblStyle w:val="TableGrid"/>
        <w:tblW w:w="1431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319"/>
        <w:gridCol w:w="6999"/>
      </w:tblGrid>
      <w:tr w:rsidR="00392414" w:rsidRPr="003D2D65" w14:paraId="53BE1213" w14:textId="77777777" w:rsidTr="004372E0">
        <w:trPr>
          <w:trHeight w:val="406"/>
        </w:trPr>
        <w:tc>
          <w:tcPr>
            <w:tcW w:w="14318" w:type="dxa"/>
            <w:gridSpan w:val="2"/>
            <w:shd w:val="clear" w:color="auto" w:fill="17365D" w:themeFill="text2" w:themeFillShade="BF"/>
          </w:tcPr>
          <w:p w14:paraId="7878F78F" w14:textId="0ADE9984" w:rsidR="00392414" w:rsidRPr="003D2D65" w:rsidRDefault="00392414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4" w:name="_Toc22128342"/>
            <w:r w:rsidRPr="003D2D65">
              <w:rPr>
                <w:rFonts w:ascii="Arial" w:hAnsi="Arial" w:cs="Arial"/>
                <w:sz w:val="28"/>
                <w:szCs w:val="28"/>
              </w:rPr>
              <w:t>Sites Web pertinents</w:t>
            </w:r>
            <w:bookmarkEnd w:id="4"/>
          </w:p>
        </w:tc>
      </w:tr>
      <w:tr w:rsidR="00392414" w:rsidRPr="003D2D65" w14:paraId="0ECFFF59" w14:textId="77777777" w:rsidTr="004372E0">
        <w:trPr>
          <w:trHeight w:val="224"/>
        </w:trPr>
        <w:tc>
          <w:tcPr>
            <w:tcW w:w="7319" w:type="dxa"/>
            <w:shd w:val="clear" w:color="auto" w:fill="C6D9F1" w:themeFill="text2" w:themeFillTint="33"/>
            <w:vAlign w:val="center"/>
          </w:tcPr>
          <w:p w14:paraId="3DC84DAD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6999" w:type="dxa"/>
            <w:shd w:val="clear" w:color="auto" w:fill="C6D9F1" w:themeFill="text2" w:themeFillTint="33"/>
            <w:vAlign w:val="center"/>
          </w:tcPr>
          <w:p w14:paraId="4858B978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</w:tr>
      <w:tr w:rsidR="004E6FD0" w:rsidRPr="003D2D65" w14:paraId="642229F2" w14:textId="77777777" w:rsidTr="004372E0">
        <w:trPr>
          <w:trHeight w:val="714"/>
        </w:trPr>
        <w:tc>
          <w:tcPr>
            <w:tcW w:w="7319" w:type="dxa"/>
            <w:vAlign w:val="center"/>
          </w:tcPr>
          <w:p w14:paraId="17EBCCDF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Le centre de documentation sur l'éducation des adultes et la condition féminine (CDÉACF)</w:t>
            </w:r>
          </w:p>
        </w:tc>
        <w:tc>
          <w:tcPr>
            <w:tcW w:w="6999" w:type="dxa"/>
            <w:vAlign w:val="center"/>
          </w:tcPr>
          <w:p w14:paraId="4C1F3431" w14:textId="77777777" w:rsidR="004E6FD0" w:rsidRPr="00F439A6" w:rsidRDefault="00850DEF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31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http://cdeacf.ca/</w:t>
              </w:r>
            </w:hyperlink>
          </w:p>
        </w:tc>
      </w:tr>
      <w:tr w:rsidR="004E6FD0" w:rsidRPr="003D2D65" w14:paraId="6FB4AEC0" w14:textId="77777777" w:rsidTr="004372E0">
        <w:trPr>
          <w:trHeight w:val="462"/>
        </w:trPr>
        <w:tc>
          <w:tcPr>
            <w:tcW w:w="7319" w:type="dxa"/>
            <w:vAlign w:val="center"/>
          </w:tcPr>
          <w:p w14:paraId="0DB00335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Office des personnes handicapées du Québec (OPHQ)</w:t>
            </w:r>
          </w:p>
        </w:tc>
        <w:tc>
          <w:tcPr>
            <w:tcW w:w="6999" w:type="dxa"/>
            <w:vAlign w:val="center"/>
          </w:tcPr>
          <w:p w14:paraId="3477B703" w14:textId="77777777" w:rsidR="004E6FD0" w:rsidRPr="00F439A6" w:rsidRDefault="00850DEF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32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https://www.ophq.gouv.qc.ca/</w:t>
              </w:r>
            </w:hyperlink>
          </w:p>
        </w:tc>
      </w:tr>
      <w:tr w:rsidR="004E6FD0" w:rsidRPr="00F439A6" w14:paraId="5DED8EDC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01A0F297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</w:rPr>
              <w:t xml:space="preserve">Programme pour l’évaluation internationale des compétences des adultes (PEICA) </w:t>
            </w:r>
            <w:r w:rsidRPr="00A868A3">
              <w:rPr>
                <w:rFonts w:ascii="Arial" w:hAnsi="Arial" w:cs="Arial"/>
                <w:color w:val="000000"/>
              </w:rPr>
              <w:t>(rapports pancanadiens)</w:t>
            </w:r>
          </w:p>
        </w:tc>
        <w:tc>
          <w:tcPr>
            <w:tcW w:w="6999" w:type="dxa"/>
            <w:vAlign w:val="center"/>
          </w:tcPr>
          <w:p w14:paraId="168741A2" w14:textId="449CFE5F" w:rsidR="004E6FD0" w:rsidRPr="00F439A6" w:rsidRDefault="00F439A6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  <w:u w:val="single"/>
              </w:rPr>
            </w:pPr>
            <w:hyperlink r:id="rId33" w:history="1">
              <w:r w:rsidRPr="00F439A6">
                <w:rPr>
                  <w:rStyle w:val="Hyperlink"/>
                  <w:rFonts w:ascii="Arial" w:hAnsi="Arial" w:cs="Arial"/>
                  <w:color w:val="17365D" w:themeColor="text2" w:themeShade="BF"/>
                </w:rPr>
                <w:t>http://www.peicada.ca</w:t>
              </w:r>
            </w:hyperlink>
            <w:r w:rsidRPr="00F439A6">
              <w:rPr>
                <w:rStyle w:val="Hyperlink"/>
                <w:rFonts w:ascii="Arial" w:hAnsi="Arial" w:cs="Arial"/>
                <w:color w:val="17365D" w:themeColor="text2" w:themeShade="BF"/>
              </w:rPr>
              <w:t xml:space="preserve"> </w:t>
            </w:r>
          </w:p>
        </w:tc>
      </w:tr>
      <w:tr w:rsidR="004E6FD0" w:rsidRPr="003D2D65" w14:paraId="1ED1577C" w14:textId="77777777" w:rsidTr="004372E0">
        <w:trPr>
          <w:trHeight w:val="476"/>
        </w:trPr>
        <w:tc>
          <w:tcPr>
            <w:tcW w:w="7319" w:type="dxa"/>
            <w:vAlign w:val="center"/>
          </w:tcPr>
          <w:p w14:paraId="7D8E7D4D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3D2D65">
              <w:rPr>
                <w:rFonts w:ascii="Arial" w:hAnsi="Arial" w:cs="Arial"/>
                <w:color w:val="000000"/>
              </w:rPr>
              <w:t>Santé publique France</w:t>
            </w:r>
          </w:p>
        </w:tc>
        <w:tc>
          <w:tcPr>
            <w:tcW w:w="6999" w:type="dxa"/>
            <w:vAlign w:val="center"/>
          </w:tcPr>
          <w:p w14:paraId="5E69E05E" w14:textId="73BF6356" w:rsidR="004E6FD0" w:rsidRPr="00F439A6" w:rsidRDefault="00F439A6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  <w:color w:val="17365D" w:themeColor="text2" w:themeShade="BF"/>
              </w:rPr>
            </w:pPr>
            <w:hyperlink r:id="rId34" w:history="1">
              <w:r w:rsidRPr="00F439A6">
                <w:rPr>
                  <w:rStyle w:val="Hyperlink"/>
                  <w:rFonts w:ascii="Arial" w:hAnsi="Arial" w:cs="Arial"/>
                  <w:color w:val="17365D" w:themeColor="text2" w:themeShade="BF"/>
                </w:rPr>
                <w:t>https://www.santepubliquefrance.fr/l-info-accessible-a-tous</w:t>
              </w:r>
            </w:hyperlink>
          </w:p>
        </w:tc>
      </w:tr>
      <w:tr w:rsidR="004E6FD0" w:rsidRPr="003D2D65" w14:paraId="0A17C7D2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6015E1A6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Simplicom</w:t>
            </w:r>
          </w:p>
        </w:tc>
        <w:tc>
          <w:tcPr>
            <w:tcW w:w="6999" w:type="dxa"/>
            <w:vAlign w:val="center"/>
          </w:tcPr>
          <w:p w14:paraId="427E8096" w14:textId="77777777" w:rsidR="004E6FD0" w:rsidRPr="00F439A6" w:rsidRDefault="00850DEF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35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https://simplicom.org/</w:t>
              </w:r>
            </w:hyperlink>
          </w:p>
        </w:tc>
      </w:tr>
      <w:tr w:rsidR="004E6FD0" w:rsidRPr="003D2D65" w14:paraId="7DCD7765" w14:textId="77777777" w:rsidTr="004372E0">
        <w:trPr>
          <w:trHeight w:val="490"/>
        </w:trPr>
        <w:tc>
          <w:tcPr>
            <w:tcW w:w="7319" w:type="dxa"/>
            <w:vAlign w:val="center"/>
          </w:tcPr>
          <w:p w14:paraId="4D598826" w14:textId="77777777" w:rsidR="004E6FD0" w:rsidRPr="00E76F2A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E76F2A">
              <w:rPr>
                <w:rFonts w:ascii="Arial" w:hAnsi="Arial" w:cs="Arial"/>
                <w:color w:val="000000"/>
              </w:rPr>
              <w:t>Statistique Québec (en lien avec l’alphabétisation et la littératie)</w:t>
            </w:r>
          </w:p>
        </w:tc>
        <w:tc>
          <w:tcPr>
            <w:tcW w:w="6999" w:type="dxa"/>
            <w:vAlign w:val="center"/>
          </w:tcPr>
          <w:p w14:paraId="7EC8F0DE" w14:textId="5B2E1891" w:rsidR="004E6FD0" w:rsidRPr="00F439A6" w:rsidRDefault="00850DEF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36" w:history="1">
              <w:r w:rsidR="00DF7D08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http://www.stat.gouv.qc.ca/statistiques/education/alphabetisation-litteratie/index.html</w:t>
              </w:r>
            </w:hyperlink>
          </w:p>
        </w:tc>
      </w:tr>
      <w:tr w:rsidR="004E6FD0" w:rsidRPr="003D2D65" w14:paraId="3494C484" w14:textId="77777777" w:rsidTr="004372E0">
        <w:trPr>
          <w:trHeight w:val="224"/>
        </w:trPr>
        <w:tc>
          <w:tcPr>
            <w:tcW w:w="7319" w:type="dxa"/>
            <w:vAlign w:val="center"/>
          </w:tcPr>
          <w:p w14:paraId="4E6A5C8B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  <w:iCs/>
                <w:color w:val="222222"/>
                <w:shd w:val="clear" w:color="auto" w:fill="FFFFFF"/>
              </w:rPr>
              <w:t>Union nationale des associations de parents, de personnes handicapées mentales et de leurs amis</w:t>
            </w:r>
            <w:r w:rsidRPr="00A868A3">
              <w:rPr>
                <w:rFonts w:ascii="Arial" w:hAnsi="Arial" w:cs="Arial"/>
                <w:color w:val="000000"/>
              </w:rPr>
              <w:t xml:space="preserve"> (Unapei) </w:t>
            </w:r>
          </w:p>
        </w:tc>
        <w:tc>
          <w:tcPr>
            <w:tcW w:w="6999" w:type="dxa"/>
            <w:vAlign w:val="center"/>
          </w:tcPr>
          <w:p w14:paraId="616D2E44" w14:textId="77777777" w:rsidR="004E6FD0" w:rsidRPr="00F439A6" w:rsidRDefault="00850DEF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  <w:color w:val="17365D" w:themeColor="text2" w:themeShade="BF"/>
              </w:rPr>
            </w:pPr>
            <w:hyperlink r:id="rId37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https://www.unapei.org/</w:t>
              </w:r>
            </w:hyperlink>
          </w:p>
        </w:tc>
      </w:tr>
    </w:tbl>
    <w:p w14:paraId="63DA0FC0" w14:textId="77777777" w:rsidR="001230C7" w:rsidRDefault="001230C7">
      <w:bookmarkStart w:id="5" w:name="_GoBack"/>
      <w:bookmarkEnd w:id="5"/>
    </w:p>
    <w:sectPr w:rsidR="001230C7" w:rsidSect="008959EF">
      <w:pgSz w:w="15840" w:h="12240" w:orient="landscape" w:code="1"/>
      <w:pgMar w:top="1417" w:right="95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94EDF" w14:textId="77777777" w:rsidR="00850DEF" w:rsidRDefault="00850DEF" w:rsidP="001230C7">
      <w:pPr>
        <w:spacing w:after="0" w:line="240" w:lineRule="auto"/>
      </w:pPr>
      <w:r>
        <w:separator/>
      </w:r>
    </w:p>
  </w:endnote>
  <w:endnote w:type="continuationSeparator" w:id="0">
    <w:p w14:paraId="7D1DFD05" w14:textId="77777777" w:rsidR="00850DEF" w:rsidRDefault="00850DEF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9ACD" w14:textId="14107E8F" w:rsidR="001230C7" w:rsidRDefault="001230C7">
    <w:pPr>
      <w:pStyle w:val="Footer"/>
      <w:jc w:val="right"/>
    </w:pPr>
  </w:p>
  <w:p w14:paraId="2EE79FF6" w14:textId="0830892A" w:rsidR="001230C7" w:rsidRPr="001E727A" w:rsidRDefault="003D2D65" w:rsidP="001E727A">
    <w:pPr>
      <w:tabs>
        <w:tab w:val="left" w:pos="7088"/>
      </w:tabs>
      <w:jc w:val="cen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</w:t>
    </w:r>
    <w:r w:rsidR="001E727A">
      <w:rPr>
        <w:rFonts w:cstheme="minorHAnsi"/>
        <w:caps/>
        <w:color w:val="4F81BD" w:themeColor="accent1"/>
      </w:rPr>
      <w:t xml:space="preserve">                          </w:t>
    </w:r>
    <w:r>
      <w:rPr>
        <w:rFonts w:cstheme="minorHAnsi"/>
        <w:caps/>
        <w:color w:val="4F81BD" w:themeColor="accent1"/>
      </w:rPr>
      <w:t xml:space="preserve">                         </w:t>
    </w:r>
    <w:r w:rsidR="001E727A">
      <w:rPr>
        <w:rFonts w:cstheme="minorHAnsi"/>
        <w:caps/>
        <w:color w:val="4F81BD" w:themeColor="accent1"/>
      </w:rPr>
      <w:t xml:space="preserve">              </w:t>
    </w:r>
    <w:r>
      <w:rPr>
        <w:rFonts w:cstheme="minorHAnsi"/>
        <w:caps/>
        <w:color w:val="4F81BD" w:themeColor="accent1"/>
      </w:rPr>
      <w:t xml:space="preserve">      ©</w:t>
    </w:r>
    <w:r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1E727A">
      <w:rPr>
        <w:rFonts w:ascii="Arial" w:hAnsi="Arial" w:cs="Arial"/>
        <w:sz w:val="18"/>
        <w:szCs w:val="18"/>
      </w:rPr>
      <w:t xml:space="preserve"> – Références </w:t>
    </w:r>
    <w:r>
      <w:rPr>
        <w:caps/>
        <w:color w:val="4F81BD" w:themeColor="accent1"/>
      </w:rPr>
      <w:t xml:space="preserve">              </w:t>
    </w:r>
    <w:r w:rsidR="001E727A">
      <w:rPr>
        <w:caps/>
        <w:color w:val="4F81BD" w:themeColor="accent1"/>
      </w:rPr>
      <w:t xml:space="preserve">              </w:t>
    </w:r>
    <w:r>
      <w:rPr>
        <w:caps/>
        <w:color w:val="4F81BD" w:themeColor="accent1"/>
      </w:rPr>
      <w:t xml:space="preserve">                                                       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82778" w14:textId="77777777" w:rsidR="00850DEF" w:rsidRDefault="00850DEF" w:rsidP="001230C7">
      <w:pPr>
        <w:spacing w:after="0" w:line="240" w:lineRule="auto"/>
      </w:pPr>
      <w:r>
        <w:separator/>
      </w:r>
    </w:p>
  </w:footnote>
  <w:footnote w:type="continuationSeparator" w:id="0">
    <w:p w14:paraId="5BDEB864" w14:textId="77777777" w:rsidR="00850DEF" w:rsidRDefault="00850DEF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5305DD"/>
    <w:multiLevelType w:val="hybridMultilevel"/>
    <w:tmpl w:val="114AC7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0540F6"/>
    <w:multiLevelType w:val="hybridMultilevel"/>
    <w:tmpl w:val="15A48130"/>
    <w:lvl w:ilvl="0" w:tplc="A708482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67E40"/>
    <w:multiLevelType w:val="hybridMultilevel"/>
    <w:tmpl w:val="618CAD0E"/>
    <w:lvl w:ilvl="0" w:tplc="F99A5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7313"/>
    <w:multiLevelType w:val="hybridMultilevel"/>
    <w:tmpl w:val="6B309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6C6C"/>
    <w:multiLevelType w:val="multilevel"/>
    <w:tmpl w:val="60086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451000"/>
    <w:multiLevelType w:val="hybridMultilevel"/>
    <w:tmpl w:val="0D7A8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30323"/>
    <w:rsid w:val="00037C15"/>
    <w:rsid w:val="0005042E"/>
    <w:rsid w:val="00071A23"/>
    <w:rsid w:val="00072BEF"/>
    <w:rsid w:val="000B21CC"/>
    <w:rsid w:val="000D26B8"/>
    <w:rsid w:val="000F6A01"/>
    <w:rsid w:val="000F7652"/>
    <w:rsid w:val="00122C9B"/>
    <w:rsid w:val="001230C7"/>
    <w:rsid w:val="00185FD7"/>
    <w:rsid w:val="001D724C"/>
    <w:rsid w:val="001E727A"/>
    <w:rsid w:val="001F5D68"/>
    <w:rsid w:val="002015F7"/>
    <w:rsid w:val="00205F99"/>
    <w:rsid w:val="002129F2"/>
    <w:rsid w:val="0024361B"/>
    <w:rsid w:val="00282DA4"/>
    <w:rsid w:val="002B6F6A"/>
    <w:rsid w:val="002D083A"/>
    <w:rsid w:val="003317D2"/>
    <w:rsid w:val="003617C6"/>
    <w:rsid w:val="00366C21"/>
    <w:rsid w:val="00386ED9"/>
    <w:rsid w:val="00392414"/>
    <w:rsid w:val="0039351C"/>
    <w:rsid w:val="003B6FF6"/>
    <w:rsid w:val="003D2D65"/>
    <w:rsid w:val="003E59B6"/>
    <w:rsid w:val="004372E0"/>
    <w:rsid w:val="00441AFF"/>
    <w:rsid w:val="00451812"/>
    <w:rsid w:val="00456CE0"/>
    <w:rsid w:val="004704BA"/>
    <w:rsid w:val="00490CFA"/>
    <w:rsid w:val="004B3323"/>
    <w:rsid w:val="004B35BD"/>
    <w:rsid w:val="004E6FD0"/>
    <w:rsid w:val="004F39D1"/>
    <w:rsid w:val="00524190"/>
    <w:rsid w:val="00557BAE"/>
    <w:rsid w:val="005B53A3"/>
    <w:rsid w:val="005C25F3"/>
    <w:rsid w:val="005C45C4"/>
    <w:rsid w:val="005D0559"/>
    <w:rsid w:val="005F54AF"/>
    <w:rsid w:val="005F7565"/>
    <w:rsid w:val="00600101"/>
    <w:rsid w:val="00697635"/>
    <w:rsid w:val="006A3502"/>
    <w:rsid w:val="006A38E6"/>
    <w:rsid w:val="006E26F8"/>
    <w:rsid w:val="006E307A"/>
    <w:rsid w:val="006E4C35"/>
    <w:rsid w:val="0070302B"/>
    <w:rsid w:val="00711B6D"/>
    <w:rsid w:val="007153A0"/>
    <w:rsid w:val="007425DF"/>
    <w:rsid w:val="00757DB8"/>
    <w:rsid w:val="007725BF"/>
    <w:rsid w:val="007B4D57"/>
    <w:rsid w:val="007D153D"/>
    <w:rsid w:val="00850DEF"/>
    <w:rsid w:val="008959EF"/>
    <w:rsid w:val="008D0C88"/>
    <w:rsid w:val="00936888"/>
    <w:rsid w:val="0097684A"/>
    <w:rsid w:val="00996043"/>
    <w:rsid w:val="009D5C61"/>
    <w:rsid w:val="00A23D23"/>
    <w:rsid w:val="00A31BCB"/>
    <w:rsid w:val="00A524E3"/>
    <w:rsid w:val="00A741D2"/>
    <w:rsid w:val="00A779AD"/>
    <w:rsid w:val="00A83FEB"/>
    <w:rsid w:val="00A868A3"/>
    <w:rsid w:val="00A9455C"/>
    <w:rsid w:val="00AA2915"/>
    <w:rsid w:val="00AD2FB4"/>
    <w:rsid w:val="00B20664"/>
    <w:rsid w:val="00B310C1"/>
    <w:rsid w:val="00B408CC"/>
    <w:rsid w:val="00B45358"/>
    <w:rsid w:val="00B62CC1"/>
    <w:rsid w:val="00BB25DE"/>
    <w:rsid w:val="00BC4461"/>
    <w:rsid w:val="00BD4986"/>
    <w:rsid w:val="00BE2939"/>
    <w:rsid w:val="00C24D03"/>
    <w:rsid w:val="00C65718"/>
    <w:rsid w:val="00C74AE6"/>
    <w:rsid w:val="00C752B8"/>
    <w:rsid w:val="00D179FA"/>
    <w:rsid w:val="00D64EBD"/>
    <w:rsid w:val="00D97750"/>
    <w:rsid w:val="00DB175B"/>
    <w:rsid w:val="00DC20E2"/>
    <w:rsid w:val="00DE6705"/>
    <w:rsid w:val="00DF7D08"/>
    <w:rsid w:val="00E027B5"/>
    <w:rsid w:val="00E2394D"/>
    <w:rsid w:val="00E5680A"/>
    <w:rsid w:val="00E7480B"/>
    <w:rsid w:val="00E76F2A"/>
    <w:rsid w:val="00E92CA4"/>
    <w:rsid w:val="00E954F9"/>
    <w:rsid w:val="00EB7A33"/>
    <w:rsid w:val="00EC5B68"/>
    <w:rsid w:val="00EE0D42"/>
    <w:rsid w:val="00EE745E"/>
    <w:rsid w:val="00F20F0B"/>
    <w:rsid w:val="00F439A6"/>
    <w:rsid w:val="00F54B84"/>
    <w:rsid w:val="00F55060"/>
    <w:rsid w:val="00FB3EEF"/>
    <w:rsid w:val="00F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366C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366C21"/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E7480B"/>
    <w:pPr>
      <w:tabs>
        <w:tab w:val="right" w:leader="dot" w:pos="12996"/>
      </w:tabs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71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A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08C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ublications.msss.gouv.qc.ca/msss/document-001156/" TargetMode="External"/><Relationship Id="rId18" Type="http://schemas.openxmlformats.org/officeDocument/2006/relationships/hyperlink" Target="http://numerique.banq.qc.ca/patrimoine/details/52327/3500258" TargetMode="External"/><Relationship Id="rId26" Type="http://schemas.openxmlformats.org/officeDocument/2006/relationships/hyperlink" Target="http://espace.inrs.ca/4842/1/belanger-2016-analyse.pd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llections.banq.qc.ca/ark:/52327/bs2006344" TargetMode="External"/><Relationship Id="rId34" Type="http://schemas.openxmlformats.org/officeDocument/2006/relationships/hyperlink" Target="https://www.santepubliquefrance.fr/l-info-accessible-a-to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egisquebec.gouv.qc.ca/fr/pdf/cs/E-20.1.pdf" TargetMode="External"/><Relationship Id="rId17" Type="http://schemas.openxmlformats.org/officeDocument/2006/relationships/hyperlink" Target="http://w3.uqo.ca/communiquerpourtous" TargetMode="External"/><Relationship Id="rId25" Type="http://schemas.openxmlformats.org/officeDocument/2006/relationships/hyperlink" Target="https://www.tresor.gouv.qc.ca/fileadmin/PDF/ressources_informationnelles/AccessibiliteWeb/standard-access-web.pdf" TargetMode="External"/><Relationship Id="rId33" Type="http://schemas.openxmlformats.org/officeDocument/2006/relationships/hyperlink" Target="http://www.peicada.c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phq.gouv.qc.ca/plans-daction/municipalites-assujetties-a-larticle-611-de-la-loi.html" TargetMode="External"/><Relationship Id="rId20" Type="http://schemas.openxmlformats.org/officeDocument/2006/relationships/hyperlink" Target="https://www.unapei.org/wp-content/uploads/2018/11/L&#8217;information-pour-tous-Re&#768;gles-europe&#769;ennes-pour-une-information-facile-a&#768;-lire-et-a&#768;-comprendre.pdf" TargetMode="External"/><Relationship Id="rId29" Type="http://schemas.openxmlformats.org/officeDocument/2006/relationships/hyperlink" Target="http://www.stat.gouv.qc.ca/statistiques/education/alphabetisation-litteratie/peic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.org/disabilities/documents/convention/convoptprot-f.pdf" TargetMode="External"/><Relationship Id="rId24" Type="http://schemas.openxmlformats.org/officeDocument/2006/relationships/hyperlink" Target="https://www.w3.org/TR/WCAG21/" TargetMode="External"/><Relationship Id="rId32" Type="http://schemas.openxmlformats.org/officeDocument/2006/relationships/hyperlink" Target="https://www.ophq.gouv.qc.ca/" TargetMode="External"/><Relationship Id="rId37" Type="http://schemas.openxmlformats.org/officeDocument/2006/relationships/hyperlink" Target="https://www.unape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hq.gouv.qc.ca/plans-daction/ministeres-et-organismes-publics-assujettis-a-larticle-611-de-la-loi.html" TargetMode="External"/><Relationship Id="rId23" Type="http://schemas.openxmlformats.org/officeDocument/2006/relationships/hyperlink" Target="https://www.canada.ca/content/dam/phac-aspc/migration/phac-aspc/seniors-aines/alt-formats/pdf/publications/public/various-varies/afcomm-commavecaines/AFComm-Commavecaines-fra.pdf" TargetMode="External"/><Relationship Id="rId28" Type="http://schemas.openxmlformats.org/officeDocument/2006/relationships/hyperlink" Target="http://bv.cdeacf.ca/RA_PDF/54946.pdf" TargetMode="External"/><Relationship Id="rId36" Type="http://schemas.openxmlformats.org/officeDocument/2006/relationships/hyperlink" Target="http://www.stat.gouv.qc.ca/statistiques/education/alphabetisation-litteratie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sa.fr/documentation/informer_les_personnes_aveugles_et_malvoyantes-2.pdf" TargetMode="External"/><Relationship Id="rId31" Type="http://schemas.openxmlformats.org/officeDocument/2006/relationships/hyperlink" Target="http://cdeacf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hq.gouv.qc.ca/fileadmin/centre_documentaire/Documents_administratifs/Politique_a_part_entiere_Acc.pdf" TargetMode="External"/><Relationship Id="rId14" Type="http://schemas.openxmlformats.org/officeDocument/2006/relationships/hyperlink" Target="https://www.ophq.gouv.qc.ca/plans-daction/municipalites-assujetties-a-larticle-611-de-la-loi.html" TargetMode="External"/><Relationship Id="rId22" Type="http://schemas.openxmlformats.org/officeDocument/2006/relationships/footer" Target="footer1.xml"/><Relationship Id="rId27" Type="http://schemas.openxmlformats.org/officeDocument/2006/relationships/hyperlink" Target="http://www.stat.gouv.qc.ca/statistiques/conditions-vie-societe/bulletins/sociodemo-vol16-no3.pdf" TargetMode="External"/><Relationship Id="rId30" Type="http://schemas.openxmlformats.org/officeDocument/2006/relationships/hyperlink" Target="http://www.stat.gouv.qc.ca/statistiques/sante/bulletins/zoom-sante-201202-35.pdf" TargetMode="External"/><Relationship Id="rId35" Type="http://schemas.openxmlformats.org/officeDocument/2006/relationships/hyperlink" Target="https://simplicom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0693-BE7B-4D20-92CF-4B5B3BFF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1457</Words>
  <Characters>8018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36</cp:revision>
  <cp:lastPrinted>2019-12-29T17:24:00Z</cp:lastPrinted>
  <dcterms:created xsi:type="dcterms:W3CDTF">2019-10-16T17:54:00Z</dcterms:created>
  <dcterms:modified xsi:type="dcterms:W3CDTF">2020-01-12T15:09:00Z</dcterms:modified>
</cp:coreProperties>
</file>