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0EEA4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520DE4AF" w14:textId="6221F33B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Pr="00D85A9B">
        <w:t>, Piero Visconti</w:t>
      </w:r>
      <w:r w:rsidRPr="00D85A9B">
        <w:rPr>
          <w:vertAlign w:val="superscript"/>
        </w:rPr>
        <w:t>3</w:t>
      </w:r>
      <w:r w:rsidRPr="00D85A9B">
        <w:t xml:space="preserve"> and Andrew Balmford</w:t>
      </w:r>
      <w:r w:rsidRPr="00D85A9B">
        <w:rPr>
          <w:vertAlign w:val="superscript"/>
        </w:rPr>
        <w:t>1</w:t>
      </w:r>
    </w:p>
    <w:p w14:paraId="7A0AE8AF" w14:textId="77777777" w:rsidR="00D85A9B" w:rsidRPr="00D85A9B" w:rsidRDefault="00D85A9B" w:rsidP="00D85A9B">
      <w:pPr>
        <w:spacing w:after="0"/>
        <w:jc w:val="both"/>
      </w:pPr>
    </w:p>
    <w:p w14:paraId="0B2319F6" w14:textId="30C5267F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  <w:r w:rsidRPr="00D85A9B">
        <w:rPr>
          <w:vertAlign w:val="superscript"/>
        </w:rPr>
        <w:t>3</w:t>
      </w:r>
      <w:r w:rsidRPr="00D85A9B">
        <w:t>Institute of Zoology, Zoological Society of London, Regent's Park, London, NW1 4RY, UK.</w:t>
      </w:r>
    </w:p>
    <w:p w14:paraId="7C0A3108" w14:textId="77777777" w:rsidR="00D85A9B" w:rsidRDefault="00D85A9B" w:rsidP="00AB5192">
      <w:pPr>
        <w:spacing w:after="0"/>
        <w:jc w:val="both"/>
      </w:pPr>
    </w:p>
    <w:p w14:paraId="44318067" w14:textId="2F73D44B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 [1]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>
        <w:t xml:space="preserve"> [2].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indicators such as the BII, but the </w:t>
      </w:r>
      <w:r w:rsidR="00F55865">
        <w:t xml:space="preserve">growing policy significance </w:t>
      </w:r>
      <w:r w:rsidR="00F90B24">
        <w:t>of BII has drawn our attention to some unusual features of its outputs</w:t>
      </w:r>
      <w:r w:rsidR="00F55865">
        <w:t xml:space="preserve">. </w:t>
      </w:r>
    </w:p>
    <w:p w14:paraId="3A17BE18" w14:textId="4AE849AD" w:rsidR="0075632F" w:rsidRDefault="00AB5192" w:rsidP="00A27511">
      <w:pPr>
        <w:spacing w:after="0"/>
        <w:ind w:firstLine="720"/>
        <w:jc w:val="both"/>
      </w:pPr>
      <w:r>
        <w:t xml:space="preserve">Newbold et al [2]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 xml:space="preserve">as a proportion of that expected in the absence of human activities. 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>
        <w:t xml:space="preserve"> [3]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 xml:space="preserve">analysis </w:t>
      </w:r>
      <w:r>
        <w:t>[</w:t>
      </w:r>
      <w:r w:rsidR="001C26C2">
        <w:t>4</w:t>
      </w:r>
      <w:r>
        <w:t>]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3BE46DEB" w14:textId="04DDA054" w:rsidR="00AB5192" w:rsidRDefault="006E36B8" w:rsidP="008A7BBE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biomass stock relative to that</w:t>
      </w:r>
      <w:r w:rsidR="00AB5192" w:rsidRPr="00112DD2">
        <w:t xml:space="preserve"> </w:t>
      </w:r>
      <w:r w:rsidR="00AB5192" w:rsidRPr="009262F3">
        <w:t>without human activities</w:t>
      </w:r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 [</w:t>
      </w:r>
      <w:r w:rsidR="001C26C2">
        <w:t>5</w:t>
      </w:r>
      <w:r w:rsidR="00AB5192">
        <w:t xml:space="preserve">],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>
        <w:t>Because 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>However, biomass and abundance metrics measure different attributes of biodiversity</w:t>
      </w:r>
      <w:r w:rsidR="00AF4FA1">
        <w:t>. In some degraded forests it is possible that BII exceeds BMI</w:t>
      </w:r>
      <w:r w:rsidR="009C058F">
        <w:t xml:space="preserve"> [</w:t>
      </w:r>
      <w:r w:rsidR="001C26C2">
        <w:t>6</w:t>
      </w:r>
      <w:r w:rsidR="009C058F">
        <w:t>]</w:t>
      </w:r>
      <w:r w:rsidR="00791E4C">
        <w:t xml:space="preserve">, </w:t>
      </w:r>
      <w:r w:rsidR="00AF4FA1">
        <w:t>but 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 xml:space="preserve">than BMI values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4559A9FC" w14:textId="3EBEABF2" w:rsidR="00AB5192" w:rsidRDefault="00AB5192" w:rsidP="00AB5192">
      <w:pPr>
        <w:spacing w:after="0"/>
        <w:ind w:firstLine="720"/>
        <w:jc w:val="both"/>
      </w:pPr>
      <w:r>
        <w:t>However,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 [2],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>, population reductions have been far less severe</w:t>
      </w:r>
      <w:r>
        <w:t xml:space="preserve">. The BII and BMI concur (grey) </w:t>
      </w:r>
      <w:r w:rsidR="00791E4C">
        <w:t xml:space="preserve">across </w:t>
      </w:r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r w:rsidR="00B56F86">
        <w:t>C</w:t>
      </w:r>
      <w:r>
        <w:t>ompari</w:t>
      </w:r>
      <w:r w:rsidR="00B56F86">
        <w:t>ng</w:t>
      </w:r>
      <w:r>
        <w:t xml:space="preserve"> the BII with the Human Footprint (HF [</w:t>
      </w:r>
      <w:r w:rsidR="001C26C2">
        <w:t>7</w:t>
      </w:r>
      <w:r>
        <w:t xml:space="preserve">]), a composite measure of </w:t>
      </w:r>
      <w:r w:rsidR="00B56F86">
        <w:t xml:space="preserve">anthropogenic </w:t>
      </w:r>
      <w:r>
        <w:t xml:space="preserve">pressure on natural ecosystems, confirms the impression of BII values being unusual:  BMI values </w:t>
      </w:r>
      <w:r w:rsidR="008F72D7">
        <w:t>decline as</w:t>
      </w:r>
      <w:r w:rsidR="00DC7287">
        <w:t xml:space="preserve"> expected as</w:t>
      </w:r>
      <w:r>
        <w:t xml:space="preserve"> HF scores</w:t>
      </w:r>
      <w:r w:rsidR="008F72D7">
        <w:t xml:space="preserve"> increase</w:t>
      </w:r>
      <w:r>
        <w:t>,</w:t>
      </w:r>
      <w:r w:rsidR="008F72D7">
        <w:t xml:space="preserve"> but</w:t>
      </w:r>
      <w:r w:rsidR="0010093B">
        <w:t>,</w:t>
      </w:r>
      <w:r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>
        <w:t xml:space="preserve"> [8]</w:t>
      </w:r>
      <w:r w:rsidR="009E74F5">
        <w:t xml:space="preserve">, </w:t>
      </w:r>
      <w:r w:rsidR="00447A4E">
        <w:t>BII scores do not (Fig. 1b,c</w:t>
      </w:r>
      <w:commentRangeStart w:id="0"/>
      <w:commentRangeEnd w:id="0"/>
      <w:r w:rsidR="00447A4E">
        <w:t xml:space="preserve">). </w:t>
      </w:r>
      <w:r w:rsidR="009E74F5">
        <w:t xml:space="preserve"> </w:t>
      </w:r>
    </w:p>
    <w:p w14:paraId="1BDB0BAE" w14:textId="073110FD" w:rsidR="00AB5192" w:rsidRDefault="00AB5192" w:rsidP="00AB5192">
      <w:pPr>
        <w:spacing w:after="0"/>
        <w:ind w:firstLine="720"/>
        <w:jc w:val="both"/>
      </w:pPr>
      <w:r>
        <w:lastRenderedPageBreak/>
        <w:t>The mismatch between BII and BMI values is most striking in global biodiversity hotspots (</w:t>
      </w:r>
      <w:r w:rsidR="00F776CB">
        <w:t xml:space="preserve">priority </w:t>
      </w:r>
      <w:r>
        <w:t xml:space="preserve">areas of exceptional endemism which have lost </w:t>
      </w:r>
      <w:r w:rsidR="00185EE0">
        <w:rPr>
          <w:rFonts w:cstheme="minorHAnsi"/>
        </w:rPr>
        <w:t>≥</w:t>
      </w:r>
      <w:r>
        <w:t>70% of their primary vegetation [</w:t>
      </w:r>
      <w:r w:rsidR="00862CAE">
        <w:t>9</w:t>
      </w:r>
      <w:r>
        <w:t>]; red in Fig. 1</w:t>
      </w:r>
      <w:r w:rsidR="00002395">
        <w:t>d</w:t>
      </w:r>
      <w:r>
        <w:t xml:space="preserve">). As expected, </w:t>
      </w:r>
      <w:r w:rsidR="00F776CB">
        <w:t>hotspots</w:t>
      </w:r>
      <w:r>
        <w:t xml:space="preserve"> </w:t>
      </w:r>
      <w:r w:rsidR="00E35662">
        <w:t>typically</w:t>
      </w:r>
      <w:r w:rsidR="00324658">
        <w:t xml:space="preserve"> have</w:t>
      </w:r>
      <w:r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>
        <w:t xml:space="preserve"> the BII</w:t>
      </w:r>
      <w:r w:rsidR="00E35662">
        <w:t xml:space="preserve"> suggests</w:t>
      </w:r>
      <w:r>
        <w:t xml:space="preserve"> </w:t>
      </w:r>
      <w:r w:rsidR="00F776CB">
        <w:t xml:space="preserve">their </w:t>
      </w:r>
      <w:r>
        <w:t>biodiversity</w:t>
      </w:r>
      <w:r w:rsidR="00324658">
        <w:t xml:space="preserve"> </w:t>
      </w:r>
      <w:r>
        <w:t xml:space="preserve">is apparently </w:t>
      </w:r>
      <w:r w:rsidR="00324658">
        <w:t xml:space="preserve">more intact </w:t>
      </w:r>
      <w:r w:rsidR="001F02A8">
        <w:t>than elsewhere</w:t>
      </w:r>
      <w:r>
        <w:t>. For example, in the Sundaland, Indo-Burma, Philippines</w:t>
      </w:r>
      <w:r w:rsidR="0040194E">
        <w:t>,</w:t>
      </w:r>
      <w:r>
        <w:t xml:space="preserve"> and Madagascar hotspots, wh</w:t>
      </w:r>
      <w:r w:rsidR="00E35662">
        <w:t>il</w:t>
      </w:r>
      <w:r>
        <w:t xml:space="preserve">e the BMI confirms substantial </w:t>
      </w:r>
      <w:r w:rsidR="00E35662">
        <w:t xml:space="preserve">loss </w:t>
      </w:r>
      <w:r>
        <w:t>of primary vegetation</w:t>
      </w:r>
      <w:r w:rsidR="00F776CB">
        <w:t>,</w:t>
      </w:r>
      <w:r>
        <w:t xml:space="preserve"> the BII </w:t>
      </w:r>
      <w:r w:rsidR="00F776CB">
        <w:t xml:space="preserve">estimates </w:t>
      </w:r>
      <w:r>
        <w:t xml:space="preserve">native species populations have on average declined by &lt;10% [2]. Indeed, </w:t>
      </w:r>
      <w:r w:rsidR="00E35662">
        <w:t xml:space="preserve">across </w:t>
      </w:r>
      <w:r>
        <w:t>the 32</w:t>
      </w:r>
      <w:r w:rsidR="00E35662">
        <w:t xml:space="preserve"> </w:t>
      </w:r>
      <w:r>
        <w:t>hotspots for which we have</w:t>
      </w:r>
      <w:r w:rsidR="00E35662">
        <w:t xml:space="preserve"> both BII and BMI </w:t>
      </w:r>
      <w:r>
        <w:t xml:space="preserve">data, mean BII </w:t>
      </w:r>
      <w:r w:rsidR="008F72D7">
        <w:t>and BMI scores</w:t>
      </w:r>
      <w:r>
        <w:t xml:space="preserve"> </w:t>
      </w:r>
      <w:r w:rsidR="008F72D7">
        <w:t>were</w:t>
      </w:r>
      <w:r>
        <w:t xml:space="preserve"> negatively correlated (</w:t>
      </w:r>
      <w:r w:rsidRPr="00895521">
        <w:rPr>
          <w:i/>
        </w:rPr>
        <w:t>r</w:t>
      </w:r>
      <w:r w:rsidRPr="00895521">
        <w:rPr>
          <w:i/>
          <w:vertAlign w:val="subscript"/>
        </w:rPr>
        <w:t>S</w:t>
      </w:r>
      <w:r>
        <w:t xml:space="preserve"> = -0.595, </w:t>
      </w:r>
      <w:r w:rsidRPr="00895521">
        <w:rPr>
          <w:i/>
        </w:rPr>
        <w:t>P</w:t>
      </w:r>
      <w:r>
        <w:t xml:space="preserve">= 0.0003): hotspots with less </w:t>
      </w:r>
      <w:r w:rsidR="00D14840">
        <w:t xml:space="preserve">intact </w:t>
      </w:r>
      <w:r w:rsidR="00004176">
        <w:t xml:space="preserve">plant </w:t>
      </w:r>
      <w:r>
        <w:t>biomass have higher BII scores.</w:t>
      </w:r>
    </w:p>
    <w:p w14:paraId="64C4C5F2" w14:textId="401FBF24" w:rsidR="002E44F0" w:rsidRDefault="00AB5192" w:rsidP="00A27511">
      <w:pPr>
        <w:spacing w:after="0"/>
        <w:ind w:firstLine="720"/>
        <w:jc w:val="both"/>
      </w:pPr>
      <w:r>
        <w:t xml:space="preserve">We do not understand these patterns, and are concerned that uncritical acceptance of the BII will lead to unjustified complacency about the </w:t>
      </w:r>
      <w:r w:rsidR="00E35662">
        <w:t xml:space="preserve">state </w:t>
      </w:r>
      <w:r>
        <w:t>of wild nature. According to Newbold et al.</w:t>
      </w:r>
      <w:r w:rsidR="001F02A8">
        <w:t>,</w:t>
      </w:r>
      <w:r>
        <w:t xml:space="preserve"> on average the terrestrial BII stands at almost 85% [2] – in contrast to </w:t>
      </w:r>
      <w:r w:rsidR="00F776CB">
        <w:t>evidence</w:t>
      </w:r>
      <w:r>
        <w:t xml:space="preserve"> that </w:t>
      </w:r>
      <w:r w:rsidR="00F776CB">
        <w:t>terrestrial biomass is</w:t>
      </w:r>
      <w:r>
        <w:t xml:space="preserve"> only </w:t>
      </w:r>
      <w:r w:rsidR="00DC7287">
        <w:t xml:space="preserve">half </w:t>
      </w:r>
      <w:r w:rsidR="00F776CB">
        <w:t>w</w:t>
      </w:r>
      <w:r>
        <w:t xml:space="preserve">hat it would </w:t>
      </w:r>
      <w:r w:rsidR="009E74F5">
        <w:t xml:space="preserve">be </w:t>
      </w:r>
      <w:r>
        <w:t>in the absence of human land use [</w:t>
      </w:r>
      <w:r w:rsidR="001C26C2">
        <w:t>5</w:t>
      </w:r>
      <w:r>
        <w:t xml:space="preserve">]. </w:t>
      </w:r>
    </w:p>
    <w:p w14:paraId="3D5BD19A" w14:textId="438D0135" w:rsidR="0075632F" w:rsidRDefault="00AB5192" w:rsidP="00A3689A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r w:rsidR="00E360A1">
        <w:t>However, given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indicates. To be credible,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925022">
        <w:t xml:space="preserve">Last, revised values </w:t>
      </w:r>
      <w:r w:rsidR="00630946">
        <w:t xml:space="preserve">should be </w:t>
      </w:r>
      <w:r w:rsidR="001C58F9">
        <w:t xml:space="preserve">ground-truthed in a similar way to remote sensing data,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>
        <w:t xml:space="preserve">Without such rigorous </w:t>
      </w:r>
      <w:r w:rsidR="00D52A72">
        <w:t xml:space="preserve">validation and </w:t>
      </w:r>
      <w:r w:rsidR="00791E4C">
        <w:t xml:space="preserve">testing we believe it would be unwise to use </w:t>
      </w:r>
      <w:r w:rsidR="00E35662">
        <w:t>the</w:t>
      </w:r>
      <w:r w:rsidR="0010093B">
        <w:t xml:space="preserve"> </w:t>
      </w:r>
      <w:r w:rsidR="00E35662">
        <w:t>BII to guide conservation policy</w:t>
      </w:r>
      <w:r>
        <w:t>.</w:t>
      </w:r>
    </w:p>
    <w:p w14:paraId="0684CE0D" w14:textId="77777777" w:rsidR="00DD5103" w:rsidRDefault="00DD5103" w:rsidP="00AB5192">
      <w:pPr>
        <w:spacing w:after="0"/>
        <w:ind w:firstLine="720"/>
        <w:jc w:val="both"/>
      </w:pPr>
    </w:p>
    <w:p w14:paraId="2FE178AE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77DF684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50B0470E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89E10BC" w14:textId="49CE8FA2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5A2C73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20C16EBC" w14:textId="22F0D524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0C2D8612" w14:textId="4A044600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37C1EF66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50B5FC4A" w14:textId="4A75C9E8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t xml:space="preserve">Di Marco, M., Venter, O., Possingham, H. P. &amp; Watson, J. E. M. </w:t>
      </w:r>
      <w:r w:rsidRPr="00862CAE">
        <w:rPr>
          <w:i/>
          <w:iCs/>
        </w:rPr>
        <w:t>Nat. Commun.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2609F260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66A409F1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BioScience</w:t>
      </w:r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3E1E3DD0" w14:textId="58DF9815" w:rsidR="00610A3C" w:rsidRDefault="00610A3C" w:rsidP="00610A3C">
      <w:pPr>
        <w:spacing w:after="0"/>
        <w:rPr>
          <w:b/>
        </w:rPr>
      </w:pPr>
    </w:p>
    <w:p w14:paraId="2936378B" w14:textId="153755BA" w:rsidR="00610A3C" w:rsidRDefault="003B1E61" w:rsidP="00610A3C">
      <w:pPr>
        <w:spacing w:after="0"/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 wp14:anchorId="06E0813D" wp14:editId="425AD14F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A750" w14:textId="23AB571D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bookmarkStart w:id="1" w:name="_GoBack"/>
      <w:bookmarkEnd w:id="1"/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8D6F9A" w16cid:durableId="201538FB"/>
  <w16cid:commentId w16cid:paraId="634244CE" w16cid:durableId="2011B6EE"/>
  <w16cid:commentId w16cid:paraId="005670F3" w16cid:durableId="2011B6EF"/>
  <w16cid:commentId w16cid:paraId="02C1D798" w16cid:durableId="2012AEC6"/>
  <w16cid:commentId w16cid:paraId="55090549" w16cid:durableId="2012AEC7"/>
  <w16cid:commentId w16cid:paraId="1967D636" w16cid:durableId="2012F52C"/>
  <w16cid:commentId w16cid:paraId="0F37D327" w16cid:durableId="2011B6F0"/>
  <w16cid:commentId w16cid:paraId="28C8775F" w16cid:durableId="2011DB58"/>
  <w16cid:commentId w16cid:paraId="6BAC2D79" w16cid:durableId="2012F0EF"/>
  <w16cid:commentId w16cid:paraId="26F77858" w16cid:durableId="20153A34"/>
  <w16cid:commentId w16cid:paraId="0590BAC7" w16cid:durableId="2011CE09"/>
  <w16cid:commentId w16cid:paraId="47596CE7" w16cid:durableId="2011B6F2"/>
  <w16cid:commentId w16cid:paraId="40BDBF43" w16cid:durableId="2011DB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04176"/>
    <w:rsid w:val="00037123"/>
    <w:rsid w:val="00067001"/>
    <w:rsid w:val="00076BB8"/>
    <w:rsid w:val="000C2FA9"/>
    <w:rsid w:val="000C34AC"/>
    <w:rsid w:val="000E471B"/>
    <w:rsid w:val="0010093B"/>
    <w:rsid w:val="00185EE0"/>
    <w:rsid w:val="00193BB5"/>
    <w:rsid w:val="001B3042"/>
    <w:rsid w:val="001C041A"/>
    <w:rsid w:val="001C26C2"/>
    <w:rsid w:val="001C58F9"/>
    <w:rsid w:val="001F02A8"/>
    <w:rsid w:val="00270A9B"/>
    <w:rsid w:val="002D42BF"/>
    <w:rsid w:val="002E44F0"/>
    <w:rsid w:val="00301EE1"/>
    <w:rsid w:val="00324658"/>
    <w:rsid w:val="003246F2"/>
    <w:rsid w:val="003B1E61"/>
    <w:rsid w:val="003D2451"/>
    <w:rsid w:val="003D4EA3"/>
    <w:rsid w:val="003E72EC"/>
    <w:rsid w:val="0040194E"/>
    <w:rsid w:val="00447A4E"/>
    <w:rsid w:val="004A570E"/>
    <w:rsid w:val="004D468A"/>
    <w:rsid w:val="004F1908"/>
    <w:rsid w:val="00532C7D"/>
    <w:rsid w:val="00534BA9"/>
    <w:rsid w:val="00564050"/>
    <w:rsid w:val="00564450"/>
    <w:rsid w:val="0057536D"/>
    <w:rsid w:val="00610A3C"/>
    <w:rsid w:val="00630946"/>
    <w:rsid w:val="006C620F"/>
    <w:rsid w:val="006E36B8"/>
    <w:rsid w:val="00721D79"/>
    <w:rsid w:val="00751DED"/>
    <w:rsid w:val="0075632F"/>
    <w:rsid w:val="00791E4C"/>
    <w:rsid w:val="007A5057"/>
    <w:rsid w:val="007A64AC"/>
    <w:rsid w:val="00841395"/>
    <w:rsid w:val="00842A33"/>
    <w:rsid w:val="008540DC"/>
    <w:rsid w:val="00862CAE"/>
    <w:rsid w:val="00882C6C"/>
    <w:rsid w:val="008A7BBE"/>
    <w:rsid w:val="008F37C6"/>
    <w:rsid w:val="008F72D7"/>
    <w:rsid w:val="00925022"/>
    <w:rsid w:val="009374F3"/>
    <w:rsid w:val="009818D4"/>
    <w:rsid w:val="009C058F"/>
    <w:rsid w:val="009E74F5"/>
    <w:rsid w:val="00A15DBB"/>
    <w:rsid w:val="00A27511"/>
    <w:rsid w:val="00A3689A"/>
    <w:rsid w:val="00AB5192"/>
    <w:rsid w:val="00AF4FA1"/>
    <w:rsid w:val="00B56F86"/>
    <w:rsid w:val="00B705C3"/>
    <w:rsid w:val="00B81DA6"/>
    <w:rsid w:val="00BD612A"/>
    <w:rsid w:val="00C158C2"/>
    <w:rsid w:val="00C736A4"/>
    <w:rsid w:val="00CB2EBD"/>
    <w:rsid w:val="00D04D31"/>
    <w:rsid w:val="00D14840"/>
    <w:rsid w:val="00D52A72"/>
    <w:rsid w:val="00D85A9B"/>
    <w:rsid w:val="00DC7287"/>
    <w:rsid w:val="00DD5103"/>
    <w:rsid w:val="00E35662"/>
    <w:rsid w:val="00E360A1"/>
    <w:rsid w:val="00E43ADA"/>
    <w:rsid w:val="00EB5216"/>
    <w:rsid w:val="00EC3AB7"/>
    <w:rsid w:val="00ED1C9C"/>
    <w:rsid w:val="00ED40D2"/>
    <w:rsid w:val="00EE3F3F"/>
    <w:rsid w:val="00F41E62"/>
    <w:rsid w:val="00F5586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AB4D"/>
  <w15:docId w15:val="{1AFF4ED1-EB72-448A-AC63-C58FAFF6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C0061-FAA8-4998-8DE1-69B2C4AB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7573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Balmford</dc:creator>
  <cp:lastModifiedBy>Philip Martin</cp:lastModifiedBy>
  <cp:revision>2</cp:revision>
  <dcterms:created xsi:type="dcterms:W3CDTF">2019-02-20T11:11:00Z</dcterms:created>
  <dcterms:modified xsi:type="dcterms:W3CDTF">2019-02-20T11:11:00Z</dcterms:modified>
</cp:coreProperties>
</file>