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FA7178">
      <w:pPr>
        <w:spacing w:line="360" w:lineRule="auto"/>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FA7178">
      <w:pPr>
        <w:spacing w:line="360" w:lineRule="auto"/>
        <w:rPr>
          <w:rFonts w:ascii="Arial" w:hAnsi="Arial" w:cs="Arial"/>
        </w:rPr>
      </w:pPr>
    </w:p>
    <w:p w:rsidR="00210A49" w:rsidRPr="00E94C26" w:rsidRDefault="00210A49" w:rsidP="00FA7178">
      <w:pPr>
        <w:spacing w:line="360" w:lineRule="auto"/>
        <w:rPr>
          <w:rFonts w:ascii="Arial" w:hAnsi="Arial" w:cs="Arial"/>
          <w:b/>
        </w:rPr>
      </w:pPr>
      <w:r w:rsidRPr="00E94C26">
        <w:rPr>
          <w:rFonts w:ascii="Arial" w:hAnsi="Arial" w:cs="Arial"/>
          <w:b/>
        </w:rPr>
        <w:t>Introduction</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There is concern that forests are at risk of shifting to treeless states</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Ultimately shifts in the state of a system require that recruitment does not compensate death.</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There are many different mechanisms that have the potential to influence tree mortality. It has been widely seen that mortality is high amongst small trees as a result of competition, relatively low in trees of intermediate size and higher for large trees as a result of senescence. Recent work has also shown that trees that show reduced growth may be more likely to die, with reduced growth rate indicative of low tree vigour.</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 xml:space="preserve">In addition to individual </w:t>
      </w:r>
      <w:r w:rsidR="00E94C26" w:rsidRPr="00E94C26">
        <w:rPr>
          <w:rFonts w:ascii="Arial" w:hAnsi="Arial" w:cs="Arial"/>
        </w:rPr>
        <w:t>tree</w:t>
      </w:r>
      <w:r w:rsidRPr="00E94C26">
        <w:rPr>
          <w:rFonts w:ascii="Arial" w:hAnsi="Arial" w:cs="Arial"/>
        </w:rPr>
        <w:t xml:space="preserve"> characteristics the characteristics of the ecosystem and its disturbance regime can have profound effects on tree mortality. For example mortality of large trees in fragmented landscapes is elevated by increased wind throw and higher physiological stress (e.g. lower moisture availability, higher evapotranspiration </w:t>
      </w:r>
      <w:proofErr w:type="spellStart"/>
      <w:r w:rsidRPr="00E94C26">
        <w:rPr>
          <w:rFonts w:ascii="Arial" w:hAnsi="Arial" w:cs="Arial"/>
        </w:rPr>
        <w:t>etc</w:t>
      </w:r>
      <w:proofErr w:type="spellEnd"/>
      <w:r w:rsidRPr="00E94C26">
        <w:rPr>
          <w:rFonts w:ascii="Arial" w:hAnsi="Arial" w:cs="Arial"/>
        </w:rPr>
        <w:t>).</w:t>
      </w:r>
    </w:p>
    <w:p w:rsidR="00D1587D" w:rsidRPr="00E94C26" w:rsidRDefault="00D1587D" w:rsidP="00FA7178">
      <w:pPr>
        <w:pStyle w:val="ListParagraph"/>
        <w:numPr>
          <w:ilvl w:val="0"/>
          <w:numId w:val="2"/>
        </w:numPr>
        <w:spacing w:line="360" w:lineRule="auto"/>
        <w:rPr>
          <w:rFonts w:ascii="Arial" w:hAnsi="Arial" w:cs="Arial"/>
        </w:rPr>
      </w:pPr>
      <w:r w:rsidRPr="00E94C26">
        <w:rPr>
          <w:rFonts w:ascii="Arial" w:hAnsi="Arial" w:cs="Arial"/>
        </w:rPr>
        <w:t xml:space="preserve">However, relatively few studies that have investigated shifts in forest systems have been </w:t>
      </w:r>
      <w:r w:rsidR="00E94C26" w:rsidRPr="00E94C26">
        <w:rPr>
          <w:rFonts w:ascii="Arial" w:hAnsi="Arial" w:cs="Arial"/>
        </w:rPr>
        <w:t xml:space="preserve">able </w:t>
      </w:r>
      <w:r w:rsidRPr="00E94C26">
        <w:rPr>
          <w:rFonts w:ascii="Arial" w:hAnsi="Arial" w:cs="Arial"/>
        </w:rPr>
        <w:t>examine mortality since they are largely space-for-time studies.</w:t>
      </w:r>
    </w:p>
    <w:p w:rsidR="00E94C26" w:rsidRPr="00E94C26" w:rsidRDefault="00E94C26" w:rsidP="00FA7178">
      <w:pPr>
        <w:spacing w:line="360" w:lineRule="auto"/>
        <w:rPr>
          <w:rFonts w:ascii="Arial" w:hAnsi="Arial" w:cs="Arial"/>
          <w:b/>
        </w:rPr>
      </w:pPr>
      <w:r w:rsidRPr="00E94C26">
        <w:rPr>
          <w:rFonts w:ascii="Arial" w:hAnsi="Arial" w:cs="Arial"/>
          <w:b/>
        </w:rPr>
        <w:t>Questions</w:t>
      </w:r>
    </w:p>
    <w:p w:rsidR="00E94C26" w:rsidRPr="00E94C26" w:rsidRDefault="00E94C26" w:rsidP="00FA7178">
      <w:pPr>
        <w:pStyle w:val="ListParagraph"/>
        <w:numPr>
          <w:ilvl w:val="0"/>
          <w:numId w:val="3"/>
        </w:numPr>
        <w:spacing w:line="360" w:lineRule="auto"/>
        <w:rPr>
          <w:rFonts w:ascii="Arial" w:hAnsi="Arial" w:cs="Arial"/>
        </w:rPr>
      </w:pPr>
      <w:r w:rsidRPr="00E94C26">
        <w:rPr>
          <w:rFonts w:ascii="Arial" w:hAnsi="Arial" w:cs="Arial"/>
        </w:rPr>
        <w:t>Did recruitment of different species keep pace with mortality for each survey period?</w:t>
      </w:r>
    </w:p>
    <w:p w:rsidR="00E94C26" w:rsidRPr="00E94C26" w:rsidRDefault="00E94C26" w:rsidP="00FA7178">
      <w:pPr>
        <w:pStyle w:val="ListParagraph"/>
        <w:numPr>
          <w:ilvl w:val="0"/>
          <w:numId w:val="3"/>
        </w:numPr>
        <w:spacing w:line="360" w:lineRule="auto"/>
        <w:rPr>
          <w:rFonts w:ascii="Arial" w:hAnsi="Arial" w:cs="Arial"/>
        </w:rPr>
      </w:pPr>
      <w:r w:rsidRPr="00E94C26">
        <w:rPr>
          <w:rFonts w:ascii="Arial" w:hAnsi="Arial" w:cs="Arial"/>
        </w:rPr>
        <w:t>What influences the likelihood of tree death for different species during each survey period?</w:t>
      </w:r>
    </w:p>
    <w:p w:rsidR="00D1587D" w:rsidRPr="00E94C26" w:rsidRDefault="00E94C26" w:rsidP="00FA7178">
      <w:pPr>
        <w:pStyle w:val="ListParagraph"/>
        <w:numPr>
          <w:ilvl w:val="0"/>
          <w:numId w:val="3"/>
        </w:numPr>
        <w:spacing w:line="360" w:lineRule="auto"/>
        <w:rPr>
          <w:rFonts w:ascii="Arial" w:hAnsi="Arial" w:cs="Arial"/>
        </w:rPr>
      </w:pPr>
      <w:r w:rsidRPr="00E94C26">
        <w:rPr>
          <w:rFonts w:ascii="Arial" w:hAnsi="Arial" w:cs="Arial"/>
        </w:rPr>
        <w:t>Using parameters from models of tree recruitment and death, what is the trajectory of the woodland likely to be in the next 100 years?</w:t>
      </w:r>
    </w:p>
    <w:p w:rsidR="00E94C26" w:rsidRPr="00E94C26" w:rsidRDefault="00E94C26" w:rsidP="00FA7178">
      <w:pPr>
        <w:spacing w:line="360" w:lineRule="auto"/>
        <w:rPr>
          <w:rFonts w:ascii="Arial" w:hAnsi="Arial" w:cs="Arial"/>
          <w:b/>
        </w:rPr>
      </w:pPr>
      <w:r w:rsidRPr="00E94C26">
        <w:rPr>
          <w:rFonts w:ascii="Arial" w:hAnsi="Arial" w:cs="Arial"/>
          <w:b/>
        </w:rPr>
        <w:t>Hypotheses</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lastRenderedPageBreak/>
        <w:t>Under current conditions the woodland will show increased loss of tree cover. In situations where recruitment is maximized dramatic losses will be averted.</w:t>
      </w:r>
    </w:p>
    <w:p w:rsidR="00E94C26" w:rsidRPr="00E94C26" w:rsidRDefault="00E94C26" w:rsidP="00FA7178">
      <w:pPr>
        <w:spacing w:line="360" w:lineRule="auto"/>
        <w:rPr>
          <w:rFonts w:ascii="Arial" w:hAnsi="Arial" w:cs="Arial"/>
        </w:rPr>
      </w:pPr>
    </w:p>
    <w:p w:rsidR="00210A49" w:rsidRDefault="00210A49" w:rsidP="00FA7178">
      <w:pPr>
        <w:spacing w:line="360" w:lineRule="auto"/>
        <w:rPr>
          <w:rFonts w:ascii="Arial" w:hAnsi="Arial" w:cs="Arial"/>
          <w:b/>
        </w:rPr>
      </w:pPr>
      <w:r w:rsidRPr="00E94C26">
        <w:rPr>
          <w:rFonts w:ascii="Arial" w:hAnsi="Arial" w:cs="Arial"/>
          <w:b/>
        </w:rPr>
        <w:t>Methods</w:t>
      </w:r>
    </w:p>
    <w:p w:rsidR="00FA7178" w:rsidRPr="00FA7178" w:rsidRDefault="00FA7178" w:rsidP="00FA7178">
      <w:pPr>
        <w:spacing w:line="360" w:lineRule="auto"/>
        <w:rPr>
          <w:rFonts w:ascii="Arial" w:hAnsi="Arial" w:cs="Arial"/>
          <w:b/>
        </w:rPr>
      </w:pPr>
      <w:r w:rsidRPr="00FA7178">
        <w:rPr>
          <w:rFonts w:ascii="Arial" w:hAnsi="Arial" w:cs="Arial"/>
          <w:b/>
        </w:rPr>
        <w:t>Site history and characteristics</w:t>
      </w:r>
    </w:p>
    <w:p w:rsidR="00FA7178" w:rsidRPr="00FA7178" w:rsidRDefault="00FA7178" w:rsidP="00FA7178">
      <w:pPr>
        <w:spacing w:line="360" w:lineRule="auto"/>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xml:space="preserve">. (1999) and </w:t>
      </w:r>
      <w:proofErr w:type="spellStart"/>
      <w:r w:rsidRPr="00FA7178">
        <w:rPr>
          <w:rFonts w:ascii="Arial" w:hAnsi="Arial" w:cs="Arial"/>
        </w:rPr>
        <w:t>Mountford</w:t>
      </w:r>
      <w:proofErr w:type="spellEnd"/>
      <w:r w:rsidRPr="00FA7178">
        <w:rPr>
          <w:rFonts w:ascii="Arial" w:hAnsi="Arial" w:cs="Arial"/>
        </w:rPr>
        <w:t xml:space="preserve"> and </w:t>
      </w:r>
      <w:proofErr w:type="spellStart"/>
      <w:r w:rsidRPr="00FA7178">
        <w:rPr>
          <w:rFonts w:ascii="Arial" w:hAnsi="Arial" w:cs="Arial"/>
        </w:rPr>
        <w:t>Peterken</w:t>
      </w:r>
      <w:proofErr w:type="spellEnd"/>
      <w:r w:rsidRPr="00FA7178">
        <w:rPr>
          <w:rFonts w:ascii="Arial" w:hAnsi="Arial" w:cs="Arial"/>
        </w:rPr>
        <w:t xml:space="preserve"> (2003),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proofErr w:type="spellStart"/>
      <w:r w:rsidRPr="00FA7178">
        <w:rPr>
          <w:rFonts w:ascii="Arial" w:hAnsi="Arial" w:cs="Arial"/>
          <w:lang w:eastAsia="en-GB"/>
        </w:rPr>
        <w:t>understorey</w:t>
      </w:r>
      <w:proofErr w:type="spellEnd"/>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Other tree species present at lower frequencies include apple (</w:t>
      </w:r>
      <w:proofErr w:type="spellStart"/>
      <w:r w:rsidRPr="00FA7178">
        <w:rPr>
          <w:rFonts w:ascii="Arial" w:hAnsi="Arial" w:cs="Arial"/>
          <w:i/>
          <w:iCs/>
          <w:lang w:eastAsia="en-GB"/>
        </w:rPr>
        <w:t>Malus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sylvestris</w:t>
      </w:r>
      <w:proofErr w:type="spellEnd"/>
      <w:r w:rsidRPr="00FA7178">
        <w:rPr>
          <w:rFonts w:ascii="Arial" w:hAnsi="Arial" w:cs="Arial"/>
          <w:lang w:eastAsia="en-GB"/>
        </w:rPr>
        <w:t>), ash (</w:t>
      </w:r>
      <w:proofErr w:type="spellStart"/>
      <w:r w:rsidRPr="00FA7178">
        <w:rPr>
          <w:rFonts w:ascii="Arial" w:hAnsi="Arial" w:cs="Arial"/>
          <w:i/>
          <w:iCs/>
          <w:lang w:eastAsia="en-GB"/>
        </w:rPr>
        <w:t>Fraxinus</w:t>
      </w:r>
      <w:proofErr w:type="spellEnd"/>
      <w:r w:rsidRPr="00FA7178">
        <w:rPr>
          <w:rFonts w:ascii="Arial" w:hAnsi="Arial" w:cs="Arial"/>
          <w:i/>
          <w:iCs/>
          <w:lang w:eastAsia="en-GB"/>
        </w:rPr>
        <w:t xml:space="preserve"> excelsior</w:t>
      </w:r>
      <w:r w:rsidRPr="00FA7178">
        <w:rPr>
          <w:rFonts w:ascii="Arial" w:hAnsi="Arial" w:cs="Arial"/>
          <w:iCs/>
          <w:lang w:eastAsia="en-GB"/>
        </w:rPr>
        <w:t>)</w:t>
      </w:r>
      <w:r w:rsidRPr="00FA7178">
        <w:rPr>
          <w:rFonts w:ascii="Arial" w:hAnsi="Arial" w:cs="Arial"/>
          <w:lang w:eastAsia="en-GB"/>
        </w:rPr>
        <w:t>, blackthorn (</w:t>
      </w:r>
      <w:proofErr w:type="spellStart"/>
      <w:r w:rsidRPr="00FA7178">
        <w:rPr>
          <w:rFonts w:ascii="Arial" w:hAnsi="Arial" w:cs="Arial"/>
          <w:i/>
          <w:iCs/>
          <w:lang w:eastAsia="en-GB"/>
        </w:rPr>
        <w:t>Prunus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spinosa</w:t>
      </w:r>
      <w:proofErr w:type="spellEnd"/>
      <w:r w:rsidRPr="00FA7178">
        <w:rPr>
          <w:rFonts w:ascii="Arial" w:hAnsi="Arial" w:cs="Arial"/>
          <w:iCs/>
          <w:lang w:eastAsia="en-GB"/>
        </w:rPr>
        <w:t>)</w:t>
      </w:r>
      <w:r w:rsidRPr="00FA7178">
        <w:rPr>
          <w:rFonts w:ascii="Arial" w:hAnsi="Arial" w:cs="Arial"/>
          <w:lang w:eastAsia="en-GB"/>
        </w:rPr>
        <w:t>, alder buckthorn (</w:t>
      </w:r>
      <w:proofErr w:type="spellStart"/>
      <w:r w:rsidRPr="00FA7178">
        <w:rPr>
          <w:rFonts w:ascii="Arial" w:hAnsi="Arial" w:cs="Arial"/>
          <w:i/>
          <w:iCs/>
          <w:lang w:eastAsia="en-GB"/>
        </w:rPr>
        <w:t>Frangula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alnus</w:t>
      </w:r>
      <w:proofErr w:type="spellEnd"/>
      <w:r w:rsidRPr="00FA7178">
        <w:rPr>
          <w:rFonts w:ascii="Arial" w:hAnsi="Arial" w:cs="Arial"/>
          <w:iCs/>
          <w:lang w:eastAsia="en-GB"/>
        </w:rPr>
        <w:t>)</w:t>
      </w:r>
      <w:r w:rsidRPr="00FA7178">
        <w:rPr>
          <w:rFonts w:ascii="Arial" w:hAnsi="Arial" w:cs="Arial"/>
          <w:lang w:eastAsia="en-GB"/>
        </w:rPr>
        <w:t>, hawthorn (</w:t>
      </w:r>
      <w:proofErr w:type="spellStart"/>
      <w:r w:rsidRPr="00FA7178">
        <w:rPr>
          <w:rFonts w:ascii="Arial" w:hAnsi="Arial" w:cs="Arial"/>
          <w:i/>
          <w:iCs/>
          <w:lang w:eastAsia="en-GB"/>
        </w:rPr>
        <w:t>Crataegus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monogyna</w:t>
      </w:r>
      <w:proofErr w:type="spellEnd"/>
      <w:r w:rsidRPr="00FA7178">
        <w:rPr>
          <w:rFonts w:ascii="Arial" w:hAnsi="Arial" w:cs="Arial"/>
          <w:iCs/>
          <w:lang w:eastAsia="en-GB"/>
        </w:rPr>
        <w:t>)</w:t>
      </w:r>
      <w:r w:rsidRPr="00FA7178">
        <w:rPr>
          <w:rFonts w:ascii="Arial" w:hAnsi="Arial" w:cs="Arial"/>
          <w:lang w:eastAsia="en-GB"/>
        </w:rPr>
        <w:t>, sycamore (</w:t>
      </w:r>
      <w:r w:rsidRPr="00FA7178">
        <w:rPr>
          <w:rFonts w:ascii="Arial" w:hAnsi="Arial" w:cs="Arial"/>
          <w:i/>
          <w:iCs/>
          <w:lang w:eastAsia="en-GB"/>
        </w:rPr>
        <w:t xml:space="preserve">Acer </w:t>
      </w:r>
      <w:proofErr w:type="spellStart"/>
      <w:r w:rsidRPr="00FA7178">
        <w:rPr>
          <w:rFonts w:ascii="Arial" w:hAnsi="Arial" w:cs="Arial"/>
          <w:i/>
          <w:iCs/>
          <w:lang w:eastAsia="en-GB"/>
        </w:rPr>
        <w:t>pseudoplatanus</w:t>
      </w:r>
      <w:proofErr w:type="spellEnd"/>
      <w:r w:rsidRPr="00FA7178">
        <w:rPr>
          <w:rFonts w:ascii="Arial" w:hAnsi="Arial" w:cs="Arial"/>
          <w:lang w:eastAsia="en-GB"/>
        </w:rPr>
        <w:t>), rowan (</w:t>
      </w:r>
      <w:proofErr w:type="spellStart"/>
      <w:r w:rsidRPr="00FA7178">
        <w:rPr>
          <w:rFonts w:ascii="Arial" w:hAnsi="Arial" w:cs="Arial"/>
          <w:i/>
          <w:iCs/>
          <w:lang w:eastAsia="en-GB"/>
        </w:rPr>
        <w:t>Sorbus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aucuparia</w:t>
      </w:r>
      <w:proofErr w:type="spellEnd"/>
      <w:r w:rsidRPr="00FA7178">
        <w:rPr>
          <w:rFonts w:ascii="Arial" w:hAnsi="Arial" w:cs="Arial"/>
          <w:iCs/>
          <w:lang w:eastAsia="en-GB"/>
        </w:rPr>
        <w:t>)</w:t>
      </w:r>
      <w:r w:rsidRPr="00FA7178">
        <w:rPr>
          <w:rFonts w:ascii="Arial" w:hAnsi="Arial" w:cs="Arial"/>
          <w:lang w:eastAsia="en-GB"/>
        </w:rPr>
        <w:t>, willow (</w:t>
      </w:r>
      <w:r w:rsidRPr="00FA7178">
        <w:rPr>
          <w:rFonts w:ascii="Arial" w:hAnsi="Arial" w:cs="Arial"/>
          <w:i/>
          <w:iCs/>
          <w:lang w:eastAsia="en-GB"/>
        </w:rPr>
        <w:t xml:space="preserve">Salix </w:t>
      </w:r>
      <w:proofErr w:type="spellStart"/>
      <w:r w:rsidRPr="00FA7178">
        <w:rPr>
          <w:rFonts w:ascii="Arial" w:hAnsi="Arial" w:cs="Arial"/>
          <w:i/>
          <w:iCs/>
          <w:lang w:eastAsia="en-GB"/>
        </w:rPr>
        <w:t>caprea</w:t>
      </w:r>
      <w:proofErr w:type="spellEnd"/>
      <w:r w:rsidRPr="00FA7178">
        <w:rPr>
          <w:rFonts w:ascii="Arial" w:hAnsi="Arial" w:cs="Arial"/>
          <w:i/>
          <w:iCs/>
          <w:lang w:eastAsia="en-GB"/>
        </w:rPr>
        <w:t xml:space="preserve">, S. </w:t>
      </w:r>
      <w:proofErr w:type="spellStart"/>
      <w:r w:rsidRPr="00FA7178">
        <w:rPr>
          <w:rFonts w:ascii="Arial" w:hAnsi="Arial" w:cs="Arial"/>
          <w:i/>
          <w:iCs/>
          <w:lang w:eastAsia="en-GB"/>
        </w:rPr>
        <w:t>cinerea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lang w:eastAsia="en-GB"/>
        </w:rPr>
        <w:t>and yew (</w:t>
      </w:r>
      <w:proofErr w:type="spellStart"/>
      <w:r w:rsidRPr="00FA7178">
        <w:rPr>
          <w:rFonts w:ascii="Arial" w:hAnsi="Arial" w:cs="Arial"/>
          <w:i/>
          <w:lang w:eastAsia="en-GB"/>
        </w:rPr>
        <w:t>T</w:t>
      </w:r>
      <w:r w:rsidRPr="00FA7178">
        <w:rPr>
          <w:rFonts w:ascii="Arial" w:hAnsi="Arial" w:cs="Arial"/>
          <w:i/>
          <w:iCs/>
          <w:lang w:eastAsia="en-GB"/>
        </w:rPr>
        <w:t>axus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baccata</w:t>
      </w:r>
      <w:proofErr w:type="spellEnd"/>
      <w:r w:rsidRPr="00FA7178">
        <w:rPr>
          <w:rFonts w:ascii="Arial" w:hAnsi="Arial" w:cs="Arial"/>
          <w:iCs/>
          <w:lang w:eastAsia="en-GB"/>
        </w:rPr>
        <w:t>)</w:t>
      </w:r>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Pr="00FA7178">
        <w:rPr>
          <w:rFonts w:ascii="Arial" w:hAnsi="Arial" w:cs="Arial"/>
          <w:lang w:eastAsia="en-GB"/>
        </w:rPr>
        <w:t xml:space="preserve">are also locally abundant. </w:t>
      </w:r>
    </w:p>
    <w:p w:rsidR="00FA7178" w:rsidRPr="00FA7178" w:rsidRDefault="00FA7178" w:rsidP="00FA7178">
      <w:pPr>
        <w:spacing w:line="360" w:lineRule="auto"/>
        <w:rPr>
          <w:rFonts w:ascii="Arial" w:hAnsi="Arial" w:cs="Arial"/>
          <w:lang w:eastAsia="en-GB"/>
        </w:rPr>
      </w:pPr>
      <w:r w:rsidRPr="00FA7178">
        <w:rPr>
          <w:rFonts w:ascii="Arial" w:hAnsi="Arial" w:cs="Arial"/>
          <w:lang w:eastAsia="en-GB"/>
        </w:rPr>
        <w:t xml:space="preserve">The New Forest is characterised by high herbivore pressure owing to large populations of deer and free-roaming livestock (principally ponies and cattle), owing to its history as a Royal Forest and the long-term maintenance of a traditional </w:t>
      </w:r>
      <w:proofErr w:type="spellStart"/>
      <w:r w:rsidRPr="00FA7178">
        <w:rPr>
          <w:rFonts w:ascii="Arial" w:hAnsi="Arial" w:cs="Arial"/>
          <w:lang w:eastAsia="en-GB"/>
        </w:rPr>
        <w:t>commoning</w:t>
      </w:r>
      <w:proofErr w:type="spellEnd"/>
      <w:r w:rsidRPr="00FA7178">
        <w:rPr>
          <w:rFonts w:ascii="Arial" w:hAnsi="Arial" w:cs="Arial"/>
          <w:lang w:eastAsia="en-GB"/>
        </w:rPr>
        <w:t xml:space="preserve"> system (Newton 2011, Newton et al. 2013). Although the site surveyed here has largely been untouched by </w:t>
      </w:r>
      <w:proofErr w:type="spellStart"/>
      <w:r w:rsidRPr="00FA7178">
        <w:rPr>
          <w:rFonts w:ascii="Arial" w:hAnsi="Arial" w:cs="Arial"/>
          <w:lang w:eastAsia="en-GB"/>
        </w:rPr>
        <w:t>silvicultural</w:t>
      </w:r>
      <w:proofErr w:type="spellEnd"/>
      <w:r w:rsidRPr="00FA7178">
        <w:rPr>
          <w:rFonts w:ascii="Arial" w:hAnsi="Arial" w:cs="Arial"/>
          <w:lang w:eastAsia="en-GB"/>
        </w:rPr>
        <w:t xml:space="preserve"> treatment, since 1870 it has been divided into two portions, one of which was enclosed by fencing (Denny </w:t>
      </w:r>
      <w:proofErr w:type="spellStart"/>
      <w:r w:rsidRPr="00FA7178">
        <w:rPr>
          <w:rFonts w:ascii="Arial" w:hAnsi="Arial" w:cs="Arial"/>
          <w:lang w:eastAsia="en-GB"/>
        </w:rPr>
        <w:t>Inclosure</w:t>
      </w:r>
      <w:proofErr w:type="spellEnd"/>
      <w:r w:rsidRPr="00FA7178">
        <w:rPr>
          <w:rFonts w:ascii="Arial" w:hAnsi="Arial" w:cs="Arial"/>
          <w:lang w:eastAsia="en-GB"/>
        </w:rPr>
        <w:t>) to exclude livestock, but not deer. Although browsing pressure is likely to have been higher in the unenclosed part of the site during the early 20</w:t>
      </w:r>
      <w:r w:rsidRPr="00FA7178">
        <w:rPr>
          <w:rFonts w:ascii="Arial" w:hAnsi="Arial" w:cs="Arial"/>
          <w:vertAlign w:val="superscript"/>
          <w:lang w:eastAsia="en-GB"/>
        </w:rPr>
        <w:t>th</w:t>
      </w:r>
      <w:r w:rsidRPr="00FA7178">
        <w:rPr>
          <w:rFonts w:ascii="Arial" w:hAnsi="Arial" w:cs="Arial"/>
          <w:lang w:eastAsia="en-GB"/>
        </w:rPr>
        <w:t xml:space="preserve"> century, since the 1960s browsing pressure has been high in both parts, though with different main herbivores (ponies in the unenclosed part; deer in the enclosed)</w:t>
      </w:r>
      <w:r w:rsidRPr="00FA7178">
        <w:rPr>
          <w:rFonts w:ascii="Arial" w:hAnsi="Arial" w:cs="Arial"/>
        </w:rPr>
        <w:t xml:space="preserve"> (</w:t>
      </w:r>
      <w:proofErr w:type="spellStart"/>
      <w:r w:rsidRPr="00FA7178">
        <w:rPr>
          <w:rFonts w:ascii="Arial" w:hAnsi="Arial" w:cs="Arial"/>
        </w:rPr>
        <w:t>Mountford</w:t>
      </w:r>
      <w:proofErr w:type="spellEnd"/>
      <w:r w:rsidRPr="00FA7178">
        <w:rPr>
          <w:rFonts w:ascii="Arial" w:hAnsi="Arial" w:cs="Arial"/>
        </w:rPr>
        <w:t xml:space="preserve"> and </w:t>
      </w:r>
      <w:proofErr w:type="spellStart"/>
      <w:r w:rsidRPr="00FA7178">
        <w:rPr>
          <w:rFonts w:ascii="Arial" w:hAnsi="Arial" w:cs="Arial"/>
        </w:rPr>
        <w:t>Peterken</w:t>
      </w:r>
      <w:proofErr w:type="spellEnd"/>
      <w:r w:rsidRPr="00FA7178">
        <w:rPr>
          <w:rFonts w:ascii="Arial" w:hAnsi="Arial" w:cs="Arial"/>
        </w:rPr>
        <w:t xml:space="preserve"> 2003)</w:t>
      </w:r>
      <w:r w:rsidRPr="00FA7178">
        <w:rPr>
          <w:rFonts w:ascii="Arial" w:hAnsi="Arial" w:cs="Arial"/>
          <w:lang w:eastAsia="en-GB"/>
        </w:rPr>
        <w:t>.</w:t>
      </w:r>
    </w:p>
    <w:p w:rsidR="00E94C26" w:rsidRDefault="00E94C26" w:rsidP="00FA7178">
      <w:pPr>
        <w:pStyle w:val="ListParagraph"/>
        <w:numPr>
          <w:ilvl w:val="0"/>
          <w:numId w:val="5"/>
        </w:numPr>
        <w:spacing w:line="360" w:lineRule="auto"/>
        <w:rPr>
          <w:rFonts w:ascii="Arial" w:hAnsi="Arial" w:cs="Arial"/>
        </w:rPr>
      </w:pPr>
      <w:r>
        <w:rPr>
          <w:rFonts w:ascii="Arial" w:hAnsi="Arial" w:cs="Arial"/>
        </w:rPr>
        <w:t>Data were collected from 1964-2014 with each tree marked and given an ID number and at each time period DBH and status were assessed.</w:t>
      </w:r>
    </w:p>
    <w:p w:rsidR="0024119F" w:rsidRDefault="0024119F" w:rsidP="00FA7178">
      <w:pPr>
        <w:spacing w:line="360" w:lineRule="auto"/>
        <w:rPr>
          <w:rFonts w:ascii="Arial" w:hAnsi="Arial" w:cs="Arial"/>
        </w:rPr>
      </w:pPr>
      <w:r w:rsidRPr="0024119F">
        <w:rPr>
          <w:rFonts w:ascii="Arial" w:hAnsi="Arial" w:cs="Arial"/>
        </w:rPr>
        <w:lastRenderedPageBreak/>
        <w:t xml:space="preserve">Measurements were conducted in two 20 m-wide transects, which were originally established in the 1950s. The first of these was established in Denny </w:t>
      </w:r>
      <w:proofErr w:type="spellStart"/>
      <w:r w:rsidRPr="0024119F">
        <w:rPr>
          <w:rFonts w:ascii="Arial" w:hAnsi="Arial" w:cs="Arial"/>
        </w:rPr>
        <w:t>Inclosure</w:t>
      </w:r>
      <w:proofErr w:type="spellEnd"/>
      <w:r w:rsidRPr="0024119F">
        <w:rPr>
          <w:rFonts w:ascii="Arial" w:hAnsi="Arial" w:cs="Arial"/>
        </w:rPr>
        <w:t xml:space="preserve"> and was 1 km in length, whereas a shorter transect of 320 m length was established in the unenclosed part of Denny Wood. </w:t>
      </w:r>
      <w:proofErr w:type="gramStart"/>
      <w:r w:rsidRPr="0024119F">
        <w:rPr>
          <w:rFonts w:ascii="Arial" w:hAnsi="Arial" w:cs="Arial"/>
        </w:rPr>
        <w:t>The transects</w:t>
      </w:r>
      <w:proofErr w:type="gramEnd"/>
      <w:r w:rsidRPr="0024119F">
        <w:rPr>
          <w:rFonts w:ascii="Arial" w:hAnsi="Arial" w:cs="Arial"/>
        </w:rPr>
        <w:t xml:space="preserve"> were subdivided into contiguous 20 x 20 m (0.04 ha) subplots, with the longer transect containing 51 subplots and the shorter transect 20. The enclosed transect was surveyed in 1964, 1984, 1988, 1996 and 2014, while the unenclosed transect was surveyed in 1964, 1999 and 2014. Details of earlier measurements are presented by </w:t>
      </w:r>
      <w:proofErr w:type="spellStart"/>
      <w:r w:rsidRPr="0024119F">
        <w:rPr>
          <w:rFonts w:ascii="Arial" w:hAnsi="Arial" w:cs="Arial"/>
        </w:rPr>
        <w:t>Mountford</w:t>
      </w:r>
      <w:proofErr w:type="spellEnd"/>
      <w:r w:rsidRPr="0024119F">
        <w:rPr>
          <w:rFonts w:ascii="Arial" w:hAnsi="Arial" w:cs="Arial"/>
        </w:rPr>
        <w:t xml:space="preserve"> et al. (1999) 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 Martin et al. (2015)</w:t>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measuring tapes, and their status assessed as either alive or dead. </w:t>
      </w:r>
      <w:r>
        <w:rPr>
          <w:rFonts w:ascii="Arial" w:hAnsi="Arial" w:cs="Arial"/>
        </w:rPr>
        <w:t xml:space="preserve">Each stem &gt;1.3m height was given a unique ID number to allow changes in individual trees to be tracked. </w:t>
      </w:r>
    </w:p>
    <w:p w:rsidR="00E94C26" w:rsidRDefault="00E94C26" w:rsidP="00FA7178">
      <w:pPr>
        <w:pStyle w:val="ListParagraph"/>
        <w:numPr>
          <w:ilvl w:val="0"/>
          <w:numId w:val="5"/>
        </w:numPr>
        <w:spacing w:line="360" w:lineRule="auto"/>
        <w:rPr>
          <w:rFonts w:ascii="Arial" w:hAnsi="Arial" w:cs="Arial"/>
        </w:rPr>
      </w:pPr>
      <w:r>
        <w:rPr>
          <w:rFonts w:ascii="Arial" w:hAnsi="Arial" w:cs="Arial"/>
        </w:rPr>
        <w:t xml:space="preserve">Binomial mixed effects models were used to assess factors influencing likelihood of tree death using workflow similar to Chao et al in which alternative variables (e.g. DBH, BA </w:t>
      </w:r>
      <w:proofErr w:type="spellStart"/>
      <w:r>
        <w:rPr>
          <w:rFonts w:ascii="Arial" w:hAnsi="Arial" w:cs="Arial"/>
        </w:rPr>
        <w:t>etc</w:t>
      </w:r>
      <w:proofErr w:type="spellEnd"/>
      <w:r>
        <w:rPr>
          <w:rFonts w:ascii="Arial" w:hAnsi="Arial" w:cs="Arial"/>
        </w:rPr>
        <w:t>) were tested against each other and then included in the model</w:t>
      </w:r>
    </w:p>
    <w:p w:rsidR="00F35515" w:rsidRDefault="00F35515" w:rsidP="00F35515">
      <w:pPr>
        <w:spacing w:line="360" w:lineRule="auto"/>
        <w:rPr>
          <w:rFonts w:ascii="Arial" w:hAnsi="Arial" w:cs="Arial"/>
        </w:rPr>
      </w:pPr>
      <w:r>
        <w:rPr>
          <w:rFonts w:ascii="Arial" w:hAnsi="Arial" w:cs="Arial"/>
        </w:rPr>
        <w:t xml:space="preserve">Statistical models of individual tree mortality were developed using logistic mixed effects models, which describe the probability that a tree dies in a given period of time. </w:t>
      </w:r>
    </w:p>
    <w:p w:rsidR="00F35515" w:rsidRDefault="00F35515" w:rsidP="00F35515">
      <w:pPr>
        <w:spacing w:line="360" w:lineRule="auto"/>
        <w:rPr>
          <w:rFonts w:ascii="Arial" w:hAnsi="Arial" w:cs="Arial"/>
        </w:rPr>
      </w:pPr>
      <w:r>
        <w:rPr>
          <w:rFonts w:ascii="Arial" w:hAnsi="Arial" w:cs="Arial"/>
        </w:rPr>
        <w:t xml:space="preserve">For this model we tested </w:t>
      </w:r>
      <w:r w:rsidR="00F06791">
        <w:rPr>
          <w:rFonts w:ascii="Arial" w:hAnsi="Arial" w:cs="Arial"/>
        </w:rPr>
        <w:t xml:space="preserve">only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F06791">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 xml:space="preserve">(iii) proximity to dead trees. Tree size represented diameter based measurement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 xml:space="preserve">Proximity to dead trees related to the prior to death distance of an individual tree to a dead tree or the abundance of dead trees in a 10m buffer. </w:t>
      </w:r>
      <w:r w:rsidR="00F06791">
        <w:rPr>
          <w:rFonts w:ascii="Arial" w:hAnsi="Arial" w:cs="Arial"/>
        </w:rPr>
        <w:t xml:space="preserve">In step 2 we selected the best predictor for each group using </w:t>
      </w:r>
      <w:proofErr w:type="spellStart"/>
      <w:r w:rsidR="00F06791">
        <w:rPr>
          <w:rFonts w:ascii="Arial" w:hAnsi="Arial" w:cs="Arial"/>
        </w:rPr>
        <w:t>univariate</w:t>
      </w:r>
      <w:proofErr w:type="spellEnd"/>
      <w:r w:rsidR="00F06791">
        <w:rPr>
          <w:rFonts w:ascii="Arial" w:hAnsi="Arial" w:cs="Arial"/>
        </w:rPr>
        <w:t xml:space="preserve"> logistic mixed effects models using </w:t>
      </w:r>
      <w:proofErr w:type="spellStart"/>
      <w:r w:rsidR="00F06791">
        <w:rPr>
          <w:rFonts w:ascii="Arial" w:hAnsi="Arial" w:cs="Arial"/>
        </w:rPr>
        <w:t>AICc</w:t>
      </w:r>
      <w:proofErr w:type="spellEnd"/>
      <w:r w:rsidR="00F06791">
        <w:rPr>
          <w:rFonts w:ascii="Arial" w:hAnsi="Arial" w:cs="Arial"/>
        </w:rPr>
        <w:t xml:space="preserve"> values </w:t>
      </w:r>
      <w:r w:rsidR="00F06791">
        <w:rPr>
          <w:rFonts w:ascii="Arial" w:hAnsi="Arial" w:cs="Arial"/>
        </w:rPr>
        <w:fldChar w:fldCharType="begin" w:fldLock="1"/>
      </w:r>
      <w:r w:rsidR="00F262DF">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"page" : "488", "title" : "Model selection and multimodel inference: a practical information-theoretic approach", "type" : "book", "volume" : "172" }, "uris" : [ "http://www.mendeley.com/documents/?uuid=86bbd164-9afc-47d0-9cb9-c08babc7ea8c"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F06791">
        <w:rPr>
          <w:rFonts w:ascii="Arial" w:hAnsi="Arial" w:cs="Arial"/>
        </w:rPr>
        <w:fldChar w:fldCharType="separate"/>
      </w:r>
      <w:r w:rsidR="00F06791" w:rsidRPr="00F06791">
        <w:rPr>
          <w:rFonts w:ascii="Arial" w:hAnsi="Arial" w:cs="Arial"/>
          <w:noProof/>
        </w:rPr>
        <w:t>(Burnham &amp; Anderson 2002)</w:t>
      </w:r>
      <w:r w:rsidR="00F06791">
        <w:rPr>
          <w:rFonts w:ascii="Arial" w:hAnsi="Arial" w:cs="Arial"/>
        </w:rPr>
        <w:fldChar w:fldCharType="end"/>
      </w:r>
      <w:r w:rsidR="00F06791">
        <w:rPr>
          <w:rFonts w:ascii="Arial" w:hAnsi="Arial" w:cs="Arial"/>
        </w:rPr>
        <w:t>. 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F35515">
      <w:pPr>
        <w:spacing w:line="360" w:lineRule="auto"/>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Pr>
          <w:rFonts w:ascii="Arial" w:eastAsiaTheme="minorEastAsia" w:hAnsi="Arial" w:cs="Arial"/>
        </w:rPr>
        <w:t>.</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undertaken 5 times from 1964-2015 with a mean (± SD) census interval period of 12.5 ± 6.7 years. Since trees used in mortality models required </w:t>
      </w:r>
      <w:r w:rsidR="00EC5CC9">
        <w:rPr>
          <w:rFonts w:ascii="Arial" w:eastAsiaTheme="minorEastAsia" w:hAnsi="Arial" w:cs="Arial"/>
        </w:rPr>
        <w:lastRenderedPageBreak/>
        <w:t xml:space="preserve">censuses at </w:t>
      </w:r>
      <w:r w:rsidR="00EC5CC9">
        <w:rPr>
          <w:rFonts w:ascii="Arial" w:eastAsiaTheme="minorEastAsia" w:hAnsi="Arial" w:cs="Arial"/>
        </w:rPr>
        <w:t xml:space="preserve">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r w:rsidR="00707775">
        <w:rPr>
          <w:rFonts w:ascii="Arial" w:eastAsiaTheme="minorEastAsia" w:hAnsi="Arial" w:cs="Arial"/>
        </w:rPr>
        <w:t>To correct for the variation in census interval a random effect was included in models to identify census period.</w:t>
      </w:r>
    </w:p>
    <w:p w:rsidR="00560D45" w:rsidRDefault="00707775" w:rsidP="00707775">
      <w:pPr>
        <w:spacing w:line="360" w:lineRule="auto"/>
        <w:rPr>
          <w:rFonts w:ascii="Arial" w:eastAsiaTheme="minorEastAsia" w:hAnsi="Arial" w:cs="Arial"/>
        </w:rPr>
      </w:pPr>
      <w:r>
        <w:rPr>
          <w:rFonts w:ascii="Arial" w:eastAsiaTheme="minorEastAsia" w:hAnsi="Arial" w:cs="Arial"/>
        </w:rPr>
        <w:t xml:space="preserve">Tree size metrics used were (i) DBH (cm): diameter at height of 1.3m of tree at </w:t>
      </w:r>
      <w:proofErr w:type="gramStart"/>
      <w:r>
        <w:rPr>
          <w:rFonts w:ascii="Arial" w:eastAsiaTheme="minorEastAsia"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w:t>
      </w:r>
      <w:r w:rsidR="00560D45">
        <w:rPr>
          <w:rFonts w:ascii="Arial" w:eastAsiaTheme="minorEastAsia" w:hAnsi="Arial" w:cs="Arial"/>
        </w:rPr>
        <w:t xml:space="preserve">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707775" w:rsidRPr="00012079" w:rsidRDefault="00707775" w:rsidP="00707775">
      <w:pPr>
        <w:spacing w:line="360" w:lineRule="auto"/>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m:t>
              </m:r>
              <m:r>
                <w:rPr>
                  <w:rFonts w:ascii="Cambria Math" w:eastAsiaTheme="minorEastAsia" w:hAnsi="Cambria Math" w:cs="Arial"/>
                </w:rPr>
                <m:t>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707775" w:rsidRDefault="00560D45" w:rsidP="00707775">
      <w:pPr>
        <w:spacing w:line="360" w:lineRule="auto"/>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F35515">
      <w:pPr>
        <w:spacing w:line="360" w:lineRule="auto"/>
        <w:rPr>
          <w:rFonts w:ascii="Arial" w:eastAsiaTheme="minorEastAsia" w:hAnsi="Arial" w:cs="Arial"/>
        </w:rPr>
      </w:pPr>
      <w:r>
        <w:rPr>
          <w:rFonts w:ascii="Arial" w:eastAsiaTheme="minorEastAsia" w:hAnsi="Arial" w:cs="Arial"/>
        </w:rPr>
        <w:t xml:space="preserve">Tree growth rate metrics used were: (i) </w:t>
      </w:r>
      <w:r w:rsidR="00EB1B07">
        <w:rPr>
          <w:rFonts w:ascii="Arial" w:eastAsiaTheme="minorEastAsia" w:hAnsi="Arial" w:cs="Arial"/>
        </w:rPr>
        <w:t xml:space="preserve">Annual diameter growth rate </w:t>
      </w:r>
      <w:r w:rsidR="00EB1B07">
        <w:rPr>
          <w:rFonts w:ascii="Arial" w:eastAsiaTheme="minorEastAsia" w:hAnsi="Arial" w:cs="Arial"/>
        </w:rPr>
        <w:t>(mm year</w:t>
      </w:r>
      <w:r w:rsidR="00EB1B07">
        <w:rPr>
          <w:rFonts w:ascii="Arial" w:eastAsiaTheme="minorEastAsia" w:hAnsi="Arial" w:cs="Arial"/>
          <w:vertAlign w:val="superscript"/>
        </w:rPr>
        <w:t>-1</w:t>
      </w:r>
      <w:r w:rsidR="00EB1B07">
        <w:rPr>
          <w:rFonts w:ascii="Arial" w:eastAsiaTheme="minorEastAsia" w:hAnsi="Arial" w:cs="Arial"/>
        </w:rPr>
        <w:t>)</w:t>
      </w:r>
      <w:r w:rsidR="00EB1B07">
        <w:rPr>
          <w:rFonts w:ascii="Arial" w:eastAsiaTheme="minorEastAsia" w:hAnsi="Arial" w:cs="Arial"/>
        </w:rPr>
        <w:t xml:space="preserve"> calculated as:</w:t>
      </w:r>
    </w:p>
    <w:p w:rsidR="00EB1B07" w:rsidRPr="00012079" w:rsidRDefault="00EB1B07" w:rsidP="00F35515">
      <w:pPr>
        <w:spacing w:line="360" w:lineRule="auto"/>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m:t>
                          </m:r>
                          <m:r>
                            <w:rPr>
                              <w:rFonts w:ascii="Cambria Math" w:eastAsiaTheme="minorEastAsia" w:hAnsi="Cambria Math" w:cs="Arial"/>
                            </w:rPr>
                            <m:t>0</m:t>
                          </m:r>
                        </m:sub>
                      </m:sSub>
                    </m:e>
                  </m:d>
                  <m:r>
                    <w:rPr>
                      <w:rFonts w:ascii="Cambria Math" w:eastAsiaTheme="minorEastAsia" w:hAnsi="Cambria Math" w:cs="Arial"/>
                    </w:rPr>
                    <m:t>×10</m:t>
                  </m:r>
                </m:e>
              </m:d>
            </m:num>
            <m:den>
              <m:r>
                <w:rPr>
                  <w:rFonts w:ascii="Cambria Math" w:eastAsiaTheme="minorEastAsia" w:hAnsi="Cambria Math" w:cs="Arial"/>
                </w:rPr>
                <m:t>t1</m:t>
              </m:r>
              <m:r>
                <w:rPr>
                  <w:rFonts w:ascii="Cambria Math" w:eastAsiaTheme="minorEastAsia" w:hAnsi="Cambria Math" w:cs="Arial"/>
                </w:rPr>
                <m:t>-</m:t>
              </m:r>
              <m:r>
                <w:rPr>
                  <w:rFonts w:ascii="Cambria Math" w:eastAsiaTheme="minorEastAsia" w:hAnsi="Cambria Math" w:cs="Arial"/>
                </w:rPr>
                <m:t>t0</m:t>
              </m:r>
            </m:den>
          </m:f>
        </m:oMath>
      </m:oMathPara>
    </w:p>
    <w:p w:rsidR="00EB1B07" w:rsidRDefault="00EB1B07" w:rsidP="00F35515">
      <w:pPr>
        <w:spacing w:line="360" w:lineRule="auto"/>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m:t>
            </m:r>
            <m:r>
              <w:rPr>
                <w:rFonts w:ascii="Cambria Math" w:eastAsiaTheme="minorEastAsia" w:hAnsi="Cambria Math" w:cs="Arial"/>
              </w:rPr>
              <m: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m:t>
        </m:r>
        <m:r>
          <w:rPr>
            <w:rFonts w:ascii="Cambria Math" w:eastAsiaTheme="minorEastAsia" w:hAnsi="Cambria Math" w:cs="Arial"/>
          </w:rPr>
          <m:t>t1</m:t>
        </m:r>
      </m:oMath>
      <w:r>
        <w:rPr>
          <w:rFonts w:ascii="Arial" w:eastAsiaTheme="minorEastAsia" w:hAnsi="Arial" w:cs="Arial"/>
        </w:rPr>
        <w:t xml:space="preserve"> and </w:t>
      </w:r>
      <m:oMath>
        <m:r>
          <w:rPr>
            <w:rFonts w:ascii="Cambria Math" w:eastAsiaTheme="minorEastAsia" w:hAnsi="Cambria Math" w:cs="Arial"/>
          </w:rPr>
          <m:t>t</m:t>
        </m:r>
        <m:r>
          <w:rPr>
            <w:rFonts w:ascii="Cambria Math" w:eastAsiaTheme="minorEastAsia" w:hAnsi="Cambria Math" w:cs="Arial"/>
          </w:rPr>
          <m: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EB1B07">
      <w:pPr>
        <w:spacing w:line="360" w:lineRule="auto"/>
        <w:rPr>
          <w:rFonts w:ascii="Arial" w:eastAsiaTheme="minorEastAsia" w:hAnsi="Arial" w:cs="Arial"/>
        </w:rPr>
      </w:pPr>
      <m:oMathPara>
        <m:oMathParaPr>
          <m:jc m:val="left"/>
        </m:oMathParaPr>
        <m:oMath>
          <m:r>
            <w:rPr>
              <w:rFonts w:ascii="Cambria Math" w:eastAsiaTheme="minorEastAsia" w:hAnsi="Cambria Math" w:cs="Arial"/>
            </w:rPr>
            <m:t>BA</m:t>
          </m:r>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m:t>
                  </m:r>
                  <m:r>
                    <w:rPr>
                      <w:rFonts w:ascii="Cambria Math" w:eastAsiaTheme="minorEastAsia" w:hAnsi="Cambria Math" w:cs="Arial"/>
                    </w:rPr>
                    <m:t xml:space="preserve">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EB1B07" w:rsidRDefault="00EB1B07" w:rsidP="00EB1B07">
      <w:pPr>
        <w:spacing w:line="360" w:lineRule="auto"/>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m:t>
        </m:r>
        <m:r>
          <w:rPr>
            <w:rFonts w:ascii="Cambria Math" w:eastAsiaTheme="minorEastAsia" w:hAnsi="Cambria Math" w:cs="Arial"/>
          </w:rPr>
          <m:t>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w:t>
      </w:r>
      <w:r>
        <w:rPr>
          <w:rFonts w:ascii="Arial" w:eastAsiaTheme="minorEastAsia" w:hAnsi="Arial" w:cs="Arial"/>
        </w:rPr>
        <w:t>;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EB1B07">
      <w:pPr>
        <w:spacing w:line="360" w:lineRule="auto"/>
        <w:rPr>
          <w:rFonts w:ascii="Arial" w:eastAsiaTheme="minorEastAsia" w:hAnsi="Arial" w:cs="Arial"/>
        </w:rPr>
      </w:pPr>
      <m:oMathPara>
        <m:oMathParaPr>
          <m:jc m:val="left"/>
        </m:oMathParaPr>
        <m:oMath>
          <m:r>
            <w:rPr>
              <w:rFonts w:ascii="Cambria Math" w:eastAsiaTheme="minorEastAsia" w:hAnsi="Cambria Math" w:cs="Arial"/>
            </w:rPr>
            <m:t>rel</m:t>
          </m:r>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EB1B07" w:rsidRDefault="00EB1B07" w:rsidP="00EB1B07">
      <w:pPr>
        <w:spacing w:line="360" w:lineRule="auto"/>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012079" w:rsidRPr="00012079" w:rsidRDefault="00012079" w:rsidP="00012079">
      <w:pPr>
        <w:spacing w:line="360" w:lineRule="auto"/>
        <w:rPr>
          <w:rFonts w:ascii="Arial" w:eastAsiaTheme="minorEastAsia" w:hAnsi="Arial" w:cs="Arial"/>
        </w:rPr>
      </w:pPr>
      <m:oMathPara>
        <m:oMathParaPr>
          <m:jc m:val="left"/>
        </m:oMathParaPr>
        <m:oMath>
          <m:r>
            <w:rPr>
              <w:rFonts w:ascii="Cambria Math" w:eastAsiaTheme="minorEastAsia" w:hAnsi="Cambria Math" w:cs="Arial"/>
            </w:rPr>
            <m:t>rel</m:t>
          </m:r>
          <m:r>
            <w:rPr>
              <w:rFonts w:ascii="Cambria Math" w:eastAsiaTheme="minorEastAsia" w:hAnsi="Cambria Math" w:cs="Arial"/>
            </w:rPr>
            <m:t>BA</m:t>
          </m:r>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m:t>
                      </m:r>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F35515">
      <w:pPr>
        <w:spacing w:line="360" w:lineRule="auto"/>
        <w:rPr>
          <w:rFonts w:ascii="Arial" w:eastAsiaTheme="minorEastAsia" w:hAnsi="Arial" w:cs="Arial"/>
        </w:rPr>
      </w:pPr>
    </w:p>
    <w:p w:rsidR="00012079" w:rsidRPr="00F35515" w:rsidRDefault="00012079" w:rsidP="00F35515">
      <w:pPr>
        <w:spacing w:line="360" w:lineRule="auto"/>
        <w:rPr>
          <w:rFonts w:ascii="Arial"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w:t>
      </w:r>
      <w:proofErr w:type="spellStart"/>
      <w:r>
        <w:rPr>
          <w:rFonts w:ascii="Arial" w:eastAsiaTheme="minorEastAsia" w:hAnsi="Arial" w:cs="Arial"/>
        </w:rPr>
        <w:t>n</w:t>
      </w:r>
      <w:proofErr w:type="spellEnd"/>
      <w:r>
        <w:rPr>
          <w:rFonts w:ascii="Arial" w:eastAsiaTheme="minorEastAsia" w:hAnsi="Arial" w:cs="Arial"/>
        </w:rPr>
        <w:t xml:space="preserve">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w:t>
      </w:r>
      <w:r>
        <w:rPr>
          <w:rFonts w:ascii="Arial" w:eastAsiaTheme="minorEastAsia" w:hAnsi="Arial" w:cs="Arial"/>
        </w:rPr>
        <w:lastRenderedPageBreak/>
        <w:t xml:space="preserve">time of death at time </w:t>
      </w:r>
      <m:oMath>
        <m:r>
          <w:rPr>
            <w:rFonts w:ascii="Cambria Math" w:eastAsiaTheme="minorEastAsia" w:hAnsi="Cambria Math" w:cs="Arial"/>
          </w:rPr>
          <m:t>t1</m:t>
        </m:r>
      </m:oMath>
      <w:r>
        <w:rPr>
          <w:rFonts w:ascii="Arial" w:eastAsiaTheme="minorEastAsia" w:hAnsi="Arial" w:cs="Arial"/>
        </w:rPr>
        <w:t xml:space="preserve"> </w:t>
      </w:r>
      <w:r>
        <w:rPr>
          <w:rFonts w:ascii="Arial" w:eastAsiaTheme="minorEastAsia" w:hAnsi="Arial" w:cs="Arial"/>
        </w:rPr>
        <w:t>within 10 metres of the target tree</w:t>
      </w:r>
      <w:r>
        <w:rPr>
          <w:rFonts w:ascii="Arial" w:eastAsiaTheme="minorEastAsia" w:hAnsi="Arial" w:cs="Arial"/>
        </w:rPr>
        <w:t xml:space="preserv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w:t>
      </w:r>
      <w:r>
        <w:rPr>
          <w:rFonts w:ascii="Arial" w:eastAsiaTheme="minorEastAsia" w:hAnsi="Arial" w:cs="Arial"/>
        </w:rPr>
        <w:t>(m)</w:t>
      </w:r>
      <w:r>
        <w:rPr>
          <w:rFonts w:ascii="Arial" w:eastAsiaTheme="minorEastAsia" w:hAnsi="Arial" w:cs="Arial"/>
        </w:rPr>
        <w:t xml:space="preserve">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w:t>
      </w:r>
      <w:r>
        <w:rPr>
          <w:rFonts w:ascii="Arial" w:eastAsiaTheme="minorEastAsia" w:hAnsi="Arial" w:cs="Arial"/>
        </w:rPr>
        <w:t xml:space="preserve">distance to nearest dead tree ≥45cm DBH at time of death </w:t>
      </w:r>
      <w:r>
        <w:rPr>
          <w:rFonts w:ascii="Arial" w:eastAsiaTheme="minorEastAsia" w:hAnsi="Arial" w:cs="Arial"/>
        </w:rPr>
        <w:t xml:space="preserve">(m) </w:t>
      </w:r>
      <w:r>
        <w:rPr>
          <w:rFonts w:ascii="Arial" w:eastAsiaTheme="minorEastAsia" w:hAnsi="Arial" w:cs="Arial"/>
        </w:rPr>
        <w:t xml:space="preserve">at time </w:t>
      </w:r>
      <m:oMath>
        <m:r>
          <w:rPr>
            <w:rFonts w:ascii="Cambria Math" w:eastAsiaTheme="minorEastAsia" w:hAnsi="Cambria Math" w:cs="Arial"/>
          </w:rPr>
          <m:t>t1</m:t>
        </m:r>
      </m:oMath>
      <w:r>
        <w:rPr>
          <w:rFonts w:ascii="Arial" w:eastAsiaTheme="minorEastAsia" w:hAnsi="Arial" w:cs="Arial"/>
        </w:rPr>
        <w:t xml:space="preserve">. Our rationale for focussing on dead trees </w:t>
      </w:r>
      <w:r>
        <w:rPr>
          <w:rFonts w:ascii="Arial" w:eastAsiaTheme="minorEastAsia" w:hAnsi="Arial" w:cs="Arial"/>
        </w:rPr>
        <w:t>≥45cm DBH</w:t>
      </w:r>
      <w:r>
        <w:rPr>
          <w:rFonts w:ascii="Arial" w:eastAsiaTheme="minorEastAsia" w:hAnsi="Arial" w:cs="Arial"/>
        </w:rPr>
        <w:t xml:space="preserve">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bookmarkStart w:id="0" w:name="_GoBack"/>
      <w:bookmarkEnd w:id="0"/>
    </w:p>
    <w:p w:rsidR="00E94C26" w:rsidRDefault="00E94C26" w:rsidP="00FA7178">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F262DF" w:rsidRPr="00F262DF" w:rsidRDefault="00F262DF" w:rsidP="00F262DF">
      <w:pPr>
        <w:spacing w:line="360" w:lineRule="auto"/>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FA7178">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Pr="00E94C26" w:rsidRDefault="00210A49" w:rsidP="00FA7178">
      <w:pPr>
        <w:spacing w:line="360" w:lineRule="auto"/>
        <w:rPr>
          <w:rFonts w:ascii="Arial" w:hAnsi="Arial" w:cs="Arial"/>
        </w:rPr>
      </w:pPr>
      <w:r w:rsidRPr="00E94C26">
        <w:rPr>
          <w:rFonts w:ascii="Arial" w:hAnsi="Arial" w:cs="Arial"/>
          <w:b/>
        </w:rPr>
        <w:t>Results</w:t>
      </w:r>
    </w:p>
    <w:p w:rsidR="00210A49" w:rsidRPr="00E94C26" w:rsidRDefault="00210A49" w:rsidP="00FA7178">
      <w:pPr>
        <w:spacing w:line="360" w:lineRule="auto"/>
        <w:rPr>
          <w:rFonts w:ascii="Arial" w:hAnsi="Arial" w:cs="Arial"/>
          <w:b/>
        </w:rPr>
      </w:pPr>
      <w:r w:rsidRPr="00E94C26">
        <w:rPr>
          <w:rFonts w:ascii="Arial" w:hAnsi="Arial" w:cs="Arial"/>
          <w:b/>
        </w:rPr>
        <w:t>Discussion</w:t>
      </w:r>
    </w:p>
    <w:p w:rsidR="00210A49" w:rsidRPr="00F262DF" w:rsidRDefault="00210A49" w:rsidP="00FA7178">
      <w:pPr>
        <w:spacing w:line="360" w:lineRule="auto"/>
        <w:rPr>
          <w:rFonts w:ascii="Arial" w:hAnsi="Arial" w:cs="Arial"/>
          <w:b/>
        </w:rPr>
      </w:pPr>
      <w:r w:rsidRPr="00F262DF">
        <w:rPr>
          <w:rFonts w:ascii="Arial" w:hAnsi="Arial" w:cs="Arial"/>
          <w:b/>
        </w:rPr>
        <w:t>References</w:t>
      </w:r>
    </w:p>
    <w:p w:rsidR="00560D45" w:rsidRPr="00560D45" w:rsidRDefault="00F262DF">
      <w:pPr>
        <w:pStyle w:val="NormalWeb"/>
        <w:ind w:left="480" w:hanging="480"/>
        <w:divId w:val="797718683"/>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560D45" w:rsidRPr="00560D45">
        <w:rPr>
          <w:rFonts w:ascii="Arial" w:hAnsi="Arial" w:cs="Arial"/>
          <w:noProof/>
          <w:sz w:val="22"/>
        </w:rPr>
        <w:t xml:space="preserve">Burnham, K.P. &amp; Anderson, D.R. (2002) </w:t>
      </w:r>
      <w:r w:rsidR="00560D45" w:rsidRPr="00560D45">
        <w:rPr>
          <w:rFonts w:ascii="Arial" w:hAnsi="Arial" w:cs="Arial"/>
          <w:i/>
          <w:iCs/>
          <w:noProof/>
          <w:sz w:val="22"/>
        </w:rPr>
        <w:t>Model Selection and Multimodel Inference: A Practical Information-Theoretic Approach</w:t>
      </w:r>
      <w:r w:rsidR="00560D45" w:rsidRPr="00560D45">
        <w:rPr>
          <w:rFonts w:ascii="Arial" w:hAnsi="Arial" w:cs="Arial"/>
          <w:noProof/>
          <w:sz w:val="22"/>
        </w:rPr>
        <w:t>.</w:t>
      </w:r>
    </w:p>
    <w:p w:rsidR="00560D45" w:rsidRPr="00560D45" w:rsidRDefault="00560D45">
      <w:pPr>
        <w:pStyle w:val="NormalWeb"/>
        <w:ind w:left="480" w:hanging="480"/>
        <w:divId w:val="797718683"/>
        <w:rPr>
          <w:rFonts w:ascii="Arial" w:hAnsi="Arial" w:cs="Arial"/>
          <w:noProof/>
          <w:sz w:val="22"/>
        </w:rPr>
      </w:pPr>
      <w:r w:rsidRPr="00560D45">
        <w:rPr>
          <w:rFonts w:ascii="Arial" w:hAnsi="Arial" w:cs="Arial"/>
          <w:noProof/>
          <w:sz w:val="22"/>
        </w:rPr>
        <w:t xml:space="preserve">Chao, K.J., Phillips, O.L., Gloor, E., Monteagudo, A., Torres-Lezama, A. &amp; Martínez, R.V. (2008) Growth and wood density predict tree mortality in Amazon forests. </w:t>
      </w:r>
      <w:r w:rsidRPr="00560D45">
        <w:rPr>
          <w:rFonts w:ascii="Arial" w:hAnsi="Arial" w:cs="Arial"/>
          <w:i/>
          <w:iCs/>
          <w:noProof/>
          <w:sz w:val="22"/>
        </w:rPr>
        <w:t>Journal of Ecology</w:t>
      </w:r>
      <w:r w:rsidRPr="00560D45">
        <w:rPr>
          <w:rFonts w:ascii="Arial" w:hAnsi="Arial" w:cs="Arial"/>
          <w:noProof/>
          <w:sz w:val="22"/>
        </w:rPr>
        <w:t xml:space="preserve">, </w:t>
      </w:r>
      <w:r w:rsidRPr="00560D45">
        <w:rPr>
          <w:rFonts w:ascii="Arial" w:hAnsi="Arial" w:cs="Arial"/>
          <w:b/>
          <w:bCs/>
          <w:noProof/>
          <w:sz w:val="22"/>
        </w:rPr>
        <w:t>96</w:t>
      </w:r>
      <w:r w:rsidRPr="00560D45">
        <w:rPr>
          <w:rFonts w:ascii="Arial" w:hAnsi="Arial" w:cs="Arial"/>
          <w:noProof/>
          <w:sz w:val="22"/>
        </w:rPr>
        <w:t>, 281–292.</w:t>
      </w:r>
    </w:p>
    <w:p w:rsidR="00560D45" w:rsidRPr="00560D45" w:rsidRDefault="00560D45">
      <w:pPr>
        <w:pStyle w:val="NormalWeb"/>
        <w:ind w:left="480" w:hanging="480"/>
        <w:divId w:val="797718683"/>
        <w:rPr>
          <w:rFonts w:ascii="Arial" w:hAnsi="Arial" w:cs="Arial"/>
          <w:noProof/>
          <w:sz w:val="22"/>
        </w:rPr>
      </w:pPr>
      <w:r w:rsidRPr="00560D45">
        <w:rPr>
          <w:rFonts w:ascii="Arial" w:hAnsi="Arial" w:cs="Arial"/>
          <w:noProof/>
          <w:sz w:val="22"/>
        </w:rPr>
        <w:t xml:space="preserve">Holzwarth, F., Kahl, A., Bauhus, J. &amp; Wirth, C. (2013) Many ways to die - partitioning tree mortality dynamics in a near-natural mixed deciduous forest (ed P Zuidema). </w:t>
      </w:r>
      <w:r w:rsidRPr="00560D45">
        <w:rPr>
          <w:rFonts w:ascii="Arial" w:hAnsi="Arial" w:cs="Arial"/>
          <w:i/>
          <w:iCs/>
          <w:noProof/>
          <w:sz w:val="22"/>
        </w:rPr>
        <w:t>Journal of Ecology</w:t>
      </w:r>
      <w:r w:rsidRPr="00560D45">
        <w:rPr>
          <w:rFonts w:ascii="Arial" w:hAnsi="Arial" w:cs="Arial"/>
          <w:noProof/>
          <w:sz w:val="22"/>
        </w:rPr>
        <w:t xml:space="preserve">, </w:t>
      </w:r>
      <w:r w:rsidRPr="00560D45">
        <w:rPr>
          <w:rFonts w:ascii="Arial" w:hAnsi="Arial" w:cs="Arial"/>
          <w:b/>
          <w:bCs/>
          <w:noProof/>
          <w:sz w:val="22"/>
        </w:rPr>
        <w:t>101</w:t>
      </w:r>
      <w:r w:rsidRPr="00560D45">
        <w:rPr>
          <w:rFonts w:ascii="Arial" w:hAnsi="Arial" w:cs="Arial"/>
          <w:noProof/>
          <w:sz w:val="22"/>
        </w:rPr>
        <w:t>, 220–230.</w:t>
      </w:r>
    </w:p>
    <w:p w:rsidR="00560D45" w:rsidRPr="00560D45" w:rsidRDefault="00560D45">
      <w:pPr>
        <w:pStyle w:val="NormalWeb"/>
        <w:ind w:left="480" w:hanging="480"/>
        <w:divId w:val="797718683"/>
        <w:rPr>
          <w:rFonts w:ascii="Arial" w:hAnsi="Arial" w:cs="Arial"/>
          <w:noProof/>
          <w:sz w:val="22"/>
        </w:rPr>
      </w:pPr>
      <w:r w:rsidRPr="00560D45">
        <w:rPr>
          <w:rFonts w:ascii="Arial" w:hAnsi="Arial" w:cs="Arial"/>
          <w:noProof/>
          <w:sz w:val="22"/>
        </w:rPr>
        <w:t xml:space="preserve">Monserud, R. a. &amp; Sterba, H. (1999) Modeling individual tree mortality for Austrian forest species. </w:t>
      </w:r>
      <w:r w:rsidRPr="00560D45">
        <w:rPr>
          <w:rFonts w:ascii="Arial" w:hAnsi="Arial" w:cs="Arial"/>
          <w:i/>
          <w:iCs/>
          <w:noProof/>
          <w:sz w:val="22"/>
        </w:rPr>
        <w:t>Forest Ecology and Management</w:t>
      </w:r>
      <w:r w:rsidRPr="00560D45">
        <w:rPr>
          <w:rFonts w:ascii="Arial" w:hAnsi="Arial" w:cs="Arial"/>
          <w:noProof/>
          <w:sz w:val="22"/>
        </w:rPr>
        <w:t xml:space="preserve">, </w:t>
      </w:r>
      <w:r w:rsidRPr="00560D45">
        <w:rPr>
          <w:rFonts w:ascii="Arial" w:hAnsi="Arial" w:cs="Arial"/>
          <w:b/>
          <w:bCs/>
          <w:noProof/>
          <w:sz w:val="22"/>
        </w:rPr>
        <w:t>113</w:t>
      </w:r>
      <w:r w:rsidRPr="00560D45">
        <w:rPr>
          <w:rFonts w:ascii="Arial" w:hAnsi="Arial" w:cs="Arial"/>
          <w:noProof/>
          <w:sz w:val="22"/>
        </w:rPr>
        <w:t>, 109–123.</w:t>
      </w:r>
    </w:p>
    <w:p w:rsidR="00210A49" w:rsidRPr="00E94C26" w:rsidRDefault="00F262DF" w:rsidP="00560D45">
      <w:pPr>
        <w:pStyle w:val="NormalWeb"/>
        <w:ind w:left="480" w:hanging="480"/>
        <w:divId w:val="2135635554"/>
        <w:rPr>
          <w:rFonts w:ascii="Arial" w:hAnsi="Arial" w:cs="Arial"/>
        </w:rPr>
      </w:pPr>
      <w:r>
        <w:rPr>
          <w:rFonts w:ascii="Arial" w:hAnsi="Arial" w:cs="Arial"/>
        </w:rPr>
        <w:fldChar w:fldCharType="end"/>
      </w:r>
    </w:p>
    <w:sectPr w:rsidR="00210A49" w:rsidRPr="00E9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AE4EE5"/>
    <w:multiLevelType w:val="hybridMultilevel"/>
    <w:tmpl w:val="0030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210A49"/>
    <w:rsid w:val="0024119F"/>
    <w:rsid w:val="00560D45"/>
    <w:rsid w:val="00707775"/>
    <w:rsid w:val="00D1587D"/>
    <w:rsid w:val="00DB2877"/>
    <w:rsid w:val="00E94C26"/>
    <w:rsid w:val="00EB1B07"/>
    <w:rsid w:val="00EC3673"/>
    <w:rsid w:val="00EC5CC9"/>
    <w:rsid w:val="00F06791"/>
    <w:rsid w:val="00F262DF"/>
    <w:rsid w:val="00F35515"/>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5C0EC-5D96-41DA-8473-CF75DD54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7</cp:revision>
  <dcterms:created xsi:type="dcterms:W3CDTF">2015-03-27T10:14:00Z</dcterms:created>
  <dcterms:modified xsi:type="dcterms:W3CDTF">2015-03-27T16:58:00Z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http://csl.mendeley.com/styles/4604571/elsevier-harvard</vt:lpwstr>
  </property>
  <property fmtid="{D5CDD505-2E9C-101B-9397-08002B2CF9AE}" pid="14" name="Mendeley Recent Style Name 4_1">
    <vt:lpwstr>Elsevier Harvard (with titles) - Philip Martin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