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FA7178">
      <w:pPr>
        <w:spacing w:line="360" w:lineRule="auto"/>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210A49" w:rsidRPr="00E94C26" w:rsidRDefault="00210A49" w:rsidP="00FA7178">
      <w:pPr>
        <w:spacing w:line="360" w:lineRule="auto"/>
        <w:rPr>
          <w:rFonts w:ascii="Arial" w:hAnsi="Arial" w:cs="Arial"/>
        </w:rPr>
      </w:pPr>
    </w:p>
    <w:p w:rsidR="00210A49" w:rsidRDefault="00210A49" w:rsidP="00FA7178">
      <w:pPr>
        <w:spacing w:line="360" w:lineRule="auto"/>
        <w:rPr>
          <w:rFonts w:ascii="Arial" w:hAnsi="Arial" w:cs="Arial"/>
          <w:b/>
        </w:rPr>
      </w:pPr>
      <w:r w:rsidRPr="00E94C26">
        <w:rPr>
          <w:rFonts w:ascii="Arial" w:hAnsi="Arial" w:cs="Arial"/>
          <w:b/>
        </w:rPr>
        <w:t>Introduction</w:t>
      </w:r>
    </w:p>
    <w:p w:rsidR="00654F32" w:rsidRDefault="00654F32" w:rsidP="00654F32">
      <w:pPr>
        <w:pStyle w:val="ListParagraph"/>
        <w:numPr>
          <w:ilvl w:val="0"/>
          <w:numId w:val="8"/>
        </w:numPr>
        <w:spacing w:line="360" w:lineRule="auto"/>
        <w:rPr>
          <w:rFonts w:ascii="Arial" w:hAnsi="Arial" w:cs="Arial"/>
        </w:rPr>
      </w:pPr>
      <w:r w:rsidRPr="00654F32">
        <w:rPr>
          <w:rFonts w:ascii="Arial" w:hAnsi="Arial" w:cs="Arial"/>
        </w:rPr>
        <w:t xml:space="preserve">Mortality </w:t>
      </w:r>
      <w:r>
        <w:rPr>
          <w:rFonts w:ascii="Arial" w:hAnsi="Arial" w:cs="Arial"/>
        </w:rPr>
        <w:t>and recruitment are vital for understanding forest dynamics and recent studies have suggested alteration of both</w:t>
      </w:r>
    </w:p>
    <w:p w:rsidR="00F75EED" w:rsidRPr="00F75EED" w:rsidRDefault="000547AC" w:rsidP="006F5186">
      <w:pPr>
        <w:spacing w:line="360" w:lineRule="auto"/>
        <w:ind w:left="360"/>
        <w:rPr>
          <w:rFonts w:ascii="Arial" w:hAnsi="Arial" w:cs="Arial"/>
        </w:rPr>
      </w:pPr>
      <w:r>
        <w:rPr>
          <w:rFonts w:ascii="Arial" w:hAnsi="Arial" w:cs="Arial"/>
        </w:rPr>
        <w:t>An understanding of what influences t</w:t>
      </w:r>
      <w:r w:rsidR="00F75EED" w:rsidRPr="00F75EED">
        <w:rPr>
          <w:rFonts w:ascii="Arial" w:hAnsi="Arial" w:cs="Arial"/>
        </w:rPr>
        <w:t xml:space="preserve">ree mortality and recruitment </w:t>
      </w:r>
      <w:r>
        <w:rPr>
          <w:rFonts w:ascii="Arial" w:hAnsi="Arial" w:cs="Arial"/>
        </w:rPr>
        <w:t>is</w:t>
      </w:r>
      <w:r w:rsidR="00F75EED" w:rsidRPr="00F75EED">
        <w:rPr>
          <w:rFonts w:ascii="Arial" w:hAnsi="Arial" w:cs="Arial"/>
        </w:rPr>
        <w:t xml:space="preserve"> </w:t>
      </w:r>
      <w:r>
        <w:rPr>
          <w:rFonts w:ascii="Arial" w:hAnsi="Arial" w:cs="Arial"/>
        </w:rPr>
        <w:t>vital</w:t>
      </w:r>
      <w:r w:rsidR="00F75EED" w:rsidRPr="00F75EED">
        <w:rPr>
          <w:rFonts w:ascii="Arial" w:hAnsi="Arial" w:cs="Arial"/>
        </w:rPr>
        <w:t xml:space="preserve"> to </w:t>
      </w:r>
      <w:r>
        <w:rPr>
          <w:rFonts w:ascii="Arial" w:hAnsi="Arial" w:cs="Arial"/>
        </w:rPr>
        <w:t>understanding</w:t>
      </w:r>
      <w:r w:rsidR="00F75EED">
        <w:rPr>
          <w:rFonts w:ascii="Arial" w:hAnsi="Arial" w:cs="Arial"/>
        </w:rPr>
        <w:t xml:space="preserve"> forest dynamics. </w:t>
      </w:r>
      <w:r>
        <w:rPr>
          <w:rFonts w:ascii="Arial" w:hAnsi="Arial" w:cs="Arial"/>
        </w:rPr>
        <w:t>I</w:t>
      </w:r>
      <w:r w:rsidR="00343C56">
        <w:rPr>
          <w:rFonts w:ascii="Arial" w:hAnsi="Arial" w:cs="Arial"/>
        </w:rPr>
        <w:t>As a result of changes in fire regimes, increases in water deficit</w:t>
      </w:r>
      <w:r>
        <w:rPr>
          <w:rFonts w:ascii="Arial" w:hAnsi="Arial" w:cs="Arial"/>
        </w:rPr>
        <w:t xml:space="preserve"> and nov</w:t>
      </w:r>
      <w:r w:rsidR="00343C56">
        <w:rPr>
          <w:rFonts w:ascii="Arial" w:hAnsi="Arial" w:cs="Arial"/>
        </w:rPr>
        <w:t>el pests and pathogens numerous r</w:t>
      </w:r>
      <w:r w:rsidR="006F5186">
        <w:rPr>
          <w:rFonts w:ascii="Arial" w:hAnsi="Arial" w:cs="Arial"/>
        </w:rPr>
        <w:t xml:space="preserve">ecent </w:t>
      </w:r>
      <w:r w:rsidR="00343C56">
        <w:rPr>
          <w:rFonts w:ascii="Arial" w:hAnsi="Arial" w:cs="Arial"/>
        </w:rPr>
        <w:t>studies</w:t>
      </w:r>
      <w:r w:rsidR="006F5186">
        <w:rPr>
          <w:rFonts w:ascii="Arial" w:hAnsi="Arial" w:cs="Arial"/>
        </w:rPr>
        <w:t xml:space="preserve"> </w:t>
      </w:r>
      <w:r w:rsidR="00343C56">
        <w:rPr>
          <w:rFonts w:ascii="Arial" w:hAnsi="Arial" w:cs="Arial"/>
        </w:rPr>
        <w:t>have shown</w:t>
      </w:r>
      <w:r w:rsidR="006F5186">
        <w:rPr>
          <w:rFonts w:ascii="Arial" w:hAnsi="Arial" w:cs="Arial"/>
        </w:rPr>
        <w:t xml:space="preserve"> increases in </w:t>
      </w:r>
      <w:r w:rsidR="001F0817">
        <w:rPr>
          <w:rFonts w:ascii="Arial" w:hAnsi="Arial" w:cs="Arial"/>
        </w:rPr>
        <w:t>tree</w:t>
      </w:r>
      <w:r w:rsidR="00343C56">
        <w:rPr>
          <w:rFonts w:ascii="Arial" w:hAnsi="Arial" w:cs="Arial"/>
        </w:rPr>
        <w:t xml:space="preserve"> mortality</w:t>
      </w:r>
      <w:r w:rsidR="001F0817">
        <w:rPr>
          <w:rFonts w:ascii="Arial" w:hAnsi="Arial" w:cs="Arial"/>
        </w:rPr>
        <w:t xml:space="preserve"> </w:t>
      </w:r>
      <w:r w:rsidR="006F5186">
        <w:rPr>
          <w:rFonts w:ascii="Arial" w:hAnsi="Arial" w:cs="Arial"/>
        </w:rPr>
        <w:t xml:space="preserve">and </w:t>
      </w:r>
      <w:r w:rsidR="00343C56">
        <w:rPr>
          <w:rFonts w:ascii="Arial" w:hAnsi="Arial" w:cs="Arial"/>
        </w:rPr>
        <w:t>reductions</w:t>
      </w:r>
      <w:r w:rsidR="006F5186">
        <w:rPr>
          <w:rFonts w:ascii="Arial" w:hAnsi="Arial" w:cs="Arial"/>
        </w:rPr>
        <w:t xml:space="preserve"> in recruitment </w:t>
      </w:r>
      <w:r w:rsidR="001F0817">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"http://www.mendeley.com/documents/?uuid=5ab7675e-ea13-45d1-bae2-6700e544fc00" ] }, { "id" : "ITEM-3",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"ITEM-3",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"(van Mantgem &lt;i&gt;et al.&lt;/i&gt; 2009; Peng &lt;i&gt;et al.&lt;/i&gt; 2011; Mcintyre &lt;i&gt;et al.&lt;/i&gt; 2014)", "plainTextFormattedCitation" : "(van Mantgem et al. 2009; Peng et al. 2011; Mcintyre et al. 2014)", "previouslyFormattedCitation" : "(van Mantgem &lt;i&gt;et al.&lt;/i&gt; 2009; Peng &lt;i&gt;et al.&lt;/i&gt; 2011; Mcintyre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lang w:val="es-ES_tradnl"/>
        </w:rPr>
        <w:t xml:space="preserve">(van Mantgem </w:t>
      </w:r>
      <w:r w:rsidR="00343C56" w:rsidRPr="00343C56">
        <w:rPr>
          <w:rFonts w:ascii="Arial" w:hAnsi="Arial" w:cs="Arial"/>
          <w:i/>
          <w:noProof/>
          <w:lang w:val="es-ES_tradnl"/>
        </w:rPr>
        <w:t>et al.</w:t>
      </w:r>
      <w:r w:rsidR="00343C56" w:rsidRPr="00343C56">
        <w:rPr>
          <w:rFonts w:ascii="Arial" w:hAnsi="Arial" w:cs="Arial"/>
          <w:noProof/>
          <w:lang w:val="es-ES_tradnl"/>
        </w:rPr>
        <w:t xml:space="preserve"> 2009; Peng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2011; Mcintyre </w:t>
      </w:r>
      <w:r w:rsidR="00343C56" w:rsidRPr="00343C56">
        <w:rPr>
          <w:rFonts w:ascii="Arial" w:hAnsi="Arial" w:cs="Arial"/>
          <w:i/>
          <w:noProof/>
          <w:lang w:val="es-ES_tradnl"/>
        </w:rPr>
        <w:t>et al.</w:t>
      </w:r>
      <w:r w:rsidR="00343C56" w:rsidRPr="00343C56">
        <w:rPr>
          <w:rFonts w:ascii="Arial" w:hAnsi="Arial" w:cs="Arial"/>
          <w:noProof/>
          <w:lang w:val="es-ES_tradnl"/>
        </w:rPr>
        <w:t xml:space="preserve"> 2014)</w:t>
      </w:r>
      <w:r w:rsidR="001F0817">
        <w:rPr>
          <w:rFonts w:ascii="Arial" w:hAnsi="Arial" w:cs="Arial"/>
        </w:rPr>
        <w:fldChar w:fldCharType="end"/>
      </w:r>
      <w:r w:rsidR="006F5186" w:rsidRPr="00343C56">
        <w:rPr>
          <w:rFonts w:ascii="Arial" w:hAnsi="Arial" w:cs="Arial"/>
          <w:lang w:val="es-ES_tradnl"/>
        </w:rPr>
        <w:t xml:space="preserve">. </w:t>
      </w:r>
      <w:r w:rsidR="00F41B50">
        <w:rPr>
          <w:rFonts w:ascii="Arial" w:hAnsi="Arial" w:cs="Arial"/>
        </w:rPr>
        <w:t xml:space="preserve">In </w:t>
      </w:r>
      <w:r w:rsidR="006F5186">
        <w:rPr>
          <w:rFonts w:ascii="Arial" w:hAnsi="Arial" w:cs="Arial"/>
        </w:rPr>
        <w:t>forests</w:t>
      </w:r>
      <w:r w:rsidR="00F41B50">
        <w:rPr>
          <w:rFonts w:ascii="Arial" w:hAnsi="Arial" w:cs="Arial"/>
        </w:rPr>
        <w:t xml:space="preserve"> where individual species recruitment has not kept </w:t>
      </w:r>
      <w:r w:rsidR="001F0817">
        <w:rPr>
          <w:rFonts w:ascii="Arial" w:hAnsi="Arial" w:cs="Arial"/>
        </w:rPr>
        <w:t xml:space="preserve">pace with mortality, </w:t>
      </w:r>
      <w:r w:rsidR="006F5186">
        <w:rPr>
          <w:rFonts w:ascii="Arial" w:hAnsi="Arial" w:cs="Arial"/>
        </w:rPr>
        <w:t>such as in the Western USA</w:t>
      </w:r>
      <w:r w:rsidR="001F0817">
        <w:rPr>
          <w:rFonts w:ascii="Arial" w:hAnsi="Arial" w:cs="Arial"/>
        </w:rPr>
        <w:t>, this can lead to alteration of forest composition</w:t>
      </w:r>
      <w:r w:rsidR="00343C56">
        <w:rPr>
          <w:rFonts w:ascii="Arial" w:hAnsi="Arial" w:cs="Arial"/>
        </w:rPr>
        <w:t xml:space="preserve">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sidR="00F41B50">
        <w:rPr>
          <w:rFonts w:ascii="Arial" w:hAnsi="Arial" w:cs="Arial"/>
        </w:rPr>
        <w:t xml:space="preserve"> </w:t>
      </w:r>
      <w:r w:rsidR="006F5186">
        <w:rPr>
          <w:rFonts w:ascii="Arial" w:hAnsi="Arial" w:cs="Arial"/>
        </w:rPr>
        <w:t>Where mortality is particularly high</w:t>
      </w:r>
      <w:r w:rsidR="001F0817">
        <w:rPr>
          <w:rFonts w:ascii="Arial" w:hAnsi="Arial" w:cs="Arial"/>
        </w:rPr>
        <w:t>,</w:t>
      </w:r>
      <w:r w:rsidR="006F5186">
        <w:rPr>
          <w:rFonts w:ascii="Arial" w:hAnsi="Arial" w:cs="Arial"/>
        </w:rPr>
        <w:t xml:space="preserve"> as seen in </w:t>
      </w:r>
      <w:r w:rsidR="001F0817">
        <w:rPr>
          <w:rFonts w:ascii="Arial" w:hAnsi="Arial" w:cs="Arial"/>
        </w:rPr>
        <w:t>Eastern Amazonian forests where repeated fires have taken place</w:t>
      </w:r>
      <w:r w:rsidR="00343C56">
        <w:rPr>
          <w:rFonts w:ascii="Arial" w:hAnsi="Arial" w:cs="Arial"/>
        </w:rPr>
        <w:t>, this can result in shifts to relatively treeless states</w:t>
      </w:r>
      <w:r w:rsidR="001F0817">
        <w:rPr>
          <w:rFonts w:ascii="Arial" w:hAnsi="Arial" w:cs="Arial"/>
        </w:rPr>
        <w:t xml:space="preserve"> </w:t>
      </w:r>
      <w:r w:rsidR="001F0817">
        <w:rPr>
          <w:rFonts w:ascii="Arial" w:hAnsi="Arial" w:cs="Arial"/>
        </w:rPr>
        <w:fldChar w:fldCharType="begin" w:fldLock="1"/>
      </w:r>
      <w:r w:rsidR="005915D6">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343C56" w:rsidRPr="00343C56">
        <w:rPr>
          <w:rFonts w:ascii="Arial" w:hAnsi="Arial" w:cs="Arial"/>
          <w:noProof/>
        </w:rPr>
        <w:t xml:space="preserve">(Barlow &amp; Peres 2008; Brando </w:t>
      </w:r>
      <w:r w:rsidR="00343C56" w:rsidRPr="00343C56">
        <w:rPr>
          <w:rFonts w:ascii="Arial" w:hAnsi="Arial" w:cs="Arial"/>
          <w:i/>
          <w:noProof/>
        </w:rPr>
        <w:t>et al.</w:t>
      </w:r>
      <w:r w:rsidR="00343C56" w:rsidRPr="00343C56">
        <w:rPr>
          <w:rFonts w:ascii="Arial" w:hAnsi="Arial" w:cs="Arial"/>
          <w:noProof/>
        </w:rPr>
        <w:t xml:space="preserve"> 2014)</w:t>
      </w:r>
      <w:r w:rsidR="001F0817">
        <w:rPr>
          <w:rFonts w:ascii="Arial" w:hAnsi="Arial" w:cs="Arial"/>
        </w:rPr>
        <w:fldChar w:fldCharType="end"/>
      </w:r>
      <w:r w:rsidR="00F41B50">
        <w:rPr>
          <w:rFonts w:ascii="Arial" w:hAnsi="Arial" w:cs="Arial"/>
        </w:rPr>
        <w:t xml:space="preserve">. </w:t>
      </w:r>
      <w:r w:rsidR="006F5186">
        <w:rPr>
          <w:rFonts w:ascii="Arial" w:hAnsi="Arial" w:cs="Arial"/>
        </w:rPr>
        <w:t>Any such transition</w:t>
      </w:r>
      <w:r w:rsidR="00343C56">
        <w:rPr>
          <w:rFonts w:ascii="Arial" w:hAnsi="Arial" w:cs="Arial"/>
        </w:rPr>
        <w:t>s</w:t>
      </w:r>
      <w:r w:rsidR="006F5186">
        <w:rPr>
          <w:rFonts w:ascii="Arial" w:hAnsi="Arial" w:cs="Arial"/>
        </w:rPr>
        <w:t xml:space="preserve"> from forest to a non-forest ecosystem would </w:t>
      </w:r>
      <w:r w:rsidR="003B4207">
        <w:rPr>
          <w:rFonts w:ascii="Arial" w:hAnsi="Arial" w:cs="Arial"/>
        </w:rPr>
        <w:t xml:space="preserve">inevitably </w:t>
      </w:r>
      <w:r w:rsidR="006F5186">
        <w:rPr>
          <w:rFonts w:ascii="Arial" w:hAnsi="Arial" w:cs="Arial"/>
        </w:rPr>
        <w:t xml:space="preserve">result </w:t>
      </w:r>
      <w:r w:rsidR="003B4207">
        <w:rPr>
          <w:rFonts w:ascii="Arial" w:hAnsi="Arial" w:cs="Arial"/>
        </w:rPr>
        <w:t>in</w:t>
      </w:r>
      <w:r w:rsidR="006F5186">
        <w:rPr>
          <w:rFonts w:ascii="Arial" w:hAnsi="Arial" w:cs="Arial"/>
        </w:rPr>
        <w:t xml:space="preserve"> large </w:t>
      </w:r>
      <w:r w:rsidR="003B4207">
        <w:rPr>
          <w:rFonts w:ascii="Arial" w:hAnsi="Arial" w:cs="Arial"/>
        </w:rPr>
        <w:t xml:space="preserve">emissions of </w:t>
      </w:r>
      <w:r w:rsidR="006F5186">
        <w:rPr>
          <w:rFonts w:ascii="Arial" w:hAnsi="Arial" w:cs="Arial"/>
        </w:rPr>
        <w:t xml:space="preserve">carbon as well as potentially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p>
    <w:p w:rsidR="00F75EED" w:rsidRDefault="00F75EED" w:rsidP="00654F32">
      <w:pPr>
        <w:pStyle w:val="ListParagraph"/>
        <w:numPr>
          <w:ilvl w:val="0"/>
          <w:numId w:val="8"/>
        </w:numPr>
        <w:spacing w:line="360" w:lineRule="auto"/>
        <w:rPr>
          <w:rFonts w:ascii="Arial" w:hAnsi="Arial" w:cs="Arial"/>
        </w:rPr>
      </w:pPr>
      <w:r>
        <w:rPr>
          <w:rFonts w:ascii="Arial" w:hAnsi="Arial" w:cs="Arial"/>
        </w:rPr>
        <w:t>Identification of what drives tree recruitment and mortality could aid production of indicators of resilience</w:t>
      </w:r>
    </w:p>
    <w:p w:rsidR="003B4207" w:rsidRDefault="00343C56" w:rsidP="00E55003">
      <w:pPr>
        <w:spacing w:line="360" w:lineRule="auto"/>
        <w:ind w:left="360"/>
        <w:rPr>
          <w:rFonts w:ascii="Arial" w:hAnsi="Arial" w:cs="Arial"/>
        </w:rPr>
      </w:pPr>
      <w:r>
        <w:rPr>
          <w:rFonts w:ascii="Arial" w:hAnsi="Arial" w:cs="Arial"/>
        </w:rPr>
        <w:t xml:space="preserve">While numerous studies </w:t>
      </w:r>
      <w:r w:rsidR="000547AC">
        <w:rPr>
          <w:rFonts w:ascii="Arial" w:hAnsi="Arial" w:cs="Arial"/>
        </w:rPr>
        <w:t>have</w:t>
      </w:r>
      <w:bookmarkStart w:id="0" w:name="_GoBack"/>
      <w:bookmarkEnd w:id="0"/>
      <w:r>
        <w:rPr>
          <w:rFonts w:ascii="Arial" w:hAnsi="Arial" w:cs="Arial"/>
        </w:rPr>
        <w:t xml:space="preserve"> details of increases in mortality over recent decades relatively few </w:t>
      </w:r>
      <w:r w:rsidR="005915D6">
        <w:rPr>
          <w:rFonts w:ascii="Arial" w:hAnsi="Arial" w:cs="Arial"/>
        </w:rPr>
        <w:t xml:space="preserve">identify what factors determine the likelihood of tree death when a transition is occurring.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in the event of disturbance larger trees are likely to be more prone to death than small or intermediate trees and this </w:t>
      </w:r>
      <w:commentRangeStart w:id="1"/>
      <w:r w:rsidR="005915D6">
        <w:rPr>
          <w:rFonts w:ascii="Arial" w:hAnsi="Arial" w:cs="Arial"/>
        </w:rPr>
        <w:t xml:space="preserve">appears to be true in many cases where transitions to non-forest states are occurring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w:t>
      </w:r>
      <w:commentRangeEnd w:id="1"/>
      <w:r w:rsidR="004A5CBE">
        <w:rPr>
          <w:rStyle w:val="CommentReference"/>
        </w:rPr>
        <w:commentReference w:id="1"/>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w:t>
      </w:r>
      <w:r w:rsidR="00E55003">
        <w:rPr>
          <w:rFonts w:ascii="Arial" w:hAnsi="Arial" w:cs="Arial"/>
        </w:rPr>
        <w:t xml:space="preserve">the </w:t>
      </w:r>
      <w:r w:rsidR="004A5CBE">
        <w:rPr>
          <w:rFonts w:ascii="Arial" w:hAnsi="Arial" w:cs="Arial"/>
        </w:rPr>
        <w:t xml:space="preserve">light reaching the forest floor their loss may have important consequences for </w:t>
      </w:r>
      <w:r w:rsidR="00E55003">
        <w:rPr>
          <w:rFonts w:ascii="Arial" w:hAnsi="Arial" w:cs="Arial"/>
        </w:rPr>
        <w:t xml:space="preserve">recruitment. In addition to tree size it has been widely seen that </w:t>
      </w:r>
      <w:r w:rsidR="00B93215">
        <w:rPr>
          <w:rFonts w:ascii="Arial" w:hAnsi="Arial" w:cs="Arial"/>
        </w:rPr>
        <w:t xml:space="preserve">slow growing trees tend to have increased risk of mortality. This observation may be particularly useful in the context of forests at risk of transitions to non-forest states since it may serve as an early warning indicator of low resilience </w:t>
      </w:r>
      <w:r w:rsidR="00B93215">
        <w:rPr>
          <w:rFonts w:ascii="Arial" w:hAnsi="Arial" w:cs="Arial"/>
        </w:rPr>
        <w:fldChar w:fldCharType="begin" w:fldLock="1"/>
      </w:r>
      <w:r w:rsidR="009578E6">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F75EED" w:rsidRDefault="00F75EED" w:rsidP="00654F32">
      <w:pPr>
        <w:pStyle w:val="ListParagraph"/>
        <w:numPr>
          <w:ilvl w:val="0"/>
          <w:numId w:val="8"/>
        </w:numPr>
        <w:spacing w:line="360" w:lineRule="auto"/>
        <w:rPr>
          <w:rFonts w:ascii="Arial" w:hAnsi="Arial" w:cs="Arial"/>
        </w:rPr>
      </w:pPr>
      <w:r>
        <w:rPr>
          <w:rFonts w:ascii="Arial" w:hAnsi="Arial" w:cs="Arial"/>
        </w:rPr>
        <w:t>In addition there is a potential in systems that positive feedbacks can drive system transitions</w:t>
      </w:r>
    </w:p>
    <w:p w:rsidR="007B1610" w:rsidRDefault="00B93215" w:rsidP="00B93215">
      <w:pPr>
        <w:spacing w:line="360" w:lineRule="auto"/>
        <w:rPr>
          <w:rFonts w:ascii="Arial" w:hAnsi="Arial" w:cs="Arial"/>
        </w:rPr>
      </w:pPr>
      <w:r>
        <w:rPr>
          <w:rFonts w:ascii="Arial" w:hAnsi="Arial" w:cs="Arial"/>
        </w:rPr>
        <w:lastRenderedPageBreak/>
        <w:t>Positive feedbacks are important for maintaining ecosystems in their state. For example</w:t>
      </w:r>
      <w:r w:rsidR="009578E6">
        <w:rPr>
          <w:rFonts w:ascii="Arial" w:hAnsi="Arial" w:cs="Arial"/>
        </w:rPr>
        <w:t>,</w:t>
      </w:r>
      <w:r>
        <w:rPr>
          <w:rFonts w:ascii="Arial" w:hAnsi="Arial" w:cs="Arial"/>
        </w:rPr>
        <w:t xml:space="preserve"> in forests the presence of a canopy maintains relatively moist, dark conditions on the forest floor</w:t>
      </w:r>
      <w:r w:rsidR="0013537F">
        <w:rPr>
          <w:rFonts w:ascii="Arial" w:hAnsi="Arial" w:cs="Arial"/>
        </w:rPr>
        <w:t xml:space="preserve"> which results in relatively low ground flora biomass. However, </w:t>
      </w:r>
      <w:r w:rsidR="007B1610">
        <w:rPr>
          <w:rFonts w:ascii="Arial" w:hAnsi="Arial" w:cs="Arial"/>
        </w:rPr>
        <w:t xml:space="preserve">unfavourable positive feedbacks </w:t>
      </w:r>
      <w:r w:rsidR="0013537F">
        <w:rPr>
          <w:rFonts w:ascii="Arial" w:hAnsi="Arial" w:cs="Arial"/>
        </w:rPr>
        <w:t xml:space="preserve">ecosystems </w:t>
      </w:r>
      <w:r w:rsidR="007B1610">
        <w:rPr>
          <w:rFonts w:ascii="Arial" w:hAnsi="Arial" w:cs="Arial"/>
        </w:rPr>
        <w:t xml:space="preserve">can cause </w:t>
      </w:r>
      <w:r w:rsidR="0013537F">
        <w:rPr>
          <w:rFonts w:ascii="Arial" w:hAnsi="Arial" w:cs="Arial"/>
        </w:rPr>
        <w:t>transition from one state to another</w:t>
      </w:r>
      <w:r w:rsidR="007B1610">
        <w:rPr>
          <w:rFonts w:ascii="Arial" w:hAnsi="Arial" w:cs="Arial"/>
        </w:rPr>
        <w:t xml:space="preserve"> </w:t>
      </w:r>
      <w:r w:rsidR="009578E6">
        <w:rPr>
          <w:rFonts w:ascii="Arial" w:hAnsi="Arial" w:cs="Arial"/>
        </w:rPr>
        <w:t>such as when forest canopies</w:t>
      </w:r>
      <w:r w:rsidR="007B1610" w:rsidRPr="007B1610">
        <w:rPr>
          <w:rFonts w:ascii="Arial" w:hAnsi="Arial" w:cs="Arial"/>
        </w:rPr>
        <w:t xml:space="preserve"> </w:t>
      </w:r>
      <w:r w:rsidR="009578E6">
        <w:rPr>
          <w:rFonts w:ascii="Arial" w:hAnsi="Arial" w:cs="Arial"/>
        </w:rPr>
        <w:t>are</w:t>
      </w:r>
      <w:r w:rsidR="007B1610" w:rsidRPr="007B1610">
        <w:rPr>
          <w:rFonts w:ascii="Arial" w:hAnsi="Arial" w:cs="Arial"/>
        </w:rPr>
        <w:t xml:space="preserve"> disturbed lead</w:t>
      </w:r>
      <w:r w:rsidR="009578E6">
        <w:rPr>
          <w:rFonts w:ascii="Arial" w:hAnsi="Arial" w:cs="Arial"/>
        </w:rPr>
        <w:t>ing</w:t>
      </w:r>
      <w:r w:rsidR="007B1610" w:rsidRPr="007B1610">
        <w:rPr>
          <w:rFonts w:ascii="Arial" w:hAnsi="Arial" w:cs="Arial"/>
        </w:rPr>
        <w:t xml:space="preserve"> to </w:t>
      </w:r>
      <w:r w:rsidR="009578E6">
        <w:rPr>
          <w:rFonts w:ascii="Arial" w:hAnsi="Arial" w:cs="Arial"/>
        </w:rPr>
        <w:t>reduced</w:t>
      </w:r>
      <w:r w:rsidR="007B1610" w:rsidRPr="007B1610">
        <w:rPr>
          <w:rFonts w:ascii="Arial" w:hAnsi="Arial" w:cs="Arial"/>
        </w:rPr>
        <w:t xml:space="preserve"> seedling recruitment </w:t>
      </w:r>
      <w:r w:rsidR="009578E6">
        <w:rPr>
          <w:rFonts w:ascii="Arial" w:hAnsi="Arial" w:cs="Arial"/>
        </w:rPr>
        <w:t xml:space="preserve">and invasion by grasses and shrubs in Mediterranean climates </w:t>
      </w:r>
      <w:r w:rsidR="009578E6">
        <w:rPr>
          <w:rFonts w:ascii="Arial" w:hAnsi="Arial" w:cs="Arial"/>
        </w:rPr>
        <w:fldChar w:fldCharType="begin" w:fldLock="1"/>
      </w:r>
      <w:r w:rsidR="000547AC">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9578E6">
        <w:rPr>
          <w:rFonts w:ascii="Arial" w:hAnsi="Arial" w:cs="Arial"/>
        </w:rPr>
        <w:fldChar w:fldCharType="separate"/>
      </w:r>
      <w:r w:rsidR="009578E6" w:rsidRPr="009578E6">
        <w:rPr>
          <w:rFonts w:ascii="Arial" w:hAnsi="Arial" w:cs="Arial"/>
          <w:noProof/>
        </w:rPr>
        <w:t xml:space="preserve">(Acácio </w:t>
      </w:r>
      <w:r w:rsidR="009578E6" w:rsidRPr="009578E6">
        <w:rPr>
          <w:rFonts w:ascii="Arial" w:hAnsi="Arial" w:cs="Arial"/>
          <w:i/>
          <w:noProof/>
        </w:rPr>
        <w:t>et al.</w:t>
      </w:r>
      <w:r w:rsidR="009578E6" w:rsidRPr="009578E6">
        <w:rPr>
          <w:rFonts w:ascii="Arial" w:hAnsi="Arial" w:cs="Arial"/>
          <w:noProof/>
        </w:rPr>
        <w:t xml:space="preserve"> 2007)</w:t>
      </w:r>
      <w:r w:rsidR="009578E6">
        <w:rPr>
          <w:rFonts w:ascii="Arial" w:hAnsi="Arial" w:cs="Arial"/>
        </w:rPr>
        <w:fldChar w:fldCharType="end"/>
      </w:r>
      <w:r w:rsidR="009578E6">
        <w:rPr>
          <w:rFonts w:ascii="Arial" w:hAnsi="Arial" w:cs="Arial"/>
        </w:rPr>
        <w:t>. Positive feedback can also occur between different drivers such as when degradation and fragmentation increase</w:t>
      </w:r>
      <w:r w:rsidR="000547AC">
        <w:rPr>
          <w:rFonts w:ascii="Arial" w:hAnsi="Arial" w:cs="Arial"/>
        </w:rPr>
        <w:t xml:space="preserve"> fire risk in forest </w:t>
      </w:r>
      <w:r w:rsidR="000547AC">
        <w:rPr>
          <w:rFonts w:ascii="Arial" w:hAnsi="Arial" w:cs="Arial"/>
        </w:rPr>
        <w:fldChar w:fldCharType="begin" w:fldLock="1"/>
      </w:r>
      <w:r w:rsidR="000547AC">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(Benchimol &amp; Peres 2015)</w:t>
      </w:r>
      <w:r w:rsidR="000547AC">
        <w:rPr>
          <w:rFonts w:ascii="Arial" w:hAnsi="Arial" w:cs="Arial"/>
        </w:rPr>
        <w:fldChar w:fldCharType="end"/>
      </w:r>
      <w:r w:rsidR="000547AC">
        <w:rPr>
          <w:rFonts w:ascii="Arial" w:hAnsi="Arial" w:cs="Arial"/>
        </w:rPr>
        <w:t xml:space="preserve">. However, feedbacks such as these can occur at multiple different scales and thus can be difficult to identify </w:t>
      </w:r>
      <w:r w:rsidR="000547AC">
        <w:rPr>
          <w:rFonts w:ascii="Arial" w:hAnsi="Arial" w:cs="Arial"/>
        </w:rPr>
        <w:fldChar w:fldCharType="begin" w:fldLock="1"/>
      </w:r>
      <w:r w:rsidR="000547AC">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 xml:space="preserve">(Reyer </w:t>
      </w:r>
      <w:r w:rsidR="000547AC" w:rsidRPr="000547AC">
        <w:rPr>
          <w:rFonts w:ascii="Arial" w:hAnsi="Arial" w:cs="Arial"/>
          <w:i/>
          <w:noProof/>
        </w:rPr>
        <w:t>et al.</w:t>
      </w:r>
      <w:r w:rsidR="000547AC" w:rsidRPr="000547AC">
        <w:rPr>
          <w:rFonts w:ascii="Arial" w:hAnsi="Arial" w:cs="Arial"/>
          <w:noProof/>
        </w:rPr>
        <w:t xml:space="preserve"> 2015)</w:t>
      </w:r>
      <w:r w:rsidR="000547AC">
        <w:rPr>
          <w:rFonts w:ascii="Arial" w:hAnsi="Arial" w:cs="Arial"/>
        </w:rPr>
        <w:fldChar w:fldCharType="end"/>
      </w:r>
      <w:r w:rsidR="000547AC">
        <w:rPr>
          <w:rFonts w:ascii="Arial" w:hAnsi="Arial" w:cs="Arial"/>
        </w:rPr>
        <w:t>.</w:t>
      </w:r>
    </w:p>
    <w:p w:rsidR="00F75EED" w:rsidRDefault="00F75EED" w:rsidP="00654F32">
      <w:pPr>
        <w:pStyle w:val="ListParagraph"/>
        <w:numPr>
          <w:ilvl w:val="0"/>
          <w:numId w:val="8"/>
        </w:numPr>
        <w:spacing w:line="360" w:lineRule="auto"/>
        <w:rPr>
          <w:rFonts w:ascii="Arial" w:hAnsi="Arial" w:cs="Arial"/>
        </w:rPr>
      </w:pPr>
      <w:r>
        <w:rPr>
          <w:rFonts w:ascii="Arial" w:hAnsi="Arial" w:cs="Arial"/>
        </w:rPr>
        <w:t>Though there are numerous studies on forests in a state of transition to relatively treeless states few investigate the processes that affect individual trees to cause such changes.</w:t>
      </w:r>
    </w:p>
    <w:p w:rsidR="00E94C26" w:rsidRPr="00E94C26" w:rsidRDefault="002E1A3D" w:rsidP="00FA7178">
      <w:pPr>
        <w:spacing w:line="360" w:lineRule="auto"/>
        <w:rPr>
          <w:rFonts w:ascii="Arial" w:hAnsi="Arial" w:cs="Arial"/>
          <w:b/>
        </w:rPr>
      </w:pPr>
      <w:r>
        <w:rPr>
          <w:rFonts w:ascii="Arial" w:hAnsi="Arial" w:cs="Arial"/>
          <w:b/>
        </w:rPr>
        <w:t>Statement of aims</w:t>
      </w:r>
    </w:p>
    <w:p w:rsidR="002E1A3D" w:rsidRDefault="002E1A3D" w:rsidP="002E1A3D">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2E1A3D" w:rsidP="002E1A3D">
      <w:pPr>
        <w:pStyle w:val="ListParagraph"/>
        <w:numPr>
          <w:ilvl w:val="0"/>
          <w:numId w:val="7"/>
        </w:numPr>
        <w:spacing w:line="360" w:lineRule="auto"/>
        <w:rPr>
          <w:rFonts w:ascii="Arial" w:hAnsi="Arial" w:cs="Arial"/>
        </w:rPr>
      </w:pPr>
      <w:r>
        <w:rPr>
          <w:rFonts w:ascii="Arial" w:hAnsi="Arial" w:cs="Arial"/>
        </w:rPr>
        <w:t>To test the factors what influenced seedling and sapling density to enable an understanding of recruitment</w:t>
      </w:r>
    </w:p>
    <w:p w:rsidR="00654F32" w:rsidRDefault="00654F32" w:rsidP="002E1A3D">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2E1A3D">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654F32">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654F32">
      <w:pPr>
        <w:pStyle w:val="ListParagraph"/>
        <w:numPr>
          <w:ilvl w:val="1"/>
          <w:numId w:val="7"/>
        </w:numPr>
        <w:spacing w:line="360" w:lineRule="auto"/>
        <w:rPr>
          <w:rFonts w:ascii="Arial" w:hAnsi="Arial" w:cs="Arial"/>
        </w:rPr>
      </w:pPr>
    </w:p>
    <w:p w:rsidR="00E94C26" w:rsidRPr="00E94C26" w:rsidRDefault="00E94C26" w:rsidP="00FA7178">
      <w:pPr>
        <w:spacing w:line="360" w:lineRule="auto"/>
        <w:rPr>
          <w:rFonts w:ascii="Arial" w:hAnsi="Arial" w:cs="Arial"/>
          <w:b/>
        </w:rPr>
      </w:pPr>
      <w:r w:rsidRPr="00E94C26">
        <w:rPr>
          <w:rFonts w:ascii="Arial" w:hAnsi="Arial" w:cs="Arial"/>
          <w:b/>
        </w:rPr>
        <w:t>Hypotheses</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Mortality likelihood is u-shaped in relation to tree size</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FA7178">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FA7178">
      <w:pPr>
        <w:spacing w:line="360" w:lineRule="auto"/>
        <w:rPr>
          <w:rFonts w:ascii="Arial" w:hAnsi="Arial" w:cs="Arial"/>
        </w:rPr>
      </w:pPr>
    </w:p>
    <w:p w:rsidR="00210A49" w:rsidRDefault="00210A49" w:rsidP="00FA7178">
      <w:pPr>
        <w:spacing w:line="360" w:lineRule="auto"/>
        <w:rPr>
          <w:rFonts w:ascii="Arial" w:hAnsi="Arial" w:cs="Arial"/>
          <w:b/>
        </w:rPr>
      </w:pPr>
      <w:r w:rsidRPr="00E94C26">
        <w:rPr>
          <w:rFonts w:ascii="Arial" w:hAnsi="Arial" w:cs="Arial"/>
          <w:b/>
        </w:rPr>
        <w:lastRenderedPageBreak/>
        <w:t>Methods</w:t>
      </w:r>
    </w:p>
    <w:p w:rsidR="00FA7178" w:rsidRPr="00FA7178" w:rsidRDefault="00FA7178" w:rsidP="00FA7178">
      <w:pPr>
        <w:spacing w:line="360" w:lineRule="auto"/>
        <w:rPr>
          <w:rFonts w:ascii="Arial" w:hAnsi="Arial" w:cs="Arial"/>
          <w:b/>
        </w:rPr>
      </w:pPr>
      <w:r w:rsidRPr="00FA7178">
        <w:rPr>
          <w:rFonts w:ascii="Arial" w:hAnsi="Arial" w:cs="Arial"/>
          <w:b/>
        </w:rPr>
        <w:t>Site history and characteristics</w:t>
      </w:r>
    </w:p>
    <w:p w:rsidR="00FA7178" w:rsidRPr="00FA7178" w:rsidRDefault="00FA7178" w:rsidP="00FA7178">
      <w:pPr>
        <w:spacing w:line="360" w:lineRule="auto"/>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xml:space="preserve">. (1999) and </w:t>
      </w:r>
      <w:proofErr w:type="spellStart"/>
      <w:r w:rsidRPr="00FA7178">
        <w:rPr>
          <w:rFonts w:ascii="Arial" w:hAnsi="Arial" w:cs="Arial"/>
        </w:rPr>
        <w:t>Mountford</w:t>
      </w:r>
      <w:proofErr w:type="spellEnd"/>
      <w:r w:rsidRPr="00FA7178">
        <w:rPr>
          <w:rFonts w:ascii="Arial" w:hAnsi="Arial" w:cs="Arial"/>
        </w:rPr>
        <w:t xml:space="preserve"> and </w:t>
      </w:r>
      <w:proofErr w:type="spellStart"/>
      <w:r w:rsidRPr="00FA7178">
        <w:rPr>
          <w:rFonts w:ascii="Arial" w:hAnsi="Arial" w:cs="Arial"/>
        </w:rPr>
        <w:t>Peterken</w:t>
      </w:r>
      <w:proofErr w:type="spellEnd"/>
      <w:r w:rsidRPr="00FA7178">
        <w:rPr>
          <w:rFonts w:ascii="Arial" w:hAnsi="Arial" w:cs="Arial"/>
        </w:rPr>
        <w:t xml:space="preserve"> (2003),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proofErr w:type="spellStart"/>
      <w:r w:rsidRPr="00FA7178">
        <w:rPr>
          <w:rFonts w:ascii="Arial" w:hAnsi="Arial" w:cs="Arial"/>
          <w:lang w:eastAsia="en-GB"/>
        </w:rPr>
        <w:t>understorey</w:t>
      </w:r>
      <w:proofErr w:type="spellEnd"/>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Other tree species present at lower frequencies include apple (</w:t>
      </w:r>
      <w:proofErr w:type="spellStart"/>
      <w:r w:rsidRPr="00FA7178">
        <w:rPr>
          <w:rFonts w:ascii="Arial" w:hAnsi="Arial" w:cs="Arial"/>
          <w:i/>
          <w:iCs/>
          <w:lang w:eastAsia="en-GB"/>
        </w:rPr>
        <w:t>Malus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sylvestris</w:t>
      </w:r>
      <w:proofErr w:type="spellEnd"/>
      <w:r w:rsidRPr="00FA7178">
        <w:rPr>
          <w:rFonts w:ascii="Arial" w:hAnsi="Arial" w:cs="Arial"/>
          <w:lang w:eastAsia="en-GB"/>
        </w:rPr>
        <w:t>), ash (</w:t>
      </w:r>
      <w:proofErr w:type="spellStart"/>
      <w:r w:rsidRPr="00FA7178">
        <w:rPr>
          <w:rFonts w:ascii="Arial" w:hAnsi="Arial" w:cs="Arial"/>
          <w:i/>
          <w:iCs/>
          <w:lang w:eastAsia="en-GB"/>
        </w:rPr>
        <w:t>Fraxinus</w:t>
      </w:r>
      <w:proofErr w:type="spellEnd"/>
      <w:r w:rsidRPr="00FA7178">
        <w:rPr>
          <w:rFonts w:ascii="Arial" w:hAnsi="Arial" w:cs="Arial"/>
          <w:i/>
          <w:iCs/>
          <w:lang w:eastAsia="en-GB"/>
        </w:rPr>
        <w:t xml:space="preserve"> excelsior</w:t>
      </w:r>
      <w:r w:rsidRPr="00FA7178">
        <w:rPr>
          <w:rFonts w:ascii="Arial" w:hAnsi="Arial" w:cs="Arial"/>
          <w:iCs/>
          <w:lang w:eastAsia="en-GB"/>
        </w:rPr>
        <w:t>)</w:t>
      </w:r>
      <w:r w:rsidRPr="00FA7178">
        <w:rPr>
          <w:rFonts w:ascii="Arial" w:hAnsi="Arial" w:cs="Arial"/>
          <w:lang w:eastAsia="en-GB"/>
        </w:rPr>
        <w:t>, blackthorn (</w:t>
      </w:r>
      <w:proofErr w:type="spellStart"/>
      <w:r w:rsidRPr="00FA7178">
        <w:rPr>
          <w:rFonts w:ascii="Arial" w:hAnsi="Arial" w:cs="Arial"/>
          <w:i/>
          <w:iCs/>
          <w:lang w:eastAsia="en-GB"/>
        </w:rPr>
        <w:t>Prunus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spinosa</w:t>
      </w:r>
      <w:proofErr w:type="spellEnd"/>
      <w:r w:rsidRPr="00FA7178">
        <w:rPr>
          <w:rFonts w:ascii="Arial" w:hAnsi="Arial" w:cs="Arial"/>
          <w:iCs/>
          <w:lang w:eastAsia="en-GB"/>
        </w:rPr>
        <w:t>)</w:t>
      </w:r>
      <w:r w:rsidRPr="00FA7178">
        <w:rPr>
          <w:rFonts w:ascii="Arial" w:hAnsi="Arial" w:cs="Arial"/>
          <w:lang w:eastAsia="en-GB"/>
        </w:rPr>
        <w:t>, alder buckthorn (</w:t>
      </w:r>
      <w:proofErr w:type="spellStart"/>
      <w:r w:rsidRPr="00FA7178">
        <w:rPr>
          <w:rFonts w:ascii="Arial" w:hAnsi="Arial" w:cs="Arial"/>
          <w:i/>
          <w:iCs/>
          <w:lang w:eastAsia="en-GB"/>
        </w:rPr>
        <w:t>Frangula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alnus</w:t>
      </w:r>
      <w:proofErr w:type="spellEnd"/>
      <w:r w:rsidRPr="00FA7178">
        <w:rPr>
          <w:rFonts w:ascii="Arial" w:hAnsi="Arial" w:cs="Arial"/>
          <w:iCs/>
          <w:lang w:eastAsia="en-GB"/>
        </w:rPr>
        <w:t>)</w:t>
      </w:r>
      <w:r w:rsidRPr="00FA7178">
        <w:rPr>
          <w:rFonts w:ascii="Arial" w:hAnsi="Arial" w:cs="Arial"/>
          <w:lang w:eastAsia="en-GB"/>
        </w:rPr>
        <w:t>, hawthorn (</w:t>
      </w:r>
      <w:proofErr w:type="spellStart"/>
      <w:r w:rsidRPr="00FA7178">
        <w:rPr>
          <w:rFonts w:ascii="Arial" w:hAnsi="Arial" w:cs="Arial"/>
          <w:i/>
          <w:iCs/>
          <w:lang w:eastAsia="en-GB"/>
        </w:rPr>
        <w:t>Crataegus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monogyna</w:t>
      </w:r>
      <w:proofErr w:type="spellEnd"/>
      <w:r w:rsidRPr="00FA7178">
        <w:rPr>
          <w:rFonts w:ascii="Arial" w:hAnsi="Arial" w:cs="Arial"/>
          <w:iCs/>
          <w:lang w:eastAsia="en-GB"/>
        </w:rPr>
        <w:t>)</w:t>
      </w:r>
      <w:r w:rsidRPr="00FA7178">
        <w:rPr>
          <w:rFonts w:ascii="Arial" w:hAnsi="Arial" w:cs="Arial"/>
          <w:lang w:eastAsia="en-GB"/>
        </w:rPr>
        <w:t>, sycamore (</w:t>
      </w:r>
      <w:r w:rsidRPr="00FA7178">
        <w:rPr>
          <w:rFonts w:ascii="Arial" w:hAnsi="Arial" w:cs="Arial"/>
          <w:i/>
          <w:iCs/>
          <w:lang w:eastAsia="en-GB"/>
        </w:rPr>
        <w:t xml:space="preserve">Acer </w:t>
      </w:r>
      <w:proofErr w:type="spellStart"/>
      <w:r w:rsidRPr="00FA7178">
        <w:rPr>
          <w:rFonts w:ascii="Arial" w:hAnsi="Arial" w:cs="Arial"/>
          <w:i/>
          <w:iCs/>
          <w:lang w:eastAsia="en-GB"/>
        </w:rPr>
        <w:t>pseudoplatanus</w:t>
      </w:r>
      <w:proofErr w:type="spellEnd"/>
      <w:r w:rsidRPr="00FA7178">
        <w:rPr>
          <w:rFonts w:ascii="Arial" w:hAnsi="Arial" w:cs="Arial"/>
          <w:lang w:eastAsia="en-GB"/>
        </w:rPr>
        <w:t>), rowan (</w:t>
      </w:r>
      <w:proofErr w:type="spellStart"/>
      <w:r w:rsidRPr="00FA7178">
        <w:rPr>
          <w:rFonts w:ascii="Arial" w:hAnsi="Arial" w:cs="Arial"/>
          <w:i/>
          <w:iCs/>
          <w:lang w:eastAsia="en-GB"/>
        </w:rPr>
        <w:t>Sorbus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aucuparia</w:t>
      </w:r>
      <w:proofErr w:type="spellEnd"/>
      <w:r w:rsidRPr="00FA7178">
        <w:rPr>
          <w:rFonts w:ascii="Arial" w:hAnsi="Arial" w:cs="Arial"/>
          <w:iCs/>
          <w:lang w:eastAsia="en-GB"/>
        </w:rPr>
        <w:t>)</w:t>
      </w:r>
      <w:r w:rsidRPr="00FA7178">
        <w:rPr>
          <w:rFonts w:ascii="Arial" w:hAnsi="Arial" w:cs="Arial"/>
          <w:lang w:eastAsia="en-GB"/>
        </w:rPr>
        <w:t>, willow (</w:t>
      </w:r>
      <w:r w:rsidRPr="00FA7178">
        <w:rPr>
          <w:rFonts w:ascii="Arial" w:hAnsi="Arial" w:cs="Arial"/>
          <w:i/>
          <w:iCs/>
          <w:lang w:eastAsia="en-GB"/>
        </w:rPr>
        <w:t xml:space="preserve">Salix </w:t>
      </w:r>
      <w:proofErr w:type="spellStart"/>
      <w:r w:rsidRPr="00FA7178">
        <w:rPr>
          <w:rFonts w:ascii="Arial" w:hAnsi="Arial" w:cs="Arial"/>
          <w:i/>
          <w:iCs/>
          <w:lang w:eastAsia="en-GB"/>
        </w:rPr>
        <w:t>caprea</w:t>
      </w:r>
      <w:proofErr w:type="spellEnd"/>
      <w:r w:rsidRPr="00FA7178">
        <w:rPr>
          <w:rFonts w:ascii="Arial" w:hAnsi="Arial" w:cs="Arial"/>
          <w:i/>
          <w:iCs/>
          <w:lang w:eastAsia="en-GB"/>
        </w:rPr>
        <w:t xml:space="preserve">, S. </w:t>
      </w:r>
      <w:proofErr w:type="spellStart"/>
      <w:r w:rsidRPr="00FA7178">
        <w:rPr>
          <w:rFonts w:ascii="Arial" w:hAnsi="Arial" w:cs="Arial"/>
          <w:i/>
          <w:iCs/>
          <w:lang w:eastAsia="en-GB"/>
        </w:rPr>
        <w:t>cinerea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lang w:eastAsia="en-GB"/>
        </w:rPr>
        <w:t>and yew (</w:t>
      </w:r>
      <w:proofErr w:type="spellStart"/>
      <w:r w:rsidRPr="00FA7178">
        <w:rPr>
          <w:rFonts w:ascii="Arial" w:hAnsi="Arial" w:cs="Arial"/>
          <w:i/>
          <w:lang w:eastAsia="en-GB"/>
        </w:rPr>
        <w:t>T</w:t>
      </w:r>
      <w:r w:rsidRPr="00FA7178">
        <w:rPr>
          <w:rFonts w:ascii="Arial" w:hAnsi="Arial" w:cs="Arial"/>
          <w:i/>
          <w:iCs/>
          <w:lang w:eastAsia="en-GB"/>
        </w:rPr>
        <w:t>axus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baccata</w:t>
      </w:r>
      <w:proofErr w:type="spellEnd"/>
      <w:r w:rsidRPr="00FA7178">
        <w:rPr>
          <w:rFonts w:ascii="Arial" w:hAnsi="Arial" w:cs="Arial"/>
          <w:iCs/>
          <w:lang w:eastAsia="en-GB"/>
        </w:rPr>
        <w:t>)</w:t>
      </w:r>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Pr="00FA7178">
        <w:rPr>
          <w:rFonts w:ascii="Arial" w:hAnsi="Arial" w:cs="Arial"/>
          <w:lang w:eastAsia="en-GB"/>
        </w:rPr>
        <w:t xml:space="preserve">are also locally abundant. </w:t>
      </w:r>
    </w:p>
    <w:p w:rsidR="00FA7178" w:rsidRPr="00FA7178" w:rsidRDefault="00FA7178" w:rsidP="00FA7178">
      <w:pPr>
        <w:spacing w:line="360" w:lineRule="auto"/>
        <w:rPr>
          <w:rFonts w:ascii="Arial" w:hAnsi="Arial" w:cs="Arial"/>
          <w:lang w:eastAsia="en-GB"/>
        </w:rPr>
      </w:pPr>
      <w:r w:rsidRPr="00FA7178">
        <w:rPr>
          <w:rFonts w:ascii="Arial" w:hAnsi="Arial" w:cs="Arial"/>
          <w:lang w:eastAsia="en-GB"/>
        </w:rPr>
        <w:t xml:space="preserve">The New Forest is characterised by high herbivore pressure owing to large populations of deer and free-roaming livestock (principally ponies and cattle), owing to its history as a Royal Forest and the long-term maintenance of a traditional </w:t>
      </w:r>
      <w:proofErr w:type="spellStart"/>
      <w:r w:rsidRPr="00FA7178">
        <w:rPr>
          <w:rFonts w:ascii="Arial" w:hAnsi="Arial" w:cs="Arial"/>
          <w:lang w:eastAsia="en-GB"/>
        </w:rPr>
        <w:t>commoning</w:t>
      </w:r>
      <w:proofErr w:type="spellEnd"/>
      <w:r w:rsidRPr="00FA7178">
        <w:rPr>
          <w:rFonts w:ascii="Arial" w:hAnsi="Arial" w:cs="Arial"/>
          <w:lang w:eastAsia="en-GB"/>
        </w:rPr>
        <w:t xml:space="preserve"> system (Newton 2011, Newton et al. 2013). Although the site surveyed here has largely been untouched by </w:t>
      </w:r>
      <w:proofErr w:type="spellStart"/>
      <w:r w:rsidRPr="00FA7178">
        <w:rPr>
          <w:rFonts w:ascii="Arial" w:hAnsi="Arial" w:cs="Arial"/>
          <w:lang w:eastAsia="en-GB"/>
        </w:rPr>
        <w:t>silvicultural</w:t>
      </w:r>
      <w:proofErr w:type="spellEnd"/>
      <w:r w:rsidRPr="00FA7178">
        <w:rPr>
          <w:rFonts w:ascii="Arial" w:hAnsi="Arial" w:cs="Arial"/>
          <w:lang w:eastAsia="en-GB"/>
        </w:rPr>
        <w:t xml:space="preserve"> treatment, since 1870 it has been divided into two portions, one of which was enclosed by fencing (Denny </w:t>
      </w:r>
      <w:proofErr w:type="spellStart"/>
      <w:r w:rsidRPr="00FA7178">
        <w:rPr>
          <w:rFonts w:ascii="Arial" w:hAnsi="Arial" w:cs="Arial"/>
          <w:lang w:eastAsia="en-GB"/>
        </w:rPr>
        <w:t>Inclosure</w:t>
      </w:r>
      <w:proofErr w:type="spellEnd"/>
      <w:r w:rsidRPr="00FA7178">
        <w:rPr>
          <w:rFonts w:ascii="Arial" w:hAnsi="Arial" w:cs="Arial"/>
          <w:lang w:eastAsia="en-GB"/>
        </w:rPr>
        <w:t>) to exclude livestock, but not deer. Although browsing pressure is likely to have been higher in the unenclosed part of the site during the early 20</w:t>
      </w:r>
      <w:r w:rsidRPr="00FA7178">
        <w:rPr>
          <w:rFonts w:ascii="Arial" w:hAnsi="Arial" w:cs="Arial"/>
          <w:vertAlign w:val="superscript"/>
          <w:lang w:eastAsia="en-GB"/>
        </w:rPr>
        <w:t>th</w:t>
      </w:r>
      <w:r w:rsidRPr="00FA7178">
        <w:rPr>
          <w:rFonts w:ascii="Arial" w:hAnsi="Arial" w:cs="Arial"/>
          <w:lang w:eastAsia="en-GB"/>
        </w:rPr>
        <w:t xml:space="preserve"> century, since the 1960s browsing pressure has been high in both parts, though with different main herbivores (ponies in the unenclosed part; deer in the enclosed)</w:t>
      </w:r>
      <w:r w:rsidRPr="00FA7178">
        <w:rPr>
          <w:rFonts w:ascii="Arial" w:hAnsi="Arial" w:cs="Arial"/>
        </w:rPr>
        <w:t xml:space="preserve"> (</w:t>
      </w:r>
      <w:proofErr w:type="spellStart"/>
      <w:r w:rsidRPr="00FA7178">
        <w:rPr>
          <w:rFonts w:ascii="Arial" w:hAnsi="Arial" w:cs="Arial"/>
        </w:rPr>
        <w:t>Mountford</w:t>
      </w:r>
      <w:proofErr w:type="spellEnd"/>
      <w:r w:rsidRPr="00FA7178">
        <w:rPr>
          <w:rFonts w:ascii="Arial" w:hAnsi="Arial" w:cs="Arial"/>
        </w:rPr>
        <w:t xml:space="preserve"> and </w:t>
      </w:r>
      <w:proofErr w:type="spellStart"/>
      <w:r w:rsidRPr="00FA7178">
        <w:rPr>
          <w:rFonts w:ascii="Arial" w:hAnsi="Arial" w:cs="Arial"/>
        </w:rPr>
        <w:t>Peterken</w:t>
      </w:r>
      <w:proofErr w:type="spellEnd"/>
      <w:r w:rsidRPr="00FA7178">
        <w:rPr>
          <w:rFonts w:ascii="Arial" w:hAnsi="Arial" w:cs="Arial"/>
        </w:rPr>
        <w:t xml:space="preserve"> 2003)</w:t>
      </w:r>
      <w:r w:rsidRPr="00FA7178">
        <w:rPr>
          <w:rFonts w:ascii="Arial" w:hAnsi="Arial" w:cs="Arial"/>
          <w:lang w:eastAsia="en-GB"/>
        </w:rPr>
        <w:t>.</w:t>
      </w:r>
    </w:p>
    <w:p w:rsidR="00E94C26" w:rsidRDefault="00E94C26" w:rsidP="00FA7178">
      <w:pPr>
        <w:pStyle w:val="ListParagraph"/>
        <w:numPr>
          <w:ilvl w:val="0"/>
          <w:numId w:val="5"/>
        </w:numPr>
        <w:spacing w:line="360" w:lineRule="auto"/>
        <w:rPr>
          <w:rFonts w:ascii="Arial" w:hAnsi="Arial" w:cs="Arial"/>
        </w:rPr>
      </w:pPr>
      <w:r>
        <w:rPr>
          <w:rFonts w:ascii="Arial" w:hAnsi="Arial" w:cs="Arial"/>
        </w:rPr>
        <w:t>Data were collected from 1964-2014 with each tree marked and given an ID number and at each time period DBH and status were assessed.</w:t>
      </w:r>
    </w:p>
    <w:p w:rsidR="0024119F" w:rsidRDefault="0024119F" w:rsidP="00FA7178">
      <w:pPr>
        <w:spacing w:line="360" w:lineRule="auto"/>
        <w:rPr>
          <w:rFonts w:ascii="Arial" w:hAnsi="Arial" w:cs="Arial"/>
        </w:rPr>
      </w:pPr>
      <w:r w:rsidRPr="0024119F">
        <w:rPr>
          <w:rFonts w:ascii="Arial" w:hAnsi="Arial" w:cs="Arial"/>
        </w:rPr>
        <w:t xml:space="preserve">Measurements were conducted in two 20 m-wide transects, which were originally established in the 1950s. The first of these was established in Denny </w:t>
      </w:r>
      <w:proofErr w:type="spellStart"/>
      <w:r w:rsidRPr="0024119F">
        <w:rPr>
          <w:rFonts w:ascii="Arial" w:hAnsi="Arial" w:cs="Arial"/>
        </w:rPr>
        <w:t>Inclosure</w:t>
      </w:r>
      <w:proofErr w:type="spellEnd"/>
      <w:r w:rsidRPr="0024119F">
        <w:rPr>
          <w:rFonts w:ascii="Arial" w:hAnsi="Arial" w:cs="Arial"/>
        </w:rPr>
        <w:t xml:space="preserve"> and was 1 km in length, whereas a shorter transect of 320 m length was established in the unenclosed part of Denny Wood. </w:t>
      </w:r>
      <w:proofErr w:type="gramStart"/>
      <w:r w:rsidRPr="0024119F">
        <w:rPr>
          <w:rFonts w:ascii="Arial" w:hAnsi="Arial" w:cs="Arial"/>
        </w:rPr>
        <w:t>The transects</w:t>
      </w:r>
      <w:proofErr w:type="gramEnd"/>
      <w:r w:rsidRPr="0024119F">
        <w:rPr>
          <w:rFonts w:ascii="Arial" w:hAnsi="Arial" w:cs="Arial"/>
        </w:rPr>
        <w:t xml:space="preserve"> were subdivided into contiguous 20 x 20 m (0.04 ha) subplots, with the longer transect containing 51 subplots and the shorter transect 20. The </w:t>
      </w:r>
      <w:r w:rsidRPr="0024119F">
        <w:rPr>
          <w:rFonts w:ascii="Arial" w:hAnsi="Arial" w:cs="Arial"/>
        </w:rPr>
        <w:lastRenderedPageBreak/>
        <w:t xml:space="preserve">enclosed transect was surveyed in 1964, 1984, 1988, 1996 and 2014, while the unenclosed transect was surveyed in 1964, 1999 and 2014. Details of earlier measurements are presented by </w:t>
      </w:r>
      <w:proofErr w:type="spellStart"/>
      <w:r w:rsidRPr="0024119F">
        <w:rPr>
          <w:rFonts w:ascii="Arial" w:hAnsi="Arial" w:cs="Arial"/>
        </w:rPr>
        <w:t>Mountford</w:t>
      </w:r>
      <w:proofErr w:type="spellEnd"/>
      <w:r w:rsidRPr="0024119F">
        <w:rPr>
          <w:rFonts w:ascii="Arial" w:hAnsi="Arial" w:cs="Arial"/>
        </w:rPr>
        <w:t xml:space="preserve"> et al. (1999) 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 Martin et al. (2015)</w:t>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measuring tapes, and their status assessed as either alive or dead. </w:t>
      </w:r>
      <w:r>
        <w:rPr>
          <w:rFonts w:ascii="Arial" w:hAnsi="Arial" w:cs="Arial"/>
        </w:rPr>
        <w:t xml:space="preserve">Each stem &gt;1.3m height was given a unique ID number to allow changes in individual trees to be tracked. </w:t>
      </w:r>
    </w:p>
    <w:p w:rsidR="00E94C26" w:rsidRDefault="00E94C26" w:rsidP="00FA7178">
      <w:pPr>
        <w:pStyle w:val="ListParagraph"/>
        <w:numPr>
          <w:ilvl w:val="0"/>
          <w:numId w:val="5"/>
        </w:numPr>
        <w:spacing w:line="360" w:lineRule="auto"/>
        <w:rPr>
          <w:rFonts w:ascii="Arial" w:hAnsi="Arial" w:cs="Arial"/>
        </w:rPr>
      </w:pPr>
      <w:r>
        <w:rPr>
          <w:rFonts w:ascii="Arial" w:hAnsi="Arial" w:cs="Arial"/>
        </w:rPr>
        <w:t xml:space="preserve">Binomial mixed effects models were used to assess factors influencing likelihood of tree death using workflow similar to Chao et al in which alternative variables (e.g. DBH, BA </w:t>
      </w:r>
      <w:proofErr w:type="spellStart"/>
      <w:r>
        <w:rPr>
          <w:rFonts w:ascii="Arial" w:hAnsi="Arial" w:cs="Arial"/>
        </w:rPr>
        <w:t>etc</w:t>
      </w:r>
      <w:proofErr w:type="spellEnd"/>
      <w:r>
        <w:rPr>
          <w:rFonts w:ascii="Arial" w:hAnsi="Arial" w:cs="Arial"/>
        </w:rPr>
        <w:t>) were tested against each other and then included in the model</w:t>
      </w:r>
    </w:p>
    <w:p w:rsidR="00F35515" w:rsidRDefault="00F35515" w:rsidP="00F35515">
      <w:pPr>
        <w:spacing w:line="360" w:lineRule="auto"/>
        <w:rPr>
          <w:rFonts w:ascii="Arial" w:hAnsi="Arial" w:cs="Arial"/>
        </w:rPr>
      </w:pPr>
      <w:r>
        <w:rPr>
          <w:rFonts w:ascii="Arial" w:hAnsi="Arial" w:cs="Arial"/>
        </w:rPr>
        <w:t xml:space="preserve">Statistical models of individual tree mortality were developed using logistic mixed effects models, which describe the probability that a tree dies in a given period of time. </w:t>
      </w:r>
    </w:p>
    <w:p w:rsidR="00F35515" w:rsidRDefault="00F35515" w:rsidP="00F35515">
      <w:pPr>
        <w:spacing w:line="360" w:lineRule="auto"/>
        <w:rPr>
          <w:rFonts w:ascii="Arial" w:hAnsi="Arial" w:cs="Arial"/>
        </w:rPr>
      </w:pPr>
      <w:r>
        <w:rPr>
          <w:rFonts w:ascii="Arial" w:hAnsi="Arial" w:cs="Arial"/>
        </w:rPr>
        <w:t xml:space="preserve">For this model we tested </w:t>
      </w:r>
      <w:r w:rsidR="00F06791">
        <w:rPr>
          <w:rFonts w:ascii="Arial" w:hAnsi="Arial" w:cs="Arial"/>
        </w:rPr>
        <w:t xml:space="preserve">only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F06791">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predictors classified into 3 groups: (i) tree size, (ii) tree growth, </w:t>
      </w:r>
      <w:r w:rsidR="00F06791">
        <w:rPr>
          <w:rFonts w:ascii="Arial" w:hAnsi="Arial" w:cs="Arial"/>
        </w:rPr>
        <w:t xml:space="preserve">(iii) proximity to dead trees. Tree size represented diameter based measurement prior to death, specifically diameter at breast height, basal area and relative size. Tree growth was based on measurements of diameter at two separate time periods prior to death and represented both relative and absolute growth rates. </w:t>
      </w:r>
      <w:r w:rsidR="00F262DF">
        <w:rPr>
          <w:rFonts w:ascii="Arial" w:hAnsi="Arial" w:cs="Arial"/>
        </w:rPr>
        <w:t xml:space="preserve">Proximity to dead trees related to the prior to death distance of an individual tree to a dead tree or the abundance of dead trees in a 10m buffer. </w:t>
      </w:r>
      <w:r w:rsidR="00F06791">
        <w:rPr>
          <w:rFonts w:ascii="Arial" w:hAnsi="Arial" w:cs="Arial"/>
        </w:rPr>
        <w:t xml:space="preserve">In step 2 we selected the best predictor for each group using </w:t>
      </w:r>
      <w:proofErr w:type="spellStart"/>
      <w:r w:rsidR="00F06791">
        <w:rPr>
          <w:rFonts w:ascii="Arial" w:hAnsi="Arial" w:cs="Arial"/>
        </w:rPr>
        <w:t>univariate</w:t>
      </w:r>
      <w:proofErr w:type="spellEnd"/>
      <w:r w:rsidR="00F06791">
        <w:rPr>
          <w:rFonts w:ascii="Arial" w:hAnsi="Arial" w:cs="Arial"/>
        </w:rPr>
        <w:t xml:space="preserve"> logistic mixed effects models using </w:t>
      </w:r>
      <w:proofErr w:type="spellStart"/>
      <w:r w:rsidR="00F06791">
        <w:rPr>
          <w:rFonts w:ascii="Arial" w:hAnsi="Arial" w:cs="Arial"/>
        </w:rPr>
        <w:t>AICc</w:t>
      </w:r>
      <w:proofErr w:type="spellEnd"/>
      <w:r w:rsidR="00F06791">
        <w:rPr>
          <w:rFonts w:ascii="Arial" w:hAnsi="Arial" w:cs="Arial"/>
        </w:rPr>
        <w:t xml:space="preserve"> values </w:t>
      </w:r>
      <w:r w:rsidR="00F06791">
        <w:rPr>
          <w:rFonts w:ascii="Arial" w:hAnsi="Arial" w:cs="Arial"/>
        </w:rPr>
        <w:fldChar w:fldCharType="begin" w:fldLock="1"/>
      </w:r>
      <w:r w:rsidR="001F0817">
        <w:rPr>
          <w:rFonts w:ascii="Arial" w:hAnsi="Arial" w:cs="Arial"/>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F06791">
        <w:rPr>
          <w:rFonts w:ascii="Arial" w:hAnsi="Arial" w:cs="Arial"/>
        </w:rPr>
        <w:fldChar w:fldCharType="separate"/>
      </w:r>
      <w:r w:rsidR="00F06791" w:rsidRPr="00F06791">
        <w:rPr>
          <w:rFonts w:ascii="Arial" w:hAnsi="Arial" w:cs="Arial"/>
          <w:noProof/>
        </w:rPr>
        <w:t>(Burnham &amp; Anderson 2002)</w:t>
      </w:r>
      <w:r w:rsidR="00F06791">
        <w:rPr>
          <w:rFonts w:ascii="Arial" w:hAnsi="Arial" w:cs="Arial"/>
        </w:rPr>
        <w:fldChar w:fldCharType="end"/>
      </w:r>
      <w:r w:rsidR="00F06791">
        <w:rPr>
          <w:rFonts w:ascii="Arial" w:hAnsi="Arial" w:cs="Arial"/>
        </w:rPr>
        <w:t>. 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F35515">
      <w:pPr>
        <w:spacing w:line="360" w:lineRule="auto"/>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undertaken 5 times from 1964-2015 with a mean (± SD) census interval period of 12.5 ± 6.7 years.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non-overlapping census periods: 1984-1988, 1988-1996 and 1996-2014 (mean census period 10 ± 5.9 years). </w:t>
      </w:r>
      <w:r w:rsidR="00707775">
        <w:rPr>
          <w:rFonts w:ascii="Arial" w:eastAsiaTheme="minorEastAsia" w:hAnsi="Arial" w:cs="Arial"/>
        </w:rPr>
        <w:t>To correct for the variation in census interval a random effect was included in models to identify census period.</w:t>
      </w:r>
    </w:p>
    <w:p w:rsidR="00560D45" w:rsidRDefault="00707775" w:rsidP="00707775">
      <w:pPr>
        <w:spacing w:line="360" w:lineRule="auto"/>
        <w:rPr>
          <w:rFonts w:ascii="Arial" w:eastAsiaTheme="minorEastAsia" w:hAnsi="Arial" w:cs="Arial"/>
        </w:rPr>
      </w:pPr>
      <w:r>
        <w:rPr>
          <w:rFonts w:ascii="Arial" w:eastAsiaTheme="minorEastAsia" w:hAnsi="Arial" w:cs="Arial"/>
        </w:rPr>
        <w:lastRenderedPageBreak/>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707775" w:rsidRPr="00012079" w:rsidRDefault="00707775" w:rsidP="00707775">
      <w:pPr>
        <w:spacing w:line="360" w:lineRule="auto"/>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m:t>
              </m:r>
              <m:r>
                <w:rPr>
                  <w:rFonts w:ascii="Cambria Math" w:eastAsiaTheme="minorEastAsia" w:hAnsi="Cambria Math" w:cs="Arial"/>
                </w:rPr>
                <m:t xml:space="preserve">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707775" w:rsidRDefault="00560D45" w:rsidP="00707775">
      <w:pPr>
        <w:spacing w:line="360" w:lineRule="auto"/>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sidR="001F0817">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F35515">
      <w:pPr>
        <w:spacing w:line="360" w:lineRule="auto"/>
        <w:rPr>
          <w:rFonts w:ascii="Arial" w:eastAsiaTheme="minorEastAsia" w:hAnsi="Arial" w:cs="Arial"/>
        </w:rPr>
      </w:pPr>
      <w:r>
        <w:rPr>
          <w:rFonts w:ascii="Arial" w:eastAsiaTheme="minorEastAsia" w:hAnsi="Arial" w:cs="Arial"/>
        </w:rPr>
        <w:t xml:space="preserve">Tree growth rate metrics used were: (i) </w:t>
      </w:r>
      <w:r w:rsidR="00EB1B07">
        <w:rPr>
          <w:rFonts w:ascii="Arial" w:eastAsiaTheme="minorEastAsia" w:hAnsi="Arial" w:cs="Arial"/>
        </w:rPr>
        <w:t>Annual diameter growth rate (mm year</w:t>
      </w:r>
      <w:r w:rsidR="00EB1B07">
        <w:rPr>
          <w:rFonts w:ascii="Arial" w:eastAsiaTheme="minorEastAsia" w:hAnsi="Arial" w:cs="Arial"/>
          <w:vertAlign w:val="superscript"/>
        </w:rPr>
        <w:t>-1</w:t>
      </w:r>
      <w:r w:rsidR="00EB1B07">
        <w:rPr>
          <w:rFonts w:ascii="Arial" w:eastAsiaTheme="minorEastAsia" w:hAnsi="Arial" w:cs="Arial"/>
        </w:rPr>
        <w:t>) calculated as:</w:t>
      </w:r>
    </w:p>
    <w:p w:rsidR="00EB1B07" w:rsidRPr="00012079" w:rsidRDefault="00EB1B07" w:rsidP="00F35515">
      <w:pPr>
        <w:spacing w:line="360" w:lineRule="auto"/>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EB1B07" w:rsidRDefault="00EB1B07" w:rsidP="00F35515">
      <w:pPr>
        <w:spacing w:line="360" w:lineRule="auto"/>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EB1B07">
      <w:pPr>
        <w:spacing w:line="360" w:lineRule="auto"/>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EB1B07" w:rsidRDefault="00EB1B07" w:rsidP="00EB1B07">
      <w:pPr>
        <w:spacing w:line="360" w:lineRule="auto"/>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EB1B07" w:rsidRPr="00012079" w:rsidRDefault="00EB1B07" w:rsidP="00EB1B07">
      <w:pPr>
        <w:spacing w:line="360" w:lineRule="auto"/>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EB1B07" w:rsidRDefault="00EB1B07" w:rsidP="00EB1B07">
      <w:pPr>
        <w:spacing w:line="360" w:lineRule="auto"/>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012079" w:rsidRPr="00012079" w:rsidRDefault="00012079" w:rsidP="00012079">
      <w:pPr>
        <w:spacing w:line="360" w:lineRule="auto"/>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F35515">
      <w:pPr>
        <w:spacing w:line="360" w:lineRule="auto"/>
        <w:rPr>
          <w:rFonts w:ascii="Arial" w:eastAsiaTheme="minorEastAsia" w:hAnsi="Arial" w:cs="Arial"/>
        </w:rPr>
      </w:pPr>
    </w:p>
    <w:p w:rsidR="00012079" w:rsidRPr="00F35515" w:rsidRDefault="00012079" w:rsidP="00F35515">
      <w:pPr>
        <w:spacing w:line="360" w:lineRule="auto"/>
        <w:rPr>
          <w:rFonts w:ascii="Arial"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xml:space="preserve">. Our rationale for focussing on dead trees ≥45cm DBH </w:t>
      </w:r>
      <w:r w:rsidR="00DB2877">
        <w:rPr>
          <w:rFonts w:ascii="Arial" w:eastAsiaTheme="minorEastAsia" w:hAnsi="Arial" w:cs="Arial"/>
        </w:rPr>
        <w:t xml:space="preserve">was </w:t>
      </w:r>
      <w:r>
        <w:rPr>
          <w:rFonts w:ascii="Arial" w:eastAsiaTheme="minorEastAsia" w:hAnsi="Arial" w:cs="Arial"/>
        </w:rPr>
        <w:t xml:space="preserve">that this </w:t>
      </w:r>
      <w:r>
        <w:rPr>
          <w:rFonts w:ascii="Arial" w:eastAsiaTheme="minorEastAsia" w:hAnsi="Arial" w:cs="Arial"/>
        </w:rPr>
        <w:lastRenderedPageBreak/>
        <w:t>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p>
    <w:p w:rsidR="00E94C26" w:rsidRDefault="00E94C26" w:rsidP="00FA7178">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F262DF" w:rsidRPr="00F262DF" w:rsidRDefault="00F262DF" w:rsidP="00F262DF">
      <w:pPr>
        <w:spacing w:line="360" w:lineRule="auto"/>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FA7178">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Pr="00E94C26" w:rsidRDefault="00210A49" w:rsidP="00FA7178">
      <w:pPr>
        <w:spacing w:line="360" w:lineRule="auto"/>
        <w:rPr>
          <w:rFonts w:ascii="Arial" w:hAnsi="Arial" w:cs="Arial"/>
        </w:rPr>
      </w:pPr>
      <w:r w:rsidRPr="00E94C26">
        <w:rPr>
          <w:rFonts w:ascii="Arial" w:hAnsi="Arial" w:cs="Arial"/>
          <w:b/>
        </w:rPr>
        <w:t>Results</w:t>
      </w:r>
    </w:p>
    <w:p w:rsidR="00210A49" w:rsidRPr="00E94C26" w:rsidRDefault="00210A49" w:rsidP="00FA7178">
      <w:pPr>
        <w:spacing w:line="360" w:lineRule="auto"/>
        <w:rPr>
          <w:rFonts w:ascii="Arial" w:hAnsi="Arial" w:cs="Arial"/>
          <w:b/>
        </w:rPr>
      </w:pPr>
      <w:r w:rsidRPr="00E94C26">
        <w:rPr>
          <w:rFonts w:ascii="Arial" w:hAnsi="Arial" w:cs="Arial"/>
          <w:b/>
        </w:rPr>
        <w:t>Discussion</w:t>
      </w:r>
    </w:p>
    <w:p w:rsidR="00210A49" w:rsidRPr="00F262DF" w:rsidRDefault="00210A49" w:rsidP="00FA7178">
      <w:pPr>
        <w:spacing w:line="360" w:lineRule="auto"/>
        <w:rPr>
          <w:rFonts w:ascii="Arial" w:hAnsi="Arial" w:cs="Arial"/>
          <w:b/>
        </w:rPr>
      </w:pPr>
      <w:r w:rsidRPr="00F262DF">
        <w:rPr>
          <w:rFonts w:ascii="Arial" w:hAnsi="Arial" w:cs="Arial"/>
          <w:b/>
        </w:rPr>
        <w:t>References</w:t>
      </w:r>
    </w:p>
    <w:p w:rsidR="000547AC" w:rsidRPr="000547AC" w:rsidRDefault="00F262DF">
      <w:pPr>
        <w:pStyle w:val="NormalWeb"/>
        <w:ind w:left="480" w:hanging="480"/>
        <w:divId w:val="422998894"/>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0547AC" w:rsidRPr="000547AC">
        <w:rPr>
          <w:rFonts w:ascii="Arial" w:hAnsi="Arial" w:cs="Arial"/>
          <w:noProof/>
          <w:sz w:val="22"/>
        </w:rPr>
        <w:t xml:space="preserve">Acácio, V., Holmgren, M., Jansen, P.A. &amp; Schrotter, O. (2007) Multiple Recruitment Limitation Causes Arrested Succession in Mediterranean Cork Oak Systems. </w:t>
      </w:r>
      <w:r w:rsidR="000547AC" w:rsidRPr="000547AC">
        <w:rPr>
          <w:rFonts w:ascii="Arial" w:hAnsi="Arial" w:cs="Arial"/>
          <w:i/>
          <w:iCs/>
          <w:noProof/>
          <w:sz w:val="22"/>
        </w:rPr>
        <w:t>Ecosystems</w:t>
      </w:r>
      <w:r w:rsidR="000547AC" w:rsidRPr="000547AC">
        <w:rPr>
          <w:rFonts w:ascii="Arial" w:hAnsi="Arial" w:cs="Arial"/>
          <w:noProof/>
          <w:sz w:val="22"/>
        </w:rPr>
        <w:t xml:space="preserve">, </w:t>
      </w:r>
      <w:r w:rsidR="000547AC" w:rsidRPr="000547AC">
        <w:rPr>
          <w:rFonts w:ascii="Arial" w:hAnsi="Arial" w:cs="Arial"/>
          <w:b/>
          <w:bCs/>
          <w:noProof/>
          <w:sz w:val="22"/>
        </w:rPr>
        <w:t>10</w:t>
      </w:r>
      <w:r w:rsidR="000547AC" w:rsidRPr="000547AC">
        <w:rPr>
          <w:rFonts w:ascii="Arial" w:hAnsi="Arial" w:cs="Arial"/>
          <w:noProof/>
          <w:sz w:val="22"/>
        </w:rPr>
        <w:t>, 1220–1230.</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Barlow, J. &amp; Peres, C. a. (2008) Fire-mediated dieback and compositional cascade in an Amazonian forest. </w:t>
      </w:r>
      <w:r w:rsidRPr="000547AC">
        <w:rPr>
          <w:rFonts w:ascii="Arial" w:hAnsi="Arial" w:cs="Arial"/>
          <w:i/>
          <w:iCs/>
          <w:noProof/>
          <w:sz w:val="22"/>
        </w:rPr>
        <w:t>Philosophical transactions of the Royal Society of London. Series B, Biological sciences</w:t>
      </w:r>
      <w:r w:rsidRPr="000547AC">
        <w:rPr>
          <w:rFonts w:ascii="Arial" w:hAnsi="Arial" w:cs="Arial"/>
          <w:noProof/>
          <w:sz w:val="22"/>
        </w:rPr>
        <w:t xml:space="preserve">, </w:t>
      </w:r>
      <w:r w:rsidRPr="000547AC">
        <w:rPr>
          <w:rFonts w:ascii="Arial" w:hAnsi="Arial" w:cs="Arial"/>
          <w:b/>
          <w:bCs/>
          <w:noProof/>
          <w:sz w:val="22"/>
        </w:rPr>
        <w:t>363</w:t>
      </w:r>
      <w:r w:rsidRPr="000547AC">
        <w:rPr>
          <w:rFonts w:ascii="Arial" w:hAnsi="Arial" w:cs="Arial"/>
          <w:noProof/>
          <w:sz w:val="22"/>
        </w:rPr>
        <w:t>, 1787–94.</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Barlow, J., Peres, C., Lagan, B. &amp; Haugaasen, T. (2002) Large tree mortality and the decline of forest biomass following Amazonian wildfires. </w:t>
      </w:r>
      <w:r w:rsidRPr="000547AC">
        <w:rPr>
          <w:rFonts w:ascii="Arial" w:hAnsi="Arial" w:cs="Arial"/>
          <w:i/>
          <w:iCs/>
          <w:noProof/>
          <w:sz w:val="22"/>
        </w:rPr>
        <w:t>Ecology letters</w:t>
      </w:r>
      <w:r w:rsidRPr="000547AC">
        <w:rPr>
          <w:rFonts w:ascii="Arial" w:hAnsi="Arial" w:cs="Arial"/>
          <w:noProof/>
          <w:sz w:val="22"/>
        </w:rPr>
        <w:t>, 6–8.</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Benchimol, M. &amp; Peres, C.A. (2015) Edge-mediated compositional and functional decay of tree assemblages in Amazonian forest islands after 26 years of isolation.</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0547AC">
        <w:rPr>
          <w:rFonts w:ascii="Arial" w:hAnsi="Arial" w:cs="Arial"/>
          <w:i/>
          <w:iCs/>
          <w:noProof/>
          <w:sz w:val="22"/>
        </w:rPr>
        <w:t>Proceedings of the National Academy of Sciences of the United States of America</w:t>
      </w:r>
      <w:r w:rsidRPr="000547AC">
        <w:rPr>
          <w:rFonts w:ascii="Arial" w:hAnsi="Arial" w:cs="Arial"/>
          <w:noProof/>
          <w:sz w:val="22"/>
        </w:rPr>
        <w:t xml:space="preserve">, </w:t>
      </w:r>
      <w:r w:rsidRPr="000547AC">
        <w:rPr>
          <w:rFonts w:ascii="Arial" w:hAnsi="Arial" w:cs="Arial"/>
          <w:b/>
          <w:bCs/>
          <w:noProof/>
          <w:sz w:val="22"/>
        </w:rPr>
        <w:t>111</w:t>
      </w:r>
      <w:r w:rsidRPr="000547AC">
        <w:rPr>
          <w:rFonts w:ascii="Arial" w:hAnsi="Arial" w:cs="Arial"/>
          <w:noProof/>
          <w:sz w:val="22"/>
        </w:rPr>
        <w:t>, 6347–52.</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Burnham, K.P. &amp; Anderson, D.R. (2002) </w:t>
      </w:r>
      <w:r w:rsidRPr="000547AC">
        <w:rPr>
          <w:rFonts w:ascii="Arial" w:hAnsi="Arial" w:cs="Arial"/>
          <w:i/>
          <w:iCs/>
          <w:noProof/>
          <w:sz w:val="22"/>
        </w:rPr>
        <w:t>Model Selection and Multimodel Inference: A Practical Information-Theoretic Approach</w:t>
      </w:r>
      <w:r w:rsidRPr="000547AC">
        <w:rPr>
          <w:rFonts w:ascii="Arial" w:hAnsi="Arial" w:cs="Arial"/>
          <w:noProof/>
          <w:sz w:val="22"/>
        </w:rPr>
        <w:t>.</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0547AC">
        <w:rPr>
          <w:rFonts w:ascii="Arial" w:hAnsi="Arial" w:cs="Arial"/>
          <w:i/>
          <w:iCs/>
          <w:noProof/>
          <w:sz w:val="22"/>
        </w:rPr>
        <w:t>Journal of Ecology</w:t>
      </w:r>
      <w:r w:rsidRPr="000547AC">
        <w:rPr>
          <w:rFonts w:ascii="Arial" w:hAnsi="Arial" w:cs="Arial"/>
          <w:noProof/>
          <w:sz w:val="22"/>
        </w:rPr>
        <w:t xml:space="preserve">, </w:t>
      </w:r>
      <w:r w:rsidRPr="000547AC">
        <w:rPr>
          <w:rFonts w:ascii="Arial" w:hAnsi="Arial" w:cs="Arial"/>
          <w:b/>
          <w:bCs/>
          <w:noProof/>
          <w:sz w:val="22"/>
        </w:rPr>
        <w:t>103</w:t>
      </w:r>
      <w:r w:rsidRPr="000547AC">
        <w:rPr>
          <w:rFonts w:ascii="Arial" w:hAnsi="Arial" w:cs="Arial"/>
          <w:noProof/>
          <w:sz w:val="22"/>
        </w:rPr>
        <w:t>, 44–57.</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Chao, K.J., Phillips, O.L., Gloor, E., Monteagudo, A., Torres-Lezama, A. &amp; Martínez, R.V. (2008) Growth and wood density predict tree mortality in Amazon forests. </w:t>
      </w:r>
      <w:r w:rsidRPr="000547AC">
        <w:rPr>
          <w:rFonts w:ascii="Arial" w:hAnsi="Arial" w:cs="Arial"/>
          <w:i/>
          <w:iCs/>
          <w:noProof/>
          <w:sz w:val="22"/>
        </w:rPr>
        <w:t>Journal of Ecology</w:t>
      </w:r>
      <w:r w:rsidRPr="000547AC">
        <w:rPr>
          <w:rFonts w:ascii="Arial" w:hAnsi="Arial" w:cs="Arial"/>
          <w:noProof/>
          <w:sz w:val="22"/>
        </w:rPr>
        <w:t xml:space="preserve">, </w:t>
      </w:r>
      <w:r w:rsidRPr="000547AC">
        <w:rPr>
          <w:rFonts w:ascii="Arial" w:hAnsi="Arial" w:cs="Arial"/>
          <w:b/>
          <w:bCs/>
          <w:noProof/>
          <w:sz w:val="22"/>
        </w:rPr>
        <w:t>96</w:t>
      </w:r>
      <w:r w:rsidRPr="000547AC">
        <w:rPr>
          <w:rFonts w:ascii="Arial" w:hAnsi="Arial" w:cs="Arial"/>
          <w:noProof/>
          <w:sz w:val="22"/>
        </w:rPr>
        <w:t>, 281–292.</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lastRenderedPageBreak/>
        <w:t xml:space="preserve">Coomes, D. a., Duncan, R.P., Allen, R.B. &amp; Truscott, J. (2003) Disturbances prevent stem size-density distributions in natural forests from following scaling relationships. </w:t>
      </w:r>
      <w:r w:rsidRPr="000547AC">
        <w:rPr>
          <w:rFonts w:ascii="Arial" w:hAnsi="Arial" w:cs="Arial"/>
          <w:i/>
          <w:iCs/>
          <w:noProof/>
          <w:sz w:val="22"/>
        </w:rPr>
        <w:t>Ecology Letters</w:t>
      </w:r>
      <w:r w:rsidRPr="000547AC">
        <w:rPr>
          <w:rFonts w:ascii="Arial" w:hAnsi="Arial" w:cs="Arial"/>
          <w:noProof/>
          <w:sz w:val="22"/>
        </w:rPr>
        <w:t xml:space="preserve">, </w:t>
      </w:r>
      <w:r w:rsidRPr="000547AC">
        <w:rPr>
          <w:rFonts w:ascii="Arial" w:hAnsi="Arial" w:cs="Arial"/>
          <w:b/>
          <w:bCs/>
          <w:noProof/>
          <w:sz w:val="22"/>
        </w:rPr>
        <w:t>6</w:t>
      </w:r>
      <w:r w:rsidRPr="000547AC">
        <w:rPr>
          <w:rFonts w:ascii="Arial" w:hAnsi="Arial" w:cs="Arial"/>
          <w:noProof/>
          <w:sz w:val="22"/>
        </w:rPr>
        <w:t>, 980–989.</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Greene, D.F. &amp; Johnson, E.A. (1994) Estimating the mean annual seed production of trees. </w:t>
      </w:r>
      <w:r w:rsidRPr="000547AC">
        <w:rPr>
          <w:rFonts w:ascii="Arial" w:hAnsi="Arial" w:cs="Arial"/>
          <w:i/>
          <w:iCs/>
          <w:noProof/>
          <w:sz w:val="22"/>
        </w:rPr>
        <w:t>Ecology</w:t>
      </w:r>
      <w:r w:rsidRPr="000547AC">
        <w:rPr>
          <w:rFonts w:ascii="Arial" w:hAnsi="Arial" w:cs="Arial"/>
          <w:noProof/>
          <w:sz w:val="22"/>
        </w:rPr>
        <w:t>, 642–647.</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Holzwarth, F., Kahl, A., Bauhus, J. &amp; Wirth, C. (2013) Many ways to die - partitioning tree mortality dynamics in a near-natural mixed deciduous forest (ed P Zuidema). </w:t>
      </w:r>
      <w:r w:rsidRPr="000547AC">
        <w:rPr>
          <w:rFonts w:ascii="Arial" w:hAnsi="Arial" w:cs="Arial"/>
          <w:i/>
          <w:iCs/>
          <w:noProof/>
          <w:sz w:val="22"/>
        </w:rPr>
        <w:t>Journal of Ecology</w:t>
      </w:r>
      <w:r w:rsidRPr="000547AC">
        <w:rPr>
          <w:rFonts w:ascii="Arial" w:hAnsi="Arial" w:cs="Arial"/>
          <w:noProof/>
          <w:sz w:val="22"/>
        </w:rPr>
        <w:t xml:space="preserve">, </w:t>
      </w:r>
      <w:r w:rsidRPr="000547AC">
        <w:rPr>
          <w:rFonts w:ascii="Arial" w:hAnsi="Arial" w:cs="Arial"/>
          <w:b/>
          <w:bCs/>
          <w:noProof/>
          <w:sz w:val="22"/>
        </w:rPr>
        <w:t>101</w:t>
      </w:r>
      <w:r w:rsidRPr="000547AC">
        <w:rPr>
          <w:rFonts w:ascii="Arial" w:hAnsi="Arial" w:cs="Arial"/>
          <w:noProof/>
          <w:sz w:val="22"/>
        </w:rPr>
        <w:t>, 220–230.</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Van Mantgem, P.J., Stephenson, N.L., Byrne, J.C., Daniels, L.D., Franklin, J.F., Fulé, P.Z., Harmon, M.E., Larson, A.J., Smith, J.M., Taylor, A.H. &amp; Veblen, T.T. (2009) Widespread increase of tree mortality rates in the western United States. </w:t>
      </w:r>
      <w:r w:rsidRPr="000547AC">
        <w:rPr>
          <w:rFonts w:ascii="Arial" w:hAnsi="Arial" w:cs="Arial"/>
          <w:i/>
          <w:iCs/>
          <w:noProof/>
          <w:sz w:val="22"/>
        </w:rPr>
        <w:t>Science (New York, N.Y.)</w:t>
      </w:r>
      <w:r w:rsidRPr="000547AC">
        <w:rPr>
          <w:rFonts w:ascii="Arial" w:hAnsi="Arial" w:cs="Arial"/>
          <w:noProof/>
          <w:sz w:val="22"/>
        </w:rPr>
        <w:t xml:space="preserve">, </w:t>
      </w:r>
      <w:r w:rsidRPr="000547AC">
        <w:rPr>
          <w:rFonts w:ascii="Arial" w:hAnsi="Arial" w:cs="Arial"/>
          <w:b/>
          <w:bCs/>
          <w:noProof/>
          <w:sz w:val="22"/>
        </w:rPr>
        <w:t>323</w:t>
      </w:r>
      <w:r w:rsidRPr="000547AC">
        <w:rPr>
          <w:rFonts w:ascii="Arial" w:hAnsi="Arial" w:cs="Arial"/>
          <w:noProof/>
          <w:sz w:val="22"/>
        </w:rPr>
        <w:t>, 521–524.</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Mcintyre, P.J., Thorne, J.H., Dolanc, C.R., Flint, A.L., Flint, L.E., Kelly, M. &amp; Ackerly, D.D. (2014) Twentieth-century shifts in forest structure in California : Denser forests , smaller trees , and increased dominance of oaks. , 1–6.</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Monserud, R. a. &amp; Sterba, H. (1999) Modeling individual tree mortality for Austrian forest species. </w:t>
      </w:r>
      <w:r w:rsidRPr="000547AC">
        <w:rPr>
          <w:rFonts w:ascii="Arial" w:hAnsi="Arial" w:cs="Arial"/>
          <w:i/>
          <w:iCs/>
          <w:noProof/>
          <w:sz w:val="22"/>
        </w:rPr>
        <w:t>Forest Ecology and Management</w:t>
      </w:r>
      <w:r w:rsidRPr="000547AC">
        <w:rPr>
          <w:rFonts w:ascii="Arial" w:hAnsi="Arial" w:cs="Arial"/>
          <w:noProof/>
          <w:sz w:val="22"/>
        </w:rPr>
        <w:t xml:space="preserve">, </w:t>
      </w:r>
      <w:r w:rsidRPr="000547AC">
        <w:rPr>
          <w:rFonts w:ascii="Arial" w:hAnsi="Arial" w:cs="Arial"/>
          <w:b/>
          <w:bCs/>
          <w:noProof/>
          <w:sz w:val="22"/>
        </w:rPr>
        <w:t>113</w:t>
      </w:r>
      <w:r w:rsidRPr="000547AC">
        <w:rPr>
          <w:rFonts w:ascii="Arial" w:hAnsi="Arial" w:cs="Arial"/>
          <w:noProof/>
          <w:sz w:val="22"/>
        </w:rPr>
        <w:t>, 109–123.</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Peng, C., Ma, Z., Lei, X., Zhu, Q., Chen, H., Wang, W., Liu, S., Li, W., Fang, X. &amp; Zhou, X. (2011) A drought-induced pervasive increase in tree mortality across Canada’s boreal forests. </w:t>
      </w:r>
      <w:r w:rsidRPr="000547AC">
        <w:rPr>
          <w:rFonts w:ascii="Arial" w:hAnsi="Arial" w:cs="Arial"/>
          <w:i/>
          <w:iCs/>
          <w:noProof/>
          <w:sz w:val="22"/>
        </w:rPr>
        <w:t>Nature Climate Change</w:t>
      </w:r>
      <w:r w:rsidRPr="000547AC">
        <w:rPr>
          <w:rFonts w:ascii="Arial" w:hAnsi="Arial" w:cs="Arial"/>
          <w:noProof/>
          <w:sz w:val="22"/>
        </w:rPr>
        <w:t xml:space="preserve">, </w:t>
      </w:r>
      <w:r w:rsidRPr="000547AC">
        <w:rPr>
          <w:rFonts w:ascii="Arial" w:hAnsi="Arial" w:cs="Arial"/>
          <w:b/>
          <w:bCs/>
          <w:noProof/>
          <w:sz w:val="22"/>
        </w:rPr>
        <w:t>1</w:t>
      </w:r>
      <w:r w:rsidRPr="000547AC">
        <w:rPr>
          <w:rFonts w:ascii="Arial" w:hAnsi="Arial" w:cs="Arial"/>
          <w:noProof/>
          <w:sz w:val="22"/>
        </w:rPr>
        <w:t>, 467–471.</w:t>
      </w:r>
    </w:p>
    <w:p w:rsidR="000547AC" w:rsidRPr="000547AC" w:rsidRDefault="000547AC">
      <w:pPr>
        <w:pStyle w:val="NormalWeb"/>
        <w:ind w:left="480" w:hanging="480"/>
        <w:divId w:val="422998894"/>
        <w:rPr>
          <w:rFonts w:ascii="Arial" w:hAnsi="Arial" w:cs="Arial"/>
          <w:noProof/>
          <w:sz w:val="22"/>
        </w:rPr>
      </w:pPr>
      <w:r w:rsidRPr="000547AC">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0547AC">
        <w:rPr>
          <w:rFonts w:ascii="Arial" w:hAnsi="Arial" w:cs="Arial"/>
          <w:i/>
          <w:iCs/>
          <w:noProof/>
          <w:sz w:val="22"/>
        </w:rPr>
        <w:t>Journal of Ecology</w:t>
      </w:r>
      <w:r w:rsidRPr="000547AC">
        <w:rPr>
          <w:rFonts w:ascii="Arial" w:hAnsi="Arial" w:cs="Arial"/>
          <w:noProof/>
          <w:sz w:val="22"/>
        </w:rPr>
        <w:t xml:space="preserve">, </w:t>
      </w:r>
      <w:r w:rsidRPr="000547AC">
        <w:rPr>
          <w:rFonts w:ascii="Arial" w:hAnsi="Arial" w:cs="Arial"/>
          <w:b/>
          <w:bCs/>
          <w:noProof/>
          <w:sz w:val="22"/>
        </w:rPr>
        <w:t>103</w:t>
      </w:r>
      <w:r w:rsidRPr="000547AC">
        <w:rPr>
          <w:rFonts w:ascii="Arial" w:hAnsi="Arial" w:cs="Arial"/>
          <w:noProof/>
          <w:sz w:val="22"/>
        </w:rPr>
        <w:t>, 5–15.</w:t>
      </w:r>
    </w:p>
    <w:p w:rsidR="00210A49" w:rsidRPr="00E94C26" w:rsidRDefault="00F262DF" w:rsidP="000547AC">
      <w:pPr>
        <w:pStyle w:val="NormalWeb"/>
        <w:ind w:left="480" w:hanging="480"/>
        <w:divId w:val="1795126863"/>
        <w:rPr>
          <w:rFonts w:ascii="Arial" w:hAnsi="Arial" w:cs="Arial"/>
        </w:rPr>
      </w:pPr>
      <w:r>
        <w:rPr>
          <w:rFonts w:ascii="Arial" w:hAnsi="Arial" w:cs="Arial"/>
        </w:rPr>
        <w:fldChar w:fldCharType="end"/>
      </w:r>
    </w:p>
    <w:sectPr w:rsidR="00210A49"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5-09T10:12:00Z" w:initials="PM">
    <w:p w:rsidR="004A5CBE" w:rsidRDefault="004A5CBE">
      <w:pPr>
        <w:pStyle w:val="CommentText"/>
      </w:pPr>
      <w:r>
        <w:rPr>
          <w:rStyle w:val="CommentReference"/>
        </w:rPr>
        <w:annotationRef/>
      </w:r>
      <w:r>
        <w:t>These are not truly non-forest states. I need to change this later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AE4EE5"/>
    <w:multiLevelType w:val="hybridMultilevel"/>
    <w:tmpl w:val="0030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13537F"/>
    <w:rsid w:val="001F0817"/>
    <w:rsid w:val="00210A49"/>
    <w:rsid w:val="0024119F"/>
    <w:rsid w:val="002E1A3D"/>
    <w:rsid w:val="00343C56"/>
    <w:rsid w:val="003B4207"/>
    <w:rsid w:val="004A5CBE"/>
    <w:rsid w:val="00560D45"/>
    <w:rsid w:val="005915D6"/>
    <w:rsid w:val="00654F32"/>
    <w:rsid w:val="006F5186"/>
    <w:rsid w:val="00707775"/>
    <w:rsid w:val="007B1610"/>
    <w:rsid w:val="008635F1"/>
    <w:rsid w:val="009578E6"/>
    <w:rsid w:val="00B46DE7"/>
    <w:rsid w:val="00B93215"/>
    <w:rsid w:val="00D1587D"/>
    <w:rsid w:val="00DB2877"/>
    <w:rsid w:val="00E55003"/>
    <w:rsid w:val="00E94C26"/>
    <w:rsid w:val="00EB1B07"/>
    <w:rsid w:val="00EC3673"/>
    <w:rsid w:val="00EC5CC9"/>
    <w:rsid w:val="00F06791"/>
    <w:rsid w:val="00F262DF"/>
    <w:rsid w:val="00F35515"/>
    <w:rsid w:val="00F41B50"/>
    <w:rsid w:val="00F75EED"/>
    <w:rsid w:val="00FA7178"/>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65430211">
                                      <w:marLeft w:val="0"/>
                                      <w:marRight w:val="0"/>
                                      <w:marTop w:val="0"/>
                                      <w:marBottom w:val="0"/>
                                      <w:divBdr>
                                        <w:top w:val="none" w:sz="0" w:space="0" w:color="auto"/>
                                        <w:left w:val="none" w:sz="0" w:space="0" w:color="auto"/>
                                        <w:bottom w:val="none" w:sz="0" w:space="0" w:color="auto"/>
                                        <w:right w:val="none" w:sz="0" w:space="0" w:color="auto"/>
                                      </w:divBdr>
                                    </w:div>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CCDF3-79DB-4412-B3B3-8F3E54A70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8452</Words>
  <Characters>48183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2</cp:revision>
  <dcterms:created xsi:type="dcterms:W3CDTF">2015-05-09T09:24:00Z</dcterms:created>
  <dcterms:modified xsi:type="dcterms:W3CDTF">2015-05-09T09:24:00Z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http://csl.mendeley.com/styles/4604571/elsevier-harvard</vt:lpwstr>
  </property>
  <property fmtid="{D5CDD505-2E9C-101B-9397-08002B2CF9AE}" pid="14" name="Mendeley Recent Style Name 4_1">
    <vt:lpwstr>Elsevier Harvard (with titles) - Philip Martin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