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0722" w:rsidRPr="00E94C26" w:rsidRDefault="00D1587D" w:rsidP="00A7669F">
      <w:pPr>
        <w:spacing w:line="360" w:lineRule="auto"/>
        <w:contextualSpacing/>
        <w:rPr>
          <w:rFonts w:ascii="Arial" w:hAnsi="Arial" w:cs="Arial"/>
          <w:b/>
          <w:sz w:val="28"/>
        </w:rPr>
      </w:pPr>
      <w:r w:rsidRPr="00E94C26">
        <w:rPr>
          <w:rFonts w:ascii="Arial" w:hAnsi="Arial" w:cs="Arial"/>
          <w:b/>
          <w:sz w:val="28"/>
        </w:rPr>
        <w:t>M</w:t>
      </w:r>
      <w:r w:rsidR="00210A49" w:rsidRPr="00E94C26">
        <w:rPr>
          <w:rFonts w:ascii="Arial" w:hAnsi="Arial" w:cs="Arial"/>
          <w:b/>
          <w:sz w:val="28"/>
        </w:rPr>
        <w:t xml:space="preserve">ortality and recruitment </w:t>
      </w:r>
      <w:r w:rsidR="00E94C26" w:rsidRPr="00E94C26">
        <w:rPr>
          <w:rFonts w:ascii="Arial" w:hAnsi="Arial" w:cs="Arial"/>
          <w:b/>
          <w:sz w:val="28"/>
        </w:rPr>
        <w:t xml:space="preserve">in a woodland undergoing </w:t>
      </w:r>
      <w:r w:rsidR="00210A49" w:rsidRPr="00E94C26">
        <w:rPr>
          <w:rFonts w:ascii="Arial" w:hAnsi="Arial" w:cs="Arial"/>
          <w:b/>
          <w:sz w:val="28"/>
        </w:rPr>
        <w:t>collapse</w:t>
      </w:r>
    </w:p>
    <w:p w:rsidR="00210A49" w:rsidRPr="00E94C26" w:rsidRDefault="00210A49" w:rsidP="00A7669F">
      <w:pPr>
        <w:spacing w:line="360" w:lineRule="auto"/>
        <w:contextualSpacing/>
        <w:rPr>
          <w:rFonts w:ascii="Arial" w:hAnsi="Arial" w:cs="Arial"/>
        </w:rPr>
      </w:pPr>
    </w:p>
    <w:p w:rsidR="00210A49" w:rsidRDefault="00210A49" w:rsidP="00A7669F">
      <w:pPr>
        <w:spacing w:line="360" w:lineRule="auto"/>
        <w:contextualSpacing/>
        <w:rPr>
          <w:rFonts w:ascii="Arial" w:hAnsi="Arial" w:cs="Arial"/>
          <w:b/>
        </w:rPr>
      </w:pPr>
      <w:r w:rsidRPr="00E94C26">
        <w:rPr>
          <w:rFonts w:ascii="Arial" w:hAnsi="Arial" w:cs="Arial"/>
          <w:b/>
        </w:rPr>
        <w:t>Introduction</w:t>
      </w:r>
    </w:p>
    <w:p w:rsidR="00654F32" w:rsidRDefault="00654F32" w:rsidP="00A7669F">
      <w:pPr>
        <w:pStyle w:val="ListParagraph"/>
        <w:numPr>
          <w:ilvl w:val="0"/>
          <w:numId w:val="8"/>
        </w:numPr>
        <w:spacing w:line="360" w:lineRule="auto"/>
        <w:rPr>
          <w:rFonts w:ascii="Arial" w:hAnsi="Arial" w:cs="Arial"/>
        </w:rPr>
      </w:pPr>
      <w:r w:rsidRPr="00654F32">
        <w:rPr>
          <w:rFonts w:ascii="Arial" w:hAnsi="Arial" w:cs="Arial"/>
        </w:rPr>
        <w:t xml:space="preserve">Mortality </w:t>
      </w:r>
      <w:r>
        <w:rPr>
          <w:rFonts w:ascii="Arial" w:hAnsi="Arial" w:cs="Arial"/>
        </w:rPr>
        <w:t>and recruitment are vital for understanding forest dynamics and recent studies have suggested alteration of both</w:t>
      </w:r>
    </w:p>
    <w:p w:rsidR="00F75EED" w:rsidRPr="00F75EED" w:rsidRDefault="000547AC" w:rsidP="00A7669F">
      <w:pPr>
        <w:spacing w:line="360" w:lineRule="auto"/>
        <w:ind w:left="360"/>
        <w:contextualSpacing/>
        <w:rPr>
          <w:rFonts w:ascii="Arial" w:hAnsi="Arial" w:cs="Arial"/>
        </w:rPr>
      </w:pPr>
      <w:r>
        <w:rPr>
          <w:rFonts w:ascii="Arial" w:hAnsi="Arial" w:cs="Arial"/>
        </w:rPr>
        <w:t>An understanding of what influences t</w:t>
      </w:r>
      <w:r w:rsidR="00F75EED" w:rsidRPr="00F75EED">
        <w:rPr>
          <w:rFonts w:ascii="Arial" w:hAnsi="Arial" w:cs="Arial"/>
        </w:rPr>
        <w:t xml:space="preserve">ree mortality and recruitment </w:t>
      </w:r>
      <w:r>
        <w:rPr>
          <w:rFonts w:ascii="Arial" w:hAnsi="Arial" w:cs="Arial"/>
        </w:rPr>
        <w:t>is</w:t>
      </w:r>
      <w:r w:rsidR="00F75EED" w:rsidRPr="00F75EED">
        <w:rPr>
          <w:rFonts w:ascii="Arial" w:hAnsi="Arial" w:cs="Arial"/>
        </w:rPr>
        <w:t xml:space="preserve"> </w:t>
      </w:r>
      <w:r>
        <w:rPr>
          <w:rFonts w:ascii="Arial" w:hAnsi="Arial" w:cs="Arial"/>
        </w:rPr>
        <w:t>vital</w:t>
      </w:r>
      <w:r w:rsidR="00F75EED" w:rsidRPr="00F75EED">
        <w:rPr>
          <w:rFonts w:ascii="Arial" w:hAnsi="Arial" w:cs="Arial"/>
        </w:rPr>
        <w:t xml:space="preserve"> to </w:t>
      </w:r>
      <w:r>
        <w:rPr>
          <w:rFonts w:ascii="Arial" w:hAnsi="Arial" w:cs="Arial"/>
        </w:rPr>
        <w:t>understanding</w:t>
      </w:r>
      <w:r w:rsidR="00F75EED">
        <w:rPr>
          <w:rFonts w:ascii="Arial" w:hAnsi="Arial" w:cs="Arial"/>
        </w:rPr>
        <w:t xml:space="preserve"> forest dynamics. </w:t>
      </w:r>
      <w:r w:rsidR="00343C56">
        <w:rPr>
          <w:rFonts w:ascii="Arial" w:hAnsi="Arial" w:cs="Arial"/>
        </w:rPr>
        <w:t>As a result of changes in fire regimes, increases in water deficit</w:t>
      </w:r>
      <w:r>
        <w:rPr>
          <w:rFonts w:ascii="Arial" w:hAnsi="Arial" w:cs="Arial"/>
        </w:rPr>
        <w:t xml:space="preserve"> and nov</w:t>
      </w:r>
      <w:r w:rsidR="00343C56">
        <w:rPr>
          <w:rFonts w:ascii="Arial" w:hAnsi="Arial" w:cs="Arial"/>
        </w:rPr>
        <w:t>el pests and pathogens numerous r</w:t>
      </w:r>
      <w:r w:rsidR="006F5186">
        <w:rPr>
          <w:rFonts w:ascii="Arial" w:hAnsi="Arial" w:cs="Arial"/>
        </w:rPr>
        <w:t xml:space="preserve">ecent </w:t>
      </w:r>
      <w:r w:rsidR="00343C56">
        <w:rPr>
          <w:rFonts w:ascii="Arial" w:hAnsi="Arial" w:cs="Arial"/>
        </w:rPr>
        <w:t>studies</w:t>
      </w:r>
      <w:r w:rsidR="006F5186">
        <w:rPr>
          <w:rFonts w:ascii="Arial" w:hAnsi="Arial" w:cs="Arial"/>
        </w:rPr>
        <w:t xml:space="preserve"> </w:t>
      </w:r>
      <w:r w:rsidR="00343C56">
        <w:rPr>
          <w:rFonts w:ascii="Arial" w:hAnsi="Arial" w:cs="Arial"/>
        </w:rPr>
        <w:t>have shown</w:t>
      </w:r>
      <w:r w:rsidR="006F5186">
        <w:rPr>
          <w:rFonts w:ascii="Arial" w:hAnsi="Arial" w:cs="Arial"/>
        </w:rPr>
        <w:t xml:space="preserve"> increases in </w:t>
      </w:r>
      <w:r w:rsidR="001F0817">
        <w:rPr>
          <w:rFonts w:ascii="Arial" w:hAnsi="Arial" w:cs="Arial"/>
        </w:rPr>
        <w:t>tree</w:t>
      </w:r>
      <w:r w:rsidR="00343C56">
        <w:rPr>
          <w:rFonts w:ascii="Arial" w:hAnsi="Arial" w:cs="Arial"/>
        </w:rPr>
        <w:t xml:space="preserve"> mortality</w:t>
      </w:r>
      <w:r w:rsidR="001F0817">
        <w:rPr>
          <w:rFonts w:ascii="Arial" w:hAnsi="Arial" w:cs="Arial"/>
        </w:rPr>
        <w:t xml:space="preserve"> </w:t>
      </w:r>
      <w:r w:rsidR="006F5186">
        <w:rPr>
          <w:rFonts w:ascii="Arial" w:hAnsi="Arial" w:cs="Arial"/>
        </w:rPr>
        <w:t xml:space="preserve">and </w:t>
      </w:r>
      <w:r w:rsidR="00343C56">
        <w:rPr>
          <w:rFonts w:ascii="Arial" w:hAnsi="Arial" w:cs="Arial"/>
        </w:rPr>
        <w:t>reductions</w:t>
      </w:r>
      <w:r w:rsidR="006F5186">
        <w:rPr>
          <w:rFonts w:ascii="Arial" w:hAnsi="Arial" w:cs="Arial"/>
        </w:rPr>
        <w:t xml:space="preserve"> in recruitment </w:t>
      </w:r>
      <w:r w:rsidR="001F0817">
        <w:rPr>
          <w:rFonts w:ascii="Arial" w:hAnsi="Arial" w:cs="Arial"/>
        </w:rPr>
        <w:fldChar w:fldCharType="begin" w:fldLock="1"/>
      </w:r>
      <w:r w:rsidR="003A2B2F">
        <w:rPr>
          <w:rFonts w:ascii="Arial" w:hAnsi="Arial" w:cs="Arial"/>
        </w:rPr>
        <w:instrText>ADDIN CSL_CITATION { "citationItems" : [ { "id" : "ITEM-1", "itemData" : { "DOI" : "10.1073/pnas.1410186112", "author" : [ { "dropping-particle" : "", "family" : "Mcintyre", "given" : "Patrick J", "non-dropping-particle" : "", "parse-names" : false, "suffix" : "" }, { "dropping-particle" : "", "family" : "Thorne", "given" : "James H", "non-dropping-particle" : "", "parse-names" : false, "suffix" : "" }, { "dropping-particle" : "", "family" : "Dolanc", "given" : "Christopher R", "non-dropping-particle" : "", "parse-names" : false, "suffix" : "" }, { "dropping-particle" : "", "family" : "Flint", "given" : "Alan L", "non-dropping-particle" : "", "parse-names" : false, "suffix" : "" }, { "dropping-particle" : "", "family" : "Flint", "given" : "Lorraine E", "non-dropping-particle" : "", "parse-names" : false, "suffix" : "" }, { "dropping-particle" : "", "family" : "Kelly", "given" : "Maggi", "non-dropping-particle" : "", "parse-names" : false, "suffix" : "" }, { "dropping-particle" : "", "family" : "Ackerly", "given" : "David D", "non-dropping-particle" : "", "parse-names" : false, "suffix" : "" } ], "id" : "ITEM-1", "issued" : { "date-parts" : [ [ "2014" ] ] }, "page" : "1-6", "title" : "Twentieth-century shifts in forest structure in California : Denser forests , smaller trees , and increased dominance of oaks", "type" : "article-journal" }, "uris" : [ "http://www.mendeley.com/documents/?uuid=35486c45-3317-41f9-978b-f2734fbef1ab" ] }, { "id" : "ITEM-2", "itemData" : { "DOI" : "10.1126/science.1165000", "ISBN" : "0036-8075", "ISSN" : "1095-9203", "PMID" : "19164752", "abstract" : "Persistent changes in tree mortality rates can alter forest structure, composition, and ecosystem services such as carbon sequestration. Our analyses of longitudinal data from unmanaged old forests in the western United States showed that background (noncatastrophic) mortality rates have increased rapidly in recent decades, with doubling periods ranging from 17 to 29 years among regions. Increases were also pervasive across elevations, tree sizes, dominant genera, and past fire histories. Forest density and basal area declined slightly, which suggests that increasing mortality was not caused by endogenous increases in competition. Because mortality increased in small trees, the overall increase in mortality rates cannot be attributed solely to aging of large trees. Regional warming and consequent increases in water deficits are likely contributors to the increases in tree mortality rates.", "author" : [ { "dropping-particle" : "", "family" : "Mantgem", "given" : "Phillip J", "non-dropping-particle" : "van", "parse-names" : false, "suffix" : "" }, { "dropping-particle" : "", "family" : "Stephenson", "given" : "Nathan L", "non-dropping-particle" : "", "parse-names" : false, "suffix" : "" }, { "dropping-particle" : "", "family" : "Byrne", "given" : "John C", "non-dropping-particle" : "", "parse-names" : false, "suffix" : "" }, { "dropping-particle" : "", "family" : "Daniels", "given" : "Lori D", "non-dropping-particle" : "", "parse-names" : false, "suffix" : "" }, { "dropping-particle" : "", "family" : "Franklin", "given" : "Jerry F", "non-dropping-particle" : "", "parse-names" : false, "suffix" : "" }, { "dropping-particle" : "", "family" : "Ful\u00e9", "given" : "Peter Z", "non-dropping-particle" : "", "parse-names" : false, "suffix" : "" }, { "dropping-particle" : "", "family" : "Harmon", "given" : "Mark E", "non-dropping-particle" : "", "parse-names" : false, "suffix" : "" }, { "dropping-particle" : "", "family" : "Larson", "given" : "Andrew J", "non-dropping-particle" : "", "parse-names" : false, "suffix" : "" }, { "dropping-particle" : "", "family" : "Smith", "given" : "Jeremy M", "non-dropping-particle" : "", "parse-names" : false, "suffix" : "" }, { "dropping-particle" : "", "family" : "Taylor", "given" : "Alan H", "non-dropping-particle" : "", "parse-names" : false, "suffix" : "" }, { "dropping-particle" : "", "family" : "Veblen", "given" : "Thomas T", "non-dropping-particle" : "", "parse-names" : false, "suffix" : "" } ], "container-title" : "Science (New York, N.Y.)", "id" : "ITEM-2", "issued" : { "date-parts" : [ [ "2009" ] ] }, "page" : "521-524", "title" : "Widespread increase of tree mortality rates in the western United States.", "type" : "article-journal", "volume" : "323" }, "uris" : [ "http://www.mendeley.com/documents/?uuid=15c27db6-6b76-4aeb-9051-176089dca0fb" ] }, { "id" : "ITEM-3", "itemData" : { "DOI" : "10.1038/nclimate1293", "ISSN" : "1758-678X", "author" : [ { "dropping-particle" : "", "family" : "Peng", "given" : "Changhui", "non-dropping-particle" : "", "parse-names" : false, "suffix" : "" }, { "dropping-particle" : "", "family" : "Ma", "given" : "Zhihai", "non-dropping-particle" : "", "parse-names" : false, "suffix" : "" }, { "dropping-particle" : "", "family" : "Lei", "given" : "Xiangdong", "non-dropping-particle" : "", "parse-names" : false, "suffix" : "" }, { "dropping-particle" : "", "family" : "Zhu", "given" : "Qiuan", "non-dropping-particle" : "", "parse-names" : false, "suffix" : "" }, { "dropping-particle" : "", "family" : "Chen", "given" : "Huai", "non-dropping-particle" : "", "parse-names" : false, "suffix" : "" }, { "dropping-particle" : "", "family" : "Wang", "given" : "Weifeng", "non-dropping-particle" : "", "parse-names" : false, "suffix" : "" }, { "dropping-particle" : "", "family" : "Liu", "given" : "Shirong", "non-dropping-particle" : "", "parse-names" : false, "suffix" : "" }, { "dropping-particle" : "", "family" : "Li", "given" : "Weizhong", "non-dropping-particle" : "", "parse-names" : false, "suffix" : "" }, { "dropping-particle" : "", "family" : "Fang", "given" : "Xiuqin", "non-dropping-particle" : "", "parse-names" : false, "suffix" : "" }, { "dropping-particle" : "", "family" : "Zhou", "given" : "Xiaolu", "non-dropping-particle" : "", "parse-names" : false, "suffix" : "" } ], "container-title" : "Nature Climate Change", "id" : "ITEM-3", "issue" : "9", "issued" : { "date-parts" : [ [ "2011", "11", "20" ] ] }, "language" : "en", "page" : "467-471", "publisher" : "Nature Publishing Group", "title" : "A drought-induced pervasive increase in tree mortality across Canada's boreal forests", "type" : "article-journal", "volume" : "1" }, "uris" : [ "http://www.mendeley.com/documents/?uuid=4d437544-ce7e-4aa0-9399-787666964a91" ] } ], "mendeley" : { "formattedCitation" : "(van Mantgem &lt;i&gt;et al.&lt;/i&gt; 2009; Peng &lt;i&gt;et al.&lt;/i&gt; 2011; Mcintyre &lt;i&gt;et al.&lt;/i&gt; 2014)", "plainTextFormattedCitation" : "(van Mantgem et al. 2009; Peng et al. 2011; Mcintyre et al. 2014)", "previouslyFormattedCitation" : "(van Mantgem &lt;i&gt;et al.&lt;/i&gt; 2009; Peng &lt;i&gt;et al.&lt;/i&gt; 2011; Mcintyre &lt;i&gt;et al.&lt;/i&gt; 2014)" }, "properties" : { "noteIndex" : 0 }, "schema" : "https://github.com/citation-style-language/schema/raw/master/csl-citation.json" }</w:instrText>
      </w:r>
      <w:r w:rsidR="001F0817">
        <w:rPr>
          <w:rFonts w:ascii="Arial" w:hAnsi="Arial" w:cs="Arial"/>
        </w:rPr>
        <w:fldChar w:fldCharType="separate"/>
      </w:r>
      <w:r w:rsidR="00343C56" w:rsidRPr="00343C56">
        <w:rPr>
          <w:rFonts w:ascii="Arial" w:hAnsi="Arial" w:cs="Arial"/>
          <w:noProof/>
          <w:lang w:val="es-ES_tradnl"/>
        </w:rPr>
        <w:t xml:space="preserve">(van Mantgem </w:t>
      </w:r>
      <w:r w:rsidR="00343C56" w:rsidRPr="00343C56">
        <w:rPr>
          <w:rFonts w:ascii="Arial" w:hAnsi="Arial" w:cs="Arial"/>
          <w:i/>
          <w:noProof/>
          <w:lang w:val="es-ES_tradnl"/>
        </w:rPr>
        <w:t>et al.</w:t>
      </w:r>
      <w:r w:rsidR="00343C56" w:rsidRPr="00343C56">
        <w:rPr>
          <w:rFonts w:ascii="Arial" w:hAnsi="Arial" w:cs="Arial"/>
          <w:noProof/>
          <w:lang w:val="es-ES_tradnl"/>
        </w:rPr>
        <w:t xml:space="preserve"> 2009; Peng </w:t>
      </w:r>
      <w:r w:rsidR="00343C56" w:rsidRPr="00343C56">
        <w:rPr>
          <w:rFonts w:ascii="Arial" w:hAnsi="Arial" w:cs="Arial"/>
          <w:i/>
          <w:noProof/>
          <w:lang w:val="es-ES_tradnl"/>
        </w:rPr>
        <w:t>et al.</w:t>
      </w:r>
      <w:r w:rsidR="00343C56" w:rsidRPr="00343C56">
        <w:rPr>
          <w:rFonts w:ascii="Arial" w:hAnsi="Arial" w:cs="Arial"/>
          <w:noProof/>
          <w:lang w:val="es-ES_tradnl"/>
        </w:rPr>
        <w:t xml:space="preserve"> 2011; Mcintyre </w:t>
      </w:r>
      <w:r w:rsidR="00343C56" w:rsidRPr="00343C56">
        <w:rPr>
          <w:rFonts w:ascii="Arial" w:hAnsi="Arial" w:cs="Arial"/>
          <w:i/>
          <w:noProof/>
          <w:lang w:val="es-ES_tradnl"/>
        </w:rPr>
        <w:t>et al.</w:t>
      </w:r>
      <w:r w:rsidR="00343C56" w:rsidRPr="00343C56">
        <w:rPr>
          <w:rFonts w:ascii="Arial" w:hAnsi="Arial" w:cs="Arial"/>
          <w:noProof/>
          <w:lang w:val="es-ES_tradnl"/>
        </w:rPr>
        <w:t xml:space="preserve"> 2014)</w:t>
      </w:r>
      <w:r w:rsidR="001F0817">
        <w:rPr>
          <w:rFonts w:ascii="Arial" w:hAnsi="Arial" w:cs="Arial"/>
        </w:rPr>
        <w:fldChar w:fldCharType="end"/>
      </w:r>
      <w:r w:rsidR="006F5186" w:rsidRPr="00343C56">
        <w:rPr>
          <w:rFonts w:ascii="Arial" w:hAnsi="Arial" w:cs="Arial"/>
          <w:lang w:val="es-ES_tradnl"/>
        </w:rPr>
        <w:t xml:space="preserve">. </w:t>
      </w:r>
      <w:r w:rsidR="00F41B50">
        <w:rPr>
          <w:rFonts w:ascii="Arial" w:hAnsi="Arial" w:cs="Arial"/>
        </w:rPr>
        <w:t xml:space="preserve">In </w:t>
      </w:r>
      <w:r w:rsidR="006F5186">
        <w:rPr>
          <w:rFonts w:ascii="Arial" w:hAnsi="Arial" w:cs="Arial"/>
        </w:rPr>
        <w:t>forests</w:t>
      </w:r>
      <w:r w:rsidR="00F41B50">
        <w:rPr>
          <w:rFonts w:ascii="Arial" w:hAnsi="Arial" w:cs="Arial"/>
        </w:rPr>
        <w:t xml:space="preserve"> where individual species recruitment has not kept </w:t>
      </w:r>
      <w:r w:rsidR="001F0817">
        <w:rPr>
          <w:rFonts w:ascii="Arial" w:hAnsi="Arial" w:cs="Arial"/>
        </w:rPr>
        <w:t xml:space="preserve">pace with mortality, </w:t>
      </w:r>
      <w:r w:rsidR="006F5186">
        <w:rPr>
          <w:rFonts w:ascii="Arial" w:hAnsi="Arial" w:cs="Arial"/>
        </w:rPr>
        <w:t>such as in the Western USA</w:t>
      </w:r>
      <w:r w:rsidR="001F0817">
        <w:rPr>
          <w:rFonts w:ascii="Arial" w:hAnsi="Arial" w:cs="Arial"/>
        </w:rPr>
        <w:t>, this can lead to alteration of forest composition</w:t>
      </w:r>
      <w:r w:rsidR="00343C56">
        <w:rPr>
          <w:rFonts w:ascii="Arial" w:hAnsi="Arial" w:cs="Arial"/>
        </w:rPr>
        <w:t xml:space="preserve"> </w:t>
      </w:r>
      <w:r w:rsidR="00343C56">
        <w:rPr>
          <w:rFonts w:ascii="Arial" w:hAnsi="Arial" w:cs="Arial"/>
        </w:rPr>
        <w:fldChar w:fldCharType="begin" w:fldLock="1"/>
      </w:r>
      <w:r w:rsidR="00343C56">
        <w:rPr>
          <w:rFonts w:ascii="Arial" w:hAnsi="Arial" w:cs="Arial"/>
        </w:rPr>
        <w:instrText>ADDIN CSL_CITATION { "citationItems" : [ { "id" : "ITEM-1", "itemData" : { "DOI" : "10.1073/pnas.1410186112", "author" : [ { "dropping-particle" : "", "family" : "Mcintyre", "given" : "Patrick J", "non-dropping-particle" : "", "parse-names" : false, "suffix" : "" }, { "dropping-particle" : "", "family" : "Thorne", "given" : "James H", "non-dropping-particle" : "", "parse-names" : false, "suffix" : "" }, { "dropping-particle" : "", "family" : "Dolanc", "given" : "Christopher R", "non-dropping-particle" : "", "parse-names" : false, "suffix" : "" }, { "dropping-particle" : "", "family" : "Flint", "given" : "Alan L", "non-dropping-particle" : "", "parse-names" : false, "suffix" : "" }, { "dropping-particle" : "", "family" : "Flint", "given" : "Lorraine E", "non-dropping-particle" : "", "parse-names" : false, "suffix" : "" }, { "dropping-particle" : "", "family" : "Kelly", "given" : "Maggi", "non-dropping-particle" : "", "parse-names" : false, "suffix" : "" }, { "dropping-particle" : "", "family" : "Ackerly", "given" : "David D", "non-dropping-particle" : "", "parse-names" : false, "suffix" : "" } ], "id" : "ITEM-1", "issued" : { "date-parts" : [ [ "2014" ] ] }, "page" : "1-6", "title" : "Twentieth-century shifts in forest structure in California : Denser forests , smaller trees , and increased dominance of oaks", "type" : "article-journal" }, "uris" : [ "http://www.mendeley.com/documents/?uuid=35486c45-3317-41f9-978b-f2734fbef1ab" ] } ], "mendeley" : { "formattedCitation" : "(Mcintyre &lt;i&gt;et al.&lt;/i&gt; 2014)", "plainTextFormattedCitation" : "(Mcintyre et al. 2014)", "previouslyFormattedCitation" : "(Mcintyre &lt;i&gt;et al.&lt;/i&gt; 2014)" }, "properties" : { "noteIndex" : 0 }, "schema" : "https://github.com/citation-style-language/schema/raw/master/csl-citation.json" }</w:instrText>
      </w:r>
      <w:r w:rsidR="00343C56">
        <w:rPr>
          <w:rFonts w:ascii="Arial" w:hAnsi="Arial" w:cs="Arial"/>
        </w:rPr>
        <w:fldChar w:fldCharType="separate"/>
      </w:r>
      <w:r w:rsidR="00343C56" w:rsidRPr="00343C56">
        <w:rPr>
          <w:rFonts w:ascii="Arial" w:hAnsi="Arial" w:cs="Arial"/>
          <w:noProof/>
        </w:rPr>
        <w:t xml:space="preserve">(Mcintyre </w:t>
      </w:r>
      <w:r w:rsidR="00343C56" w:rsidRPr="00343C56">
        <w:rPr>
          <w:rFonts w:ascii="Arial" w:hAnsi="Arial" w:cs="Arial"/>
          <w:i/>
          <w:noProof/>
        </w:rPr>
        <w:t>et al.</w:t>
      </w:r>
      <w:r w:rsidR="00343C56" w:rsidRPr="00343C56">
        <w:rPr>
          <w:rFonts w:ascii="Arial" w:hAnsi="Arial" w:cs="Arial"/>
          <w:noProof/>
        </w:rPr>
        <w:t xml:space="preserve"> 2014)</w:t>
      </w:r>
      <w:r w:rsidR="00343C56">
        <w:rPr>
          <w:rFonts w:ascii="Arial" w:hAnsi="Arial" w:cs="Arial"/>
        </w:rPr>
        <w:fldChar w:fldCharType="end"/>
      </w:r>
      <w:r w:rsidR="006F5186">
        <w:rPr>
          <w:rFonts w:ascii="Arial" w:hAnsi="Arial" w:cs="Arial"/>
        </w:rPr>
        <w:t>.</w:t>
      </w:r>
      <w:r w:rsidR="00F41B50">
        <w:rPr>
          <w:rFonts w:ascii="Arial" w:hAnsi="Arial" w:cs="Arial"/>
        </w:rPr>
        <w:t xml:space="preserve"> </w:t>
      </w:r>
      <w:r w:rsidR="006F5186">
        <w:rPr>
          <w:rFonts w:ascii="Arial" w:hAnsi="Arial" w:cs="Arial"/>
        </w:rPr>
        <w:t>Where mortality is particularly high</w:t>
      </w:r>
      <w:r w:rsidR="001F0817">
        <w:rPr>
          <w:rFonts w:ascii="Arial" w:hAnsi="Arial" w:cs="Arial"/>
        </w:rPr>
        <w:t>,</w:t>
      </w:r>
      <w:r w:rsidR="006F5186">
        <w:rPr>
          <w:rFonts w:ascii="Arial" w:hAnsi="Arial" w:cs="Arial"/>
        </w:rPr>
        <w:t xml:space="preserve"> as seen in </w:t>
      </w:r>
      <w:r w:rsidR="001F0817">
        <w:rPr>
          <w:rFonts w:ascii="Arial" w:hAnsi="Arial" w:cs="Arial"/>
        </w:rPr>
        <w:t>Eastern Amazonian forests where repeated fires have taken place</w:t>
      </w:r>
      <w:r w:rsidR="00343C56">
        <w:rPr>
          <w:rFonts w:ascii="Arial" w:hAnsi="Arial" w:cs="Arial"/>
        </w:rPr>
        <w:t>, this can result in shifts to relatively treeless states</w:t>
      </w:r>
      <w:r w:rsidR="001F0817">
        <w:rPr>
          <w:rFonts w:ascii="Arial" w:hAnsi="Arial" w:cs="Arial"/>
        </w:rPr>
        <w:t xml:space="preserve"> </w:t>
      </w:r>
      <w:r w:rsidR="001F0817">
        <w:rPr>
          <w:rFonts w:ascii="Arial" w:hAnsi="Arial" w:cs="Arial"/>
        </w:rPr>
        <w:fldChar w:fldCharType="begin" w:fldLock="1"/>
      </w:r>
      <w:r w:rsidR="005915D6">
        <w:rPr>
          <w:rFonts w:ascii="Arial" w:hAnsi="Arial" w:cs="Arial"/>
        </w:rPr>
        <w:instrText>ADDIN CSL_CITATION { "citationItems" : [ { "id" : "ITEM-1", "itemData" : { "DOI" : "10.1098/rstb.2007.0013", "ISSN" : "0962-8436", "PMID" : "18267911", "abstract" : "The only fully coupled land-atmosphere global climate model predicts a widespread dieback of Amazonian forest cover through reduced precipitation. Although these predictions are controversial, the structural and compositional resilience of Amazonian forests may also have been overestimated, as current vegetation models fail to consider the potential role of fire in the degradation of forest ecosystems. We examine forest structure and composition in the Arapiuns River basin in the central Brazilian Amazon, evaluating post-fire forest recovery and the consequences of recurrent fires for the patterns of dominance of tree species. We surveyed tree plots in unburned and once-burned forests examined 1, 3 and 9 years after an unprecedented fire event, in twice-burned forests examined 3 and 9 years after fire and in thrice-burned forests examined 5 years after the most recent fire event. The number of trees recorded in unburned primary forest control plots was stable over time. However, in both once- and twice-burned forest plots, there was a marked recruitment into the 10-20cm diameter at breast height tree size classes between 3 and 9 years post-fire. Considering tree assemblage composition 9 years after the first fire contact, we observed (i) a clear pattern of community turnover among small trees and the most abundant shrubs and saplings, and (ii) that species that were common in any of the four burn treatments (unburned, once-, twice- and thrice-burned) were often rare or entirely absent in other burn treatments. We conclude that episodic wildfires can lead to drastic changes in forest structure and composition, with cascading shifts in forest composition following each additional fire event. Finally, we use these results to evaluate the validity of the savannization paradigm.", "author" : [ { "dropping-particle" : "", "family" : "Barlow", "given" : "Jos", "non-dropping-particle" : "", "parse-names" : false, "suffix" : "" }, { "dropping-particle" : "", "family" : "Peres", "given" : "Carlos a", "non-dropping-particle" : "", "parse-names" : false, "suffix" : "" } ], "container-title" : "Philosophical transactions of the Royal Society of London. Series B, Biological sciences", "id" : "ITEM-1", "issue" : "1498", "issued" : { "date-parts" : [ [ "2008", "5", "27" ] ] }, "page" : "1787-94", "title" : "Fire-mediated dieback and compositional cascade in an Amazonian forest.", "type" : "article-journal", "volume" : "363" }, "uris" : [ "http://www.mendeley.com/documents/?uuid=00f67383-2dfa-4601-b21a-cf66f936b25c" ] }, { "id" : "ITEM-2", "itemData" : { "DOI" : "10.1073/pnas.1305499111", "ISSN" : "1091-6490", "PMID" : "24733937", "abstract" : "Interactions between climate and land-use change may drive widespread degradation of Amazonian forests. High-intensity fires associated with extreme weather events could accelerate this degradation by abruptly increasing tree mortality, but this process remains poorly understood. Here we present, to our knowledge, the first field-based evidence of a tipping point in Amazon forests due to altered fire regimes. Based on results of a large-scale, long-term experiment with annual and triennial burn regimes (B1yr and B3yr, respectively) in the Amazon, we found abrupt increases in fire-induced tree mortality (226 and 462%) during a severe drought event, when fuel loads and air temperatures were substantially higher and relative humidity was lower than long-term averages. This threshold mortality response had a cascading effect, causing sharp declines in canopy cover (23 and 31%) and aboveground live biomass (12 and 30%) and favoring widespread invasion by flammable grasses across the forest edge area (80 and 63%), where fires were most intense (e.g., 220 and 820 kW\u22c5m(-1)). During the droughts of 2007 and 2010, regional forest fires burned 12 and 5% of southeastern Amazon forests, respectively, compared with &lt;1% in nondrought years. These results show that a few extreme drought events, coupled with forest fragmentation and anthropogenic ignition sources, are already causing widespread fire-induced tree mortality and forest degradation across southeastern Amazon forests. Future projections of vegetation responses to climate change across drier portions of the Amazon require more than simulation of global climate forcing alone and must also include interactions of extreme weather events, fire, and land-use change.", "author" : [ { "dropping-particle" : "", "family" : "Brando", "given" : "Paulo Monteiro", "non-dropping-particle" : "", "parse-names" : false, "suffix" : "" }, { "dropping-particle" : "", "family" : "Balch", "given" : "Jennifer K", "non-dropping-particle" : "", "parse-names" : false, "suffix" : "" }, { "dropping-particle" : "", "family" : "Nepstad", "given" : "Daniel C", "non-dropping-particle" : "", "parse-names" : false, "suffix" : "" }, { "dropping-particle" : "", "family" : "Morton", "given" : "Douglas C", "non-dropping-particle" : "", "parse-names" : false, "suffix" : "" }, { "dropping-particle" : "", "family" : "Putz", "given" : "Francis E", "non-dropping-particle" : "", "parse-names" : false, "suffix" : "" }, { "dropping-particle" : "", "family" : "Coe", "given" : "Michael T", "non-dropping-particle" : "", "parse-names" : false, "suffix" : "" }, { "dropping-particle" : "", "family" : "Silv\u00e9rio", "given" : "Divino", "non-dropping-particle" : "", "parse-names" : false, "suffix" : "" }, { "dropping-particle" : "", "family" : "Macedo", "given" : "Marcia N", "non-dropping-particle" : "", "parse-names" : false, "suffix" : "" }, { "dropping-particle" : "", "family" : "Davidson", "given" : "Eric A", "non-dropping-particle" : "", "parse-names" : false, "suffix" : "" }, { "dropping-particle" : "", "family" : "N\u00f3brega", "given" : "Caroline C", "non-dropping-particle" : "", "parse-names" : false, "suffix" : "" }, { "dropping-particle" : "", "family" : "Alencar", "given" : "Ane", "non-dropping-particle" : "", "parse-names" : false, "suffix" : "" }, { "dropping-particle" : "", "family" : "Soares-Filho", "given" : "Britaldo S", "non-dropping-particle" : "", "parse-names" : false, "suffix" : "" } ], "container-title" : "Proceedings of the National Academy of Sciences of the United States of America", "id" : "ITEM-2", "issue" : "17", "issued" : { "date-parts" : [ [ "2014", "4", "29" ] ] }, "page" : "6347-52", "title" : "Abrupt increases in Amazonian tree mortality due to drought-fire interactions.", "type" : "article-journal", "volume" : "111" }, "uris" : [ "http://www.mendeley.com/documents/?uuid=640c3339-44c4-4a0f-bfa1-a91bd2c74aa8" ] } ], "mendeley" : { "formattedCitation" : "(Barlow &amp; Peres 2008; Brando &lt;i&gt;et al.&lt;/i&gt; 2014)", "plainTextFormattedCitation" : "(Barlow &amp; Peres 2008; Brando et al. 2014)", "previouslyFormattedCitation" : "(Barlow &amp; Peres 2008; Brando &lt;i&gt;et al.&lt;/i&gt; 2014)" }, "properties" : { "noteIndex" : 0 }, "schema" : "https://github.com/citation-style-language/schema/raw/master/csl-citation.json" }</w:instrText>
      </w:r>
      <w:r w:rsidR="001F0817">
        <w:rPr>
          <w:rFonts w:ascii="Arial" w:hAnsi="Arial" w:cs="Arial"/>
        </w:rPr>
        <w:fldChar w:fldCharType="separate"/>
      </w:r>
      <w:r w:rsidR="00343C56" w:rsidRPr="00343C56">
        <w:rPr>
          <w:rFonts w:ascii="Arial" w:hAnsi="Arial" w:cs="Arial"/>
          <w:noProof/>
        </w:rPr>
        <w:t xml:space="preserve">(Barlow &amp; Peres 2008; Brando </w:t>
      </w:r>
      <w:r w:rsidR="00343C56" w:rsidRPr="00343C56">
        <w:rPr>
          <w:rFonts w:ascii="Arial" w:hAnsi="Arial" w:cs="Arial"/>
          <w:i/>
          <w:noProof/>
        </w:rPr>
        <w:t>et al.</w:t>
      </w:r>
      <w:r w:rsidR="00343C56" w:rsidRPr="00343C56">
        <w:rPr>
          <w:rFonts w:ascii="Arial" w:hAnsi="Arial" w:cs="Arial"/>
          <w:noProof/>
        </w:rPr>
        <w:t xml:space="preserve"> 2014)</w:t>
      </w:r>
      <w:r w:rsidR="001F0817">
        <w:rPr>
          <w:rFonts w:ascii="Arial" w:hAnsi="Arial" w:cs="Arial"/>
        </w:rPr>
        <w:fldChar w:fldCharType="end"/>
      </w:r>
      <w:r w:rsidR="00F41B50">
        <w:rPr>
          <w:rFonts w:ascii="Arial" w:hAnsi="Arial" w:cs="Arial"/>
        </w:rPr>
        <w:t xml:space="preserve">. </w:t>
      </w:r>
      <w:r w:rsidR="006F5186">
        <w:rPr>
          <w:rFonts w:ascii="Arial" w:hAnsi="Arial" w:cs="Arial"/>
        </w:rPr>
        <w:t>Any such transition</w:t>
      </w:r>
      <w:r w:rsidR="00343C56">
        <w:rPr>
          <w:rFonts w:ascii="Arial" w:hAnsi="Arial" w:cs="Arial"/>
        </w:rPr>
        <w:t>s</w:t>
      </w:r>
      <w:r w:rsidR="006F5186">
        <w:rPr>
          <w:rFonts w:ascii="Arial" w:hAnsi="Arial" w:cs="Arial"/>
        </w:rPr>
        <w:t xml:space="preserve"> from forest to a non-forest ecosystem would </w:t>
      </w:r>
      <w:r w:rsidR="003B4207">
        <w:rPr>
          <w:rFonts w:ascii="Arial" w:hAnsi="Arial" w:cs="Arial"/>
        </w:rPr>
        <w:t xml:space="preserve">inevitably </w:t>
      </w:r>
      <w:r w:rsidR="006F5186">
        <w:rPr>
          <w:rFonts w:ascii="Arial" w:hAnsi="Arial" w:cs="Arial"/>
        </w:rPr>
        <w:t xml:space="preserve">result </w:t>
      </w:r>
      <w:r w:rsidR="003B4207">
        <w:rPr>
          <w:rFonts w:ascii="Arial" w:hAnsi="Arial" w:cs="Arial"/>
        </w:rPr>
        <w:t>in</w:t>
      </w:r>
      <w:r w:rsidR="006F5186">
        <w:rPr>
          <w:rFonts w:ascii="Arial" w:hAnsi="Arial" w:cs="Arial"/>
        </w:rPr>
        <w:t xml:space="preserve"> large </w:t>
      </w:r>
      <w:r w:rsidR="003B4207">
        <w:rPr>
          <w:rFonts w:ascii="Arial" w:hAnsi="Arial" w:cs="Arial"/>
        </w:rPr>
        <w:t xml:space="preserve">emissions of </w:t>
      </w:r>
      <w:r w:rsidR="006F5186">
        <w:rPr>
          <w:rFonts w:ascii="Arial" w:hAnsi="Arial" w:cs="Arial"/>
        </w:rPr>
        <w:t xml:space="preserve">carbon as well as potentially </w:t>
      </w:r>
      <w:r w:rsidR="003B4207">
        <w:rPr>
          <w:rFonts w:ascii="Arial" w:hAnsi="Arial" w:cs="Arial"/>
        </w:rPr>
        <w:t>negative</w:t>
      </w:r>
      <w:r w:rsidR="006F5186">
        <w:rPr>
          <w:rFonts w:ascii="Arial" w:hAnsi="Arial" w:cs="Arial"/>
        </w:rPr>
        <w:t xml:space="preserve"> </w:t>
      </w:r>
      <w:r w:rsidR="003B4207">
        <w:rPr>
          <w:rFonts w:ascii="Arial" w:hAnsi="Arial" w:cs="Arial"/>
        </w:rPr>
        <w:t>impacts</w:t>
      </w:r>
      <w:r w:rsidR="006F5186">
        <w:rPr>
          <w:rFonts w:ascii="Arial" w:hAnsi="Arial" w:cs="Arial"/>
        </w:rPr>
        <w:t xml:space="preserve"> </w:t>
      </w:r>
      <w:r w:rsidR="003B4207">
        <w:rPr>
          <w:rFonts w:ascii="Arial" w:hAnsi="Arial" w:cs="Arial"/>
        </w:rPr>
        <w:t xml:space="preserve">on </w:t>
      </w:r>
      <w:r w:rsidR="006F5186">
        <w:rPr>
          <w:rFonts w:ascii="Arial" w:hAnsi="Arial" w:cs="Arial"/>
        </w:rPr>
        <w:t>other ecosystem services and conservation priorities.</w:t>
      </w:r>
    </w:p>
    <w:p w:rsidR="00F75EED" w:rsidRDefault="00F75EED" w:rsidP="00A7669F">
      <w:pPr>
        <w:pStyle w:val="ListParagraph"/>
        <w:numPr>
          <w:ilvl w:val="0"/>
          <w:numId w:val="8"/>
        </w:numPr>
        <w:spacing w:line="360" w:lineRule="auto"/>
        <w:rPr>
          <w:rFonts w:ascii="Arial" w:hAnsi="Arial" w:cs="Arial"/>
        </w:rPr>
      </w:pPr>
      <w:r>
        <w:rPr>
          <w:rFonts w:ascii="Arial" w:hAnsi="Arial" w:cs="Arial"/>
        </w:rPr>
        <w:t>Identification of what drives tree recruitment and mortality could aid production of indicators of resilience</w:t>
      </w:r>
    </w:p>
    <w:p w:rsidR="003B4207" w:rsidRDefault="00343C56" w:rsidP="00A7669F">
      <w:pPr>
        <w:spacing w:line="360" w:lineRule="auto"/>
        <w:ind w:left="360"/>
        <w:contextualSpacing/>
        <w:rPr>
          <w:rFonts w:ascii="Arial" w:hAnsi="Arial" w:cs="Arial"/>
        </w:rPr>
      </w:pPr>
      <w:r>
        <w:rPr>
          <w:rFonts w:ascii="Arial" w:hAnsi="Arial" w:cs="Arial"/>
        </w:rPr>
        <w:t xml:space="preserve">While numerous studies </w:t>
      </w:r>
      <w:r w:rsidR="000547AC">
        <w:rPr>
          <w:rFonts w:ascii="Arial" w:hAnsi="Arial" w:cs="Arial"/>
        </w:rPr>
        <w:t>have</w:t>
      </w:r>
      <w:r>
        <w:rPr>
          <w:rFonts w:ascii="Arial" w:hAnsi="Arial" w:cs="Arial"/>
        </w:rPr>
        <w:t xml:space="preserve"> details of increases in mortality over recent decades relatively few </w:t>
      </w:r>
      <w:r w:rsidR="005915D6">
        <w:rPr>
          <w:rFonts w:ascii="Arial" w:hAnsi="Arial" w:cs="Arial"/>
        </w:rPr>
        <w:t xml:space="preserve">identify what factors determine the likelihood of tree death when a transition is occurring. </w:t>
      </w:r>
      <w:r w:rsidR="005915D6">
        <w:rPr>
          <w:rFonts w:ascii="Arial" w:hAnsi="Arial" w:cs="Arial"/>
        </w:rPr>
        <w:fldChar w:fldCharType="begin" w:fldLock="1"/>
      </w:r>
      <w:r w:rsidR="005915D6">
        <w:rPr>
          <w:rFonts w:ascii="Arial" w:hAnsi="Arial" w:cs="Arial"/>
        </w:rPr>
        <w:instrText>ADDIN CSL_CITATION { "citationItems" : [ { "id" : "ITEM-1", "itemData" : { "DOI" : "10.1046/j.1461-0248.2003.00520.x", "ISBN" : "1461-023X", "ISSN" : "1461023X", "abstract" : "Enquist and Niklas propose that trees in natural forests have invariant size-density distributions (SDDs) that scale as a -2 power of stem diameter, although early studies described such distributions using negative exponential functions. Using New Zealand and 'global' data sets, we demonstrate that neither type of function accurately describes the SDD over the entire diameter range. Instead, scaling functions provide the best fit to smaller stems, while negative exponential functions provide the best fit to larger stems. We argue that these patterns are consistent with competition shaping the small-stem phase and exogenous disturbance shaping the large-stem phase. Mortality rates, estimated from repeat measurements on 1546 New Zealand plots, fell precipitously with stem size until 18 cm but remained constant after that, consistent with our arguments. Even in the small-stem phase, where SDDs were best described by scaling functions, the scaling exponents were not invariantly -2, but differed significantly from this value in both the 'global' and New Zealand data sets, and varied through time in the New Zealand data set.", "author" : [ { "dropping-particle" : "", "family" : "Coomes", "given" : "David a.", "non-dropping-particle" : "", "parse-names" : false, "suffix" : "" }, { "dropping-particle" : "", "family" : "Duncan", "given" : "Richard P.", "non-dropping-particle" : "", "parse-names" : false, "suffix" : "" }, { "dropping-particle" : "", "family" : "Allen", "given" : "Robert B.", "non-dropping-particle" : "", "parse-names" : false, "suffix" : "" }, { "dropping-particle" : "", "family" : "Truscott", "given" : "James", "non-dropping-particle" : "", "parse-names" : false, "suffix" : "" } ], "container-title" : "Ecology Letters", "id" : "ITEM-1", "issued" : { "date-parts" : [ [ "2003" ] ] }, "page" : "980-989", "title" : "Disturbances prevent stem size-density distributions in natural forests from following scaling relationships", "type" : "article-journal", "volume" : "6" }, "uris" : [ "http://www.mendeley.com/documents/?uuid=7226124d-560b-4493-b6ea-6ee861fe3201" ] } ], "mendeley" : { "formattedCitation" : "(Coomes &lt;i&gt;et al.&lt;/i&gt; 2003)", "manualFormatting" : "Coomes et al. (2003)", "plainTextFormattedCitation" : "(Coomes et al. 2003)", "previouslyFormattedCitation" : "(Coomes &lt;i&gt;et al.&lt;/i&gt; 2003)" }, "properties" : { "noteIndex" : 0 }, "schema" : "https://github.com/citation-style-language/schema/raw/master/csl-citation.json" }</w:instrText>
      </w:r>
      <w:r w:rsidR="005915D6">
        <w:rPr>
          <w:rFonts w:ascii="Arial" w:hAnsi="Arial" w:cs="Arial"/>
        </w:rPr>
        <w:fldChar w:fldCharType="separate"/>
      </w:r>
      <w:r w:rsidR="005915D6" w:rsidRPr="005915D6">
        <w:rPr>
          <w:rFonts w:ascii="Arial" w:hAnsi="Arial" w:cs="Arial"/>
          <w:noProof/>
        </w:rPr>
        <w:t xml:space="preserve">Coomes </w:t>
      </w:r>
      <w:r w:rsidR="005915D6" w:rsidRPr="005915D6">
        <w:rPr>
          <w:rFonts w:ascii="Arial" w:hAnsi="Arial" w:cs="Arial"/>
          <w:i/>
          <w:noProof/>
        </w:rPr>
        <w:t>et al.</w:t>
      </w:r>
      <w:r w:rsidR="005915D6" w:rsidRPr="005915D6">
        <w:rPr>
          <w:rFonts w:ascii="Arial" w:hAnsi="Arial" w:cs="Arial"/>
          <w:noProof/>
        </w:rPr>
        <w:t xml:space="preserve"> </w:t>
      </w:r>
      <w:r w:rsidR="005915D6">
        <w:rPr>
          <w:rFonts w:ascii="Arial" w:hAnsi="Arial" w:cs="Arial"/>
          <w:noProof/>
        </w:rPr>
        <w:t>(</w:t>
      </w:r>
      <w:r w:rsidR="005915D6" w:rsidRPr="005915D6">
        <w:rPr>
          <w:rFonts w:ascii="Arial" w:hAnsi="Arial" w:cs="Arial"/>
          <w:noProof/>
        </w:rPr>
        <w:t>2003)</w:t>
      </w:r>
      <w:r w:rsidR="005915D6">
        <w:rPr>
          <w:rFonts w:ascii="Arial" w:hAnsi="Arial" w:cs="Arial"/>
        </w:rPr>
        <w:fldChar w:fldCharType="end"/>
      </w:r>
      <w:r w:rsidR="005915D6">
        <w:rPr>
          <w:rFonts w:ascii="Arial" w:hAnsi="Arial" w:cs="Arial"/>
        </w:rPr>
        <w:t xml:space="preserve"> suggest that in the event of disturbance larger trees are likely to be more prone to death than small or intermediate trees and this </w:t>
      </w:r>
      <w:commentRangeStart w:id="0"/>
      <w:r w:rsidR="005915D6">
        <w:rPr>
          <w:rFonts w:ascii="Arial" w:hAnsi="Arial" w:cs="Arial"/>
        </w:rPr>
        <w:t xml:space="preserve">appears to be true in many cases where transitions to non-forest states are occurring </w:t>
      </w:r>
      <w:r w:rsidR="005915D6">
        <w:rPr>
          <w:rFonts w:ascii="Arial" w:hAnsi="Arial" w:cs="Arial"/>
        </w:rPr>
        <w:fldChar w:fldCharType="begin" w:fldLock="1"/>
      </w:r>
      <w:r w:rsidR="00E55003">
        <w:rPr>
          <w:rFonts w:ascii="Arial" w:hAnsi="Arial" w:cs="Arial"/>
        </w:rPr>
        <w:instrText>ADDIN CSL_CITATION { "citationItems" : [ { "id" : "ITEM-1", "itemData" : { "author" : [ { "dropping-particle" : "", "family" : "Barlow", "given" : "J", "non-dropping-particle" : "", "parse-names" : false, "suffix" : "" }, { "dropping-particle" : "", "family" : "Peres", "given" : "CA", "non-dropping-particle" : "", "parse-names" : false, "suffix" : "" }, { "dropping-particle" : "", "family" : "Lagan", "given" : "BO", "non-dropping-particle" : "", "parse-names" : false, "suffix" : "" }, { "dropping-particle" : "", "family" : "Haugaasen", "given" : "T", "non-dropping-particle" : "", "parse-names" : false, "suffix" : "" } ], "container-title" : "Ecology letters", "id" : "ITEM-1", "issued" : { "date-parts" : [ [ "2002" ] ] }, "page" : "6-8", "title" : "Large tree mortality and the decline of forest biomass following Amazonian wildfires", "type" : "article-journal" }, "uris" : [ "http://www.mendeley.com/documents/?uuid=f5f38b47-59a0-443c-87a0-94ce94cb44ed" ] }, { "id" : "ITEM-2", "itemData" : { "DOI" : "10.1073/pnas.1410186112", "author" : [ { "dropping-particle" : "", "family" : "Mcintyre", "given" : "Patrick J", "non-dropping-particle" : "", "parse-names" : false, "suffix" : "" }, { "dropping-particle" : "", "family" : "Thorne", "given" : "James H", "non-dropping-particle" : "", "parse-names" : false, "suffix" : "" }, { "dropping-particle" : "", "family" : "Dolanc", "given" : "Christopher R", "non-dropping-particle" : "", "parse-names" : false, "suffix" : "" }, { "dropping-particle" : "", "family" : "Flint", "given" : "Alan L", "non-dropping-particle" : "", "parse-names" : false, "suffix" : "" }, { "dropping-particle" : "", "family" : "Flint", "given" : "Lorraine E", "non-dropping-particle" : "", "parse-names" : false, "suffix" : "" }, { "dropping-particle" : "", "family" : "Kelly", "given" : "Maggi", "non-dropping-particle" : "", "parse-names" : false, "suffix" : "" }, { "dropping-particle" : "", "family" : "Ackerly", "given" : "David D", "non-dropping-particle" : "", "parse-names" : false, "suffix" : "" } ], "id" : "ITEM-2", "issued" : { "date-parts" : [ [ "2014" ] ] }, "page" : "1-6", "title" : "Twentieth-century shifts in forest structure in California : Denser forests , smaller trees , and increased dominance of oaks", "type" : "article-journal" }, "uris" : [ "http://www.mendeley.com/documents/?uuid=35486c45-3317-41f9-978b-f2734fbef1ab" ] } ], "mendeley" : { "formattedCitation" : "(Barlow &lt;i&gt;et al.&lt;/i&gt; 2002; Mcintyre &lt;i&gt;et al.&lt;/i&gt; 2014)", "plainTextFormattedCitation" : "(Barlow et al. 2002; Mcintyre et al. 2014)", "previouslyFormattedCitation" : "(Barlow &lt;i&gt;et al.&lt;/i&gt; 2002; Mcintyre &lt;i&gt;et al.&lt;/i&gt; 2014)" }, "properties" : { "noteIndex" : 0 }, "schema" : "https://github.com/citation-style-language/schema/raw/master/csl-citation.json" }</w:instrText>
      </w:r>
      <w:r w:rsidR="005915D6">
        <w:rPr>
          <w:rFonts w:ascii="Arial" w:hAnsi="Arial" w:cs="Arial"/>
        </w:rPr>
        <w:fldChar w:fldCharType="separate"/>
      </w:r>
      <w:r w:rsidR="005915D6" w:rsidRPr="005915D6">
        <w:rPr>
          <w:rFonts w:ascii="Arial" w:hAnsi="Arial" w:cs="Arial"/>
          <w:noProof/>
        </w:rPr>
        <w:t xml:space="preserve">(Barlow </w:t>
      </w:r>
      <w:r w:rsidR="005915D6" w:rsidRPr="005915D6">
        <w:rPr>
          <w:rFonts w:ascii="Arial" w:hAnsi="Arial" w:cs="Arial"/>
          <w:i/>
          <w:noProof/>
        </w:rPr>
        <w:t>et al.</w:t>
      </w:r>
      <w:r w:rsidR="005915D6" w:rsidRPr="005915D6">
        <w:rPr>
          <w:rFonts w:ascii="Arial" w:hAnsi="Arial" w:cs="Arial"/>
          <w:noProof/>
        </w:rPr>
        <w:t xml:space="preserve"> 2002; Mcintyre </w:t>
      </w:r>
      <w:r w:rsidR="005915D6" w:rsidRPr="005915D6">
        <w:rPr>
          <w:rFonts w:ascii="Arial" w:hAnsi="Arial" w:cs="Arial"/>
          <w:i/>
          <w:noProof/>
        </w:rPr>
        <w:t>et al.</w:t>
      </w:r>
      <w:r w:rsidR="005915D6" w:rsidRPr="005915D6">
        <w:rPr>
          <w:rFonts w:ascii="Arial" w:hAnsi="Arial" w:cs="Arial"/>
          <w:noProof/>
        </w:rPr>
        <w:t xml:space="preserve"> 2014)</w:t>
      </w:r>
      <w:r w:rsidR="005915D6">
        <w:rPr>
          <w:rFonts w:ascii="Arial" w:hAnsi="Arial" w:cs="Arial"/>
        </w:rPr>
        <w:fldChar w:fldCharType="end"/>
      </w:r>
      <w:r w:rsidR="004A5CBE">
        <w:rPr>
          <w:rFonts w:ascii="Arial" w:hAnsi="Arial" w:cs="Arial"/>
        </w:rPr>
        <w:t>.</w:t>
      </w:r>
      <w:commentRangeEnd w:id="0"/>
      <w:r w:rsidR="004A5CBE">
        <w:rPr>
          <w:rStyle w:val="CommentReference"/>
        </w:rPr>
        <w:commentReference w:id="0"/>
      </w:r>
      <w:r w:rsidR="004A5CBE">
        <w:rPr>
          <w:rFonts w:ascii="Arial" w:hAnsi="Arial" w:cs="Arial"/>
        </w:rPr>
        <w:t xml:space="preserve"> </w:t>
      </w:r>
      <w:r w:rsidR="00E55003">
        <w:rPr>
          <w:rFonts w:ascii="Arial" w:hAnsi="Arial" w:cs="Arial"/>
        </w:rPr>
        <w:t xml:space="preserve">Given that large trees produce large amounts of seeds </w:t>
      </w:r>
      <w:r w:rsidR="00E55003">
        <w:rPr>
          <w:rFonts w:ascii="Arial" w:hAnsi="Arial" w:cs="Arial"/>
        </w:rPr>
        <w:fldChar w:fldCharType="begin" w:fldLock="1"/>
      </w:r>
      <w:r w:rsidR="00B93215">
        <w:rPr>
          <w:rFonts w:ascii="Arial" w:hAnsi="Arial" w:cs="Arial"/>
        </w:rPr>
        <w:instrText>ADDIN CSL_CITATION { "citationItems" : [ { "id" : "ITEM-1", "itemData" : { "ISSN" : "0012-9658", "author" : [ { "dropping-particle" : "", "family" : "Greene", "given" : "D F", "non-dropping-particle" : "", "parse-names" : false, "suffix" : "" }, { "dropping-particle" : "", "family" : "Johnson", "given" : "E A", "non-dropping-particle" : "", "parse-names" : false, "suffix" : "" } ], "container-title" : "Ecology", "id" : "ITEM-1", "issued" : { "date-parts" : [ [ "1994" ] ] }, "page" : "642-647", "publisher" : "JSTOR", "title" : "Estimating the mean annual seed production of trees", "type" : "article-journal" }, "uris" : [ "http://www.mendeley.com/documents/?uuid=53648053-1afe-40db-9908-d44d84e8ff49" ] } ], "mendeley" : { "formattedCitation" : "(Greene &amp; Johnson 1994)", "plainTextFormattedCitation" : "(Greene &amp; Johnson 1994)", "previouslyFormattedCitation" : "(Greene &amp; Johnson 1994)" }, "properties" : { "noteIndex" : 0 }, "schema" : "https://github.com/citation-style-language/schema/raw/master/csl-citation.json" }</w:instrText>
      </w:r>
      <w:r w:rsidR="00E55003">
        <w:rPr>
          <w:rFonts w:ascii="Arial" w:hAnsi="Arial" w:cs="Arial"/>
        </w:rPr>
        <w:fldChar w:fldCharType="separate"/>
      </w:r>
      <w:r w:rsidR="00E55003" w:rsidRPr="00E55003">
        <w:rPr>
          <w:rFonts w:ascii="Arial" w:hAnsi="Arial" w:cs="Arial"/>
          <w:noProof/>
        </w:rPr>
        <w:t>(Greene &amp; Johnson 1994)</w:t>
      </w:r>
      <w:r w:rsidR="00E55003">
        <w:rPr>
          <w:rFonts w:ascii="Arial" w:hAnsi="Arial" w:cs="Arial"/>
        </w:rPr>
        <w:fldChar w:fldCharType="end"/>
      </w:r>
      <w:r w:rsidR="00E55003">
        <w:rPr>
          <w:rFonts w:ascii="Arial" w:hAnsi="Arial" w:cs="Arial"/>
        </w:rPr>
        <w:t xml:space="preserve"> and </w:t>
      </w:r>
      <w:r w:rsidR="004A5CBE">
        <w:rPr>
          <w:rFonts w:ascii="Arial" w:hAnsi="Arial" w:cs="Arial"/>
        </w:rPr>
        <w:t xml:space="preserve">play a vital role in maintaining the microclimatic conditions of forests by limiting </w:t>
      </w:r>
      <w:r w:rsidR="00E55003">
        <w:rPr>
          <w:rFonts w:ascii="Arial" w:hAnsi="Arial" w:cs="Arial"/>
        </w:rPr>
        <w:t xml:space="preserve">the </w:t>
      </w:r>
      <w:r w:rsidR="004A5CBE">
        <w:rPr>
          <w:rFonts w:ascii="Arial" w:hAnsi="Arial" w:cs="Arial"/>
        </w:rPr>
        <w:t xml:space="preserve">light reaching the forest floor their loss may have important consequences for </w:t>
      </w:r>
      <w:r w:rsidR="00E55003">
        <w:rPr>
          <w:rFonts w:ascii="Arial" w:hAnsi="Arial" w:cs="Arial"/>
        </w:rPr>
        <w:t xml:space="preserve">recruitment. In addition to tree size it has been widely seen that </w:t>
      </w:r>
      <w:r w:rsidR="00B93215">
        <w:rPr>
          <w:rFonts w:ascii="Arial" w:hAnsi="Arial" w:cs="Arial"/>
        </w:rPr>
        <w:t xml:space="preserve">slow growing trees tend to have increased risk of mortality. This observation may be particularly useful in the context of forests at risk of transitions to non-forest states since it may serve as an early warning indicator of low resilience </w:t>
      </w:r>
      <w:r w:rsidR="00B93215">
        <w:rPr>
          <w:rFonts w:ascii="Arial" w:hAnsi="Arial" w:cs="Arial"/>
        </w:rPr>
        <w:fldChar w:fldCharType="begin" w:fldLock="1"/>
      </w:r>
      <w:r w:rsidR="009578E6">
        <w:rPr>
          <w:rFonts w:ascii="Arial" w:hAnsi="Arial" w:cs="Arial"/>
        </w:rPr>
        <w:instrText>ADDIN CSL_CITATION { "citationItems" : [ { "id" : "ITEM-1", "itemData" : { "DOI" : "10.1111/1365-2745.12295", "ISSN" : "00220477", "author" : [ { "dropping-particle" : "", "family" : "Camarero", "given" : "J. Julio", "non-dropping-particle" : "", "parse-names" : false, "suffix" : "" }, { "dropping-particle" : "", "family" : "Gazol", "given" : "Antonio", "non-dropping-particle" : "", "parse-names" : false, "suffix" : "" }, { "dropping-particle" : "", "family" : "Sang\u00fcesa-Barreda", "given" : "Gabriel", "non-dropping-particle" : "", "parse-names" : false, "suffix" : "" }, { "dropping-particle" : "", "family" : "Oliva", "given" : "Jon\u00e0s", "non-dropping-particle" : "", "parse-names" : false, "suffix" : "" }, { "dropping-particle" : "", "family" : "Vicente-Serrano", "given" : "Sergio M.", "non-dropping-particle" : "", "parse-names" : false, "suffix" : "" } ], "container-title" : "Journal of Ecology", "editor" : [ { "dropping-particle" : "", "family" : "Gibson", "given" : "David", "non-dropping-particle" : "", "parse-names" : false, "suffix" : "" } ], "id" : "ITEM-1", "issue" : "1", "issued" : { "date-parts" : [ [ "2015", "1", "7" ] ] }, "page" : "44-57", "title" : "To die or not to die: early warnings of tree dieback in response to a severe drought", "type" : "article-journal", "volume" : "103" }, "uris" : [ "http://www.mendeley.com/documents/?uuid=b9630280-c1b7-4b33-9d7d-e83ca6e8a05b" ] } ], "mendeley" : { "formattedCitation" : "(Camarero &lt;i&gt;et al.&lt;/i&gt; 2015)", "plainTextFormattedCitation" : "(Camarero et al. 2015)", "previouslyFormattedCitation" : "(Camarero &lt;i&gt;et al.&lt;/i&gt; 2015)" }, "properties" : { "noteIndex" : 0 }, "schema" : "https://github.com/citation-style-language/schema/raw/master/csl-citation.json" }</w:instrText>
      </w:r>
      <w:r w:rsidR="00B93215">
        <w:rPr>
          <w:rFonts w:ascii="Arial" w:hAnsi="Arial" w:cs="Arial"/>
        </w:rPr>
        <w:fldChar w:fldCharType="separate"/>
      </w:r>
      <w:r w:rsidR="00B93215" w:rsidRPr="00B93215">
        <w:rPr>
          <w:rFonts w:ascii="Arial" w:hAnsi="Arial" w:cs="Arial"/>
          <w:noProof/>
        </w:rPr>
        <w:t xml:space="preserve">(Camarero </w:t>
      </w:r>
      <w:r w:rsidR="00B93215" w:rsidRPr="00B93215">
        <w:rPr>
          <w:rFonts w:ascii="Arial" w:hAnsi="Arial" w:cs="Arial"/>
          <w:i/>
          <w:noProof/>
        </w:rPr>
        <w:t>et al.</w:t>
      </w:r>
      <w:r w:rsidR="00B93215" w:rsidRPr="00B93215">
        <w:rPr>
          <w:rFonts w:ascii="Arial" w:hAnsi="Arial" w:cs="Arial"/>
          <w:noProof/>
        </w:rPr>
        <w:t xml:space="preserve"> 2015)</w:t>
      </w:r>
      <w:r w:rsidR="00B93215">
        <w:rPr>
          <w:rFonts w:ascii="Arial" w:hAnsi="Arial" w:cs="Arial"/>
        </w:rPr>
        <w:fldChar w:fldCharType="end"/>
      </w:r>
      <w:r w:rsidR="00B93215">
        <w:rPr>
          <w:rFonts w:ascii="Arial" w:hAnsi="Arial" w:cs="Arial"/>
        </w:rPr>
        <w:t>.</w:t>
      </w:r>
    </w:p>
    <w:p w:rsidR="00F75EED" w:rsidRDefault="00F75EED" w:rsidP="00A7669F">
      <w:pPr>
        <w:pStyle w:val="ListParagraph"/>
        <w:numPr>
          <w:ilvl w:val="0"/>
          <w:numId w:val="8"/>
        </w:numPr>
        <w:spacing w:line="360" w:lineRule="auto"/>
        <w:rPr>
          <w:rFonts w:ascii="Arial" w:hAnsi="Arial" w:cs="Arial"/>
        </w:rPr>
      </w:pPr>
      <w:r>
        <w:rPr>
          <w:rFonts w:ascii="Arial" w:hAnsi="Arial" w:cs="Arial"/>
        </w:rPr>
        <w:t>In addition there is a potential in systems that positive feedbacks can drive system transitions</w:t>
      </w:r>
    </w:p>
    <w:p w:rsidR="007B1610" w:rsidRDefault="00B93215" w:rsidP="00A7669F">
      <w:pPr>
        <w:spacing w:line="360" w:lineRule="auto"/>
        <w:contextualSpacing/>
        <w:rPr>
          <w:rFonts w:ascii="Arial" w:hAnsi="Arial" w:cs="Arial"/>
        </w:rPr>
      </w:pPr>
      <w:r>
        <w:rPr>
          <w:rFonts w:ascii="Arial" w:hAnsi="Arial" w:cs="Arial"/>
        </w:rPr>
        <w:lastRenderedPageBreak/>
        <w:t>Positive feedbacks are important for maintaining ecosystems in their state. For example</w:t>
      </w:r>
      <w:r w:rsidR="009578E6">
        <w:rPr>
          <w:rFonts w:ascii="Arial" w:hAnsi="Arial" w:cs="Arial"/>
        </w:rPr>
        <w:t>,</w:t>
      </w:r>
      <w:r>
        <w:rPr>
          <w:rFonts w:ascii="Arial" w:hAnsi="Arial" w:cs="Arial"/>
        </w:rPr>
        <w:t xml:space="preserve"> in forests the presence of a canopy maintains relatively moist, dark conditions on the forest floor</w:t>
      </w:r>
      <w:r w:rsidR="0013537F">
        <w:rPr>
          <w:rFonts w:ascii="Arial" w:hAnsi="Arial" w:cs="Arial"/>
        </w:rPr>
        <w:t xml:space="preserve"> which results in relatively low ground flora biomass. However, </w:t>
      </w:r>
      <w:r w:rsidR="007B1610">
        <w:rPr>
          <w:rFonts w:ascii="Arial" w:hAnsi="Arial" w:cs="Arial"/>
        </w:rPr>
        <w:t xml:space="preserve">unfavourable positive feedbacks </w:t>
      </w:r>
      <w:r w:rsidR="0013537F">
        <w:rPr>
          <w:rFonts w:ascii="Arial" w:hAnsi="Arial" w:cs="Arial"/>
        </w:rPr>
        <w:t xml:space="preserve">ecosystems </w:t>
      </w:r>
      <w:r w:rsidR="007B1610">
        <w:rPr>
          <w:rFonts w:ascii="Arial" w:hAnsi="Arial" w:cs="Arial"/>
        </w:rPr>
        <w:t xml:space="preserve">can cause </w:t>
      </w:r>
      <w:r w:rsidR="0013537F">
        <w:rPr>
          <w:rFonts w:ascii="Arial" w:hAnsi="Arial" w:cs="Arial"/>
        </w:rPr>
        <w:t>transition from one state to another</w:t>
      </w:r>
      <w:r w:rsidR="007B1610">
        <w:rPr>
          <w:rFonts w:ascii="Arial" w:hAnsi="Arial" w:cs="Arial"/>
        </w:rPr>
        <w:t xml:space="preserve"> </w:t>
      </w:r>
      <w:r w:rsidR="009578E6">
        <w:rPr>
          <w:rFonts w:ascii="Arial" w:hAnsi="Arial" w:cs="Arial"/>
        </w:rPr>
        <w:t>such as when forest canopies</w:t>
      </w:r>
      <w:r w:rsidR="007B1610" w:rsidRPr="007B1610">
        <w:rPr>
          <w:rFonts w:ascii="Arial" w:hAnsi="Arial" w:cs="Arial"/>
        </w:rPr>
        <w:t xml:space="preserve"> </w:t>
      </w:r>
      <w:r w:rsidR="009578E6">
        <w:rPr>
          <w:rFonts w:ascii="Arial" w:hAnsi="Arial" w:cs="Arial"/>
        </w:rPr>
        <w:t>are</w:t>
      </w:r>
      <w:r w:rsidR="007B1610" w:rsidRPr="007B1610">
        <w:rPr>
          <w:rFonts w:ascii="Arial" w:hAnsi="Arial" w:cs="Arial"/>
        </w:rPr>
        <w:t xml:space="preserve"> disturbed lead</w:t>
      </w:r>
      <w:r w:rsidR="009578E6">
        <w:rPr>
          <w:rFonts w:ascii="Arial" w:hAnsi="Arial" w:cs="Arial"/>
        </w:rPr>
        <w:t>ing</w:t>
      </w:r>
      <w:r w:rsidR="007B1610" w:rsidRPr="007B1610">
        <w:rPr>
          <w:rFonts w:ascii="Arial" w:hAnsi="Arial" w:cs="Arial"/>
        </w:rPr>
        <w:t xml:space="preserve"> to </w:t>
      </w:r>
      <w:r w:rsidR="009578E6">
        <w:rPr>
          <w:rFonts w:ascii="Arial" w:hAnsi="Arial" w:cs="Arial"/>
        </w:rPr>
        <w:t>reduced</w:t>
      </w:r>
      <w:r w:rsidR="007B1610" w:rsidRPr="007B1610">
        <w:rPr>
          <w:rFonts w:ascii="Arial" w:hAnsi="Arial" w:cs="Arial"/>
        </w:rPr>
        <w:t xml:space="preserve"> seedling recruitment </w:t>
      </w:r>
      <w:r w:rsidR="009578E6">
        <w:rPr>
          <w:rFonts w:ascii="Arial" w:hAnsi="Arial" w:cs="Arial"/>
        </w:rPr>
        <w:t xml:space="preserve">and invasion by grasses and shrubs in Mediterranean climates </w:t>
      </w:r>
      <w:r w:rsidR="009578E6">
        <w:rPr>
          <w:rFonts w:ascii="Arial" w:hAnsi="Arial" w:cs="Arial"/>
        </w:rPr>
        <w:fldChar w:fldCharType="begin" w:fldLock="1"/>
      </w:r>
      <w:r w:rsidR="000547AC">
        <w:rPr>
          <w:rFonts w:ascii="Arial" w:hAnsi="Arial" w:cs="Arial"/>
        </w:rPr>
        <w:instrText>ADDIN CSL_CITATION { "citationItems" : [ { "id" : "ITEM-1", "itemData" : { "DOI" : "10.1007/s10021-007-9089-9", "ISSN" : "1432-9840", "author" : [ { "dropping-particle" : "", "family" : "Ac\u00e1cio", "given" : "Vanda", "non-dropping-particle" : "", "parse-names" : false, "suffix" : "" }, { "dropping-particle" : "", "family" : "Holmgren", "given" : "Milena", "non-dropping-particle" : "", "parse-names" : false, "suffix" : "" }, { "dropping-particle" : "", "family" : "Jansen", "given" : "Patrick A.", "non-dropping-particle" : "", "parse-names" : false, "suffix" : "" }, { "dropping-particle" : "", "family" : "Schrotter", "given" : "Ondrej", "non-dropping-particle" : "", "parse-names" : false, "suffix" : "" } ], "container-title" : "Ecosystems", "id" : "ITEM-1", "issue" : "7", "issued" : { "date-parts" : [ [ "2007", "10", "9" ] ] }, "page" : "1220-1230", "title" : "Multiple Recruitment Limitation Causes Arrested Succession in Mediterranean Cork Oak Systems", "type" : "article-journal", "volume" : "10" }, "uris" : [ "http://www.mendeley.com/documents/?uuid=9c2faf34-ddee-480d-97e1-66109aa85828" ] } ], "mendeley" : { "formattedCitation" : "(Ac\u00e1cio &lt;i&gt;et al.&lt;/i&gt; 2007)", "plainTextFormattedCitation" : "(Ac\u00e1cio et al. 2007)", "previouslyFormattedCitation" : "(Ac\u00e1cio &lt;i&gt;et al.&lt;/i&gt; 2007)" }, "properties" : { "noteIndex" : 0 }, "schema" : "https://github.com/citation-style-language/schema/raw/master/csl-citation.json" }</w:instrText>
      </w:r>
      <w:r w:rsidR="009578E6">
        <w:rPr>
          <w:rFonts w:ascii="Arial" w:hAnsi="Arial" w:cs="Arial"/>
        </w:rPr>
        <w:fldChar w:fldCharType="separate"/>
      </w:r>
      <w:r w:rsidR="009578E6" w:rsidRPr="009578E6">
        <w:rPr>
          <w:rFonts w:ascii="Arial" w:hAnsi="Arial" w:cs="Arial"/>
          <w:noProof/>
        </w:rPr>
        <w:t xml:space="preserve">(Acácio </w:t>
      </w:r>
      <w:r w:rsidR="009578E6" w:rsidRPr="009578E6">
        <w:rPr>
          <w:rFonts w:ascii="Arial" w:hAnsi="Arial" w:cs="Arial"/>
          <w:i/>
          <w:noProof/>
        </w:rPr>
        <w:t>et al.</w:t>
      </w:r>
      <w:r w:rsidR="009578E6" w:rsidRPr="009578E6">
        <w:rPr>
          <w:rFonts w:ascii="Arial" w:hAnsi="Arial" w:cs="Arial"/>
          <w:noProof/>
        </w:rPr>
        <w:t xml:space="preserve"> 2007)</w:t>
      </w:r>
      <w:r w:rsidR="009578E6">
        <w:rPr>
          <w:rFonts w:ascii="Arial" w:hAnsi="Arial" w:cs="Arial"/>
        </w:rPr>
        <w:fldChar w:fldCharType="end"/>
      </w:r>
      <w:r w:rsidR="009578E6">
        <w:rPr>
          <w:rFonts w:ascii="Arial" w:hAnsi="Arial" w:cs="Arial"/>
        </w:rPr>
        <w:t>. Positive feedback can also occur between different drivers such as when degradation and fragmentation increase</w:t>
      </w:r>
      <w:r w:rsidR="000547AC">
        <w:rPr>
          <w:rFonts w:ascii="Arial" w:hAnsi="Arial" w:cs="Arial"/>
        </w:rPr>
        <w:t xml:space="preserve"> fire risk in forest </w:t>
      </w:r>
      <w:r w:rsidR="000547AC">
        <w:rPr>
          <w:rFonts w:ascii="Arial" w:hAnsi="Arial" w:cs="Arial"/>
        </w:rPr>
        <w:fldChar w:fldCharType="begin" w:fldLock="1"/>
      </w:r>
      <w:r w:rsidR="000547AC">
        <w:rPr>
          <w:rFonts w:ascii="Arial" w:hAnsi="Arial" w:cs="Arial"/>
        </w:rPr>
        <w:instrText>ADDIN CSL_CITATION { "citationItems" : [ { "id" : "ITEM-1", "itemData" : { "DOI" : "10.1111/1365-2745.12371", "author" : [ { "dropping-particle" : "", "family" : "Benchimol", "given" : "Ma\u00edra", "non-dropping-particle" : "", "parse-names" : false, "suffix" : "" }, { "dropping-particle" : "", "family" : "Peres", "given" : "Carlos A", "non-dropping-particle" : "", "parse-names" : false, "suffix" : "" } ], "id" : "ITEM-1", "issued" : { "date-parts" : [ [ "2015" ] ] }, "title" : "Edge-mediated compositional and functional decay of tree assemblages in Amazonian forest islands after 26 years of isolation", "type" : "article-journal" }, "uris" : [ "http://www.mendeley.com/documents/?uuid=f3b13799-dcf6-47d6-b3d0-a6eb9bc16e7d" ] } ], "mendeley" : { "formattedCitation" : "(Benchimol &amp; Peres 2015)", "plainTextFormattedCitation" : "(Benchimol &amp; Peres 2015)", "previouslyFormattedCitation" : "(Benchimol &amp; Peres 2015)" }, "properties" : { "noteIndex" : 0 }, "schema" : "https://github.com/citation-style-language/schema/raw/master/csl-citation.json" }</w:instrText>
      </w:r>
      <w:r w:rsidR="000547AC">
        <w:rPr>
          <w:rFonts w:ascii="Arial" w:hAnsi="Arial" w:cs="Arial"/>
        </w:rPr>
        <w:fldChar w:fldCharType="separate"/>
      </w:r>
      <w:r w:rsidR="000547AC" w:rsidRPr="000547AC">
        <w:rPr>
          <w:rFonts w:ascii="Arial" w:hAnsi="Arial" w:cs="Arial"/>
          <w:noProof/>
        </w:rPr>
        <w:t>(Benchimol &amp; Peres 2015)</w:t>
      </w:r>
      <w:r w:rsidR="000547AC">
        <w:rPr>
          <w:rFonts w:ascii="Arial" w:hAnsi="Arial" w:cs="Arial"/>
        </w:rPr>
        <w:fldChar w:fldCharType="end"/>
      </w:r>
      <w:r w:rsidR="000547AC">
        <w:rPr>
          <w:rFonts w:ascii="Arial" w:hAnsi="Arial" w:cs="Arial"/>
        </w:rPr>
        <w:t xml:space="preserve">. However, feedbacks such as these can occur at multiple different scales and thus can be difficult to identify </w:t>
      </w:r>
      <w:r w:rsidR="000547AC">
        <w:rPr>
          <w:rFonts w:ascii="Arial" w:hAnsi="Arial" w:cs="Arial"/>
        </w:rPr>
        <w:fldChar w:fldCharType="begin" w:fldLock="1"/>
      </w:r>
      <w:r w:rsidR="003A2B2F">
        <w:rPr>
          <w:rFonts w:ascii="Arial" w:hAnsi="Arial" w:cs="Arial"/>
        </w:rPr>
        <w:instrText>ADDIN CSL_CITATION { "citationItems" : [ { "id" : "ITEM-1", "itemData" : { "DOI" : "10.1111/1365-2745.12337", "ISSN" : "00220477", "author" : [ { "dropping-particle" : "", "family" : "Reyer", "given" : "Christopher P. O.", "non-dropping-particle" : "", "parse-names" : false, "suffix" : "" }, { "dropping-particle" : "", "family" : "Brouwers", "given" : "Niels", "non-dropping-particle" : "", "parse-names" : false, "suffix" : "" }, { "dropping-particle" : "", "family" : "Rammig", "given" : "Anja", "non-dropping-particle" : "", "parse-names" : false, "suffix" : "" }, { "dropping-particle" : "", "family" : "Brook", "given" : "Barry W.", "non-dropping-particle" : "", "parse-names" : false, "suffix" : "" }, { "dropping-particle" : "", "family" : "Epila", "given" : "Jackie", "non-dropping-particle" : "", "parse-names" : false, "suffix" : "" }, { "dropping-particle" : "", "family" : "Grant", "given" : "Robert F.", "non-dropping-particle" : "", "parse-names" : false, "suffix" : "" }, { "dropping-particle" : "", "family" : "Holmgren", "given" : "Milena", "non-dropping-particle" : "", "parse-names" : false, "suffix" : "" }, { "dropping-particle" : "", "family" : "Langerwisch", "given" : "Fanny", "non-dropping-particle" : "", "parse-names" : false, "suffix" : "" }, { "dropping-particle" : "", "family" : "Leuzinger", "given" : "Sebastian", "non-dropping-particle" : "", "parse-names" : false, "suffix" : "" }, { "dropping-particle" : "", "family" : "Lucht", "given" : "Wolfgang", "non-dropping-particle" : "", "parse-names" : false, "suffix" : "" }, { "dropping-particle" : "", "family" : "Medlyn", "given" : "Belinda", "non-dropping-particle" : "", "parse-names" : false, "suffix" : "" }, { "dropping-particle" : "", "family" : "Pfeifer", "given" : "Marion", "non-dropping-particle" : "", "parse-names" : false, "suffix" : "" }, { "dropping-particle" : "", "family" : "Steinkamp", "given" : "J\u00f6rg", "non-dropping-particle" : "", "parse-names" : false, "suffix" : "" }, { "dropping-particle" : "", "family" : "Vanderwel", "given" : "Mark C.", "non-dropping-particle" : "", "parse-names" : false, "suffix" : "" }, { "dropping-particle" : "", "family" : "Verbeeck", "given" : "Hans", "non-dropping-particle" : "", "parse-names" : false, "suffix" : "" }, { "dropping-particle" : "", "family" : "Villela", "given" : "Dora M.", "non-dropping-particle" : "", "parse-names" : false, "suffix" : "" } ], "container-title" : "Journal of Ecology", "editor" : [ { "dropping-particle" : "", "family" : "Coomes", "given" : "David", "non-dropping-particle" : "", "parse-names" : false, "suffix" : "" } ], "id" : "ITEM-1", "issue" : "1", "issued" : { "date-parts" : [ [ "2015", "1", "7" ] ] }, "page" : "5-15", "title" : "Forest resilience and tipping points at different spatio-temporal scales: approaches and challenges", "type" : "article-journal", "volume" : "103" }, "uris" : [ "http://www.mendeley.com/documents/?uuid=838c8ef7-b421-4b35-83a6-2bf42bfe2ed9" ] } ], "mendeley" : { "formattedCitation" : "(Reyer &lt;i&gt;et al.&lt;/i&gt; 2015)", "plainTextFormattedCitation" : "(Reyer et al. 2015)", "previouslyFormattedCitation" : "(Reyer &lt;i&gt;et al.&lt;/i&gt; 2015)" }, "properties" : { "noteIndex" : 0 }, "schema" : "https://github.com/citation-style-language/schema/raw/master/csl-citation.json" }</w:instrText>
      </w:r>
      <w:r w:rsidR="000547AC">
        <w:rPr>
          <w:rFonts w:ascii="Arial" w:hAnsi="Arial" w:cs="Arial"/>
        </w:rPr>
        <w:fldChar w:fldCharType="separate"/>
      </w:r>
      <w:r w:rsidR="000547AC" w:rsidRPr="000547AC">
        <w:rPr>
          <w:rFonts w:ascii="Arial" w:hAnsi="Arial" w:cs="Arial"/>
          <w:noProof/>
        </w:rPr>
        <w:t xml:space="preserve">(Reyer </w:t>
      </w:r>
      <w:r w:rsidR="000547AC" w:rsidRPr="000547AC">
        <w:rPr>
          <w:rFonts w:ascii="Arial" w:hAnsi="Arial" w:cs="Arial"/>
          <w:i/>
          <w:noProof/>
        </w:rPr>
        <w:t>et al.</w:t>
      </w:r>
      <w:r w:rsidR="000547AC" w:rsidRPr="000547AC">
        <w:rPr>
          <w:rFonts w:ascii="Arial" w:hAnsi="Arial" w:cs="Arial"/>
          <w:noProof/>
        </w:rPr>
        <w:t xml:space="preserve"> 2015)</w:t>
      </w:r>
      <w:r w:rsidR="000547AC">
        <w:rPr>
          <w:rFonts w:ascii="Arial" w:hAnsi="Arial" w:cs="Arial"/>
        </w:rPr>
        <w:fldChar w:fldCharType="end"/>
      </w:r>
      <w:r w:rsidR="000547AC">
        <w:rPr>
          <w:rFonts w:ascii="Arial" w:hAnsi="Arial" w:cs="Arial"/>
        </w:rPr>
        <w:t>.</w:t>
      </w:r>
    </w:p>
    <w:p w:rsidR="00F75EED" w:rsidRDefault="00F75EED" w:rsidP="00A7669F">
      <w:pPr>
        <w:pStyle w:val="ListParagraph"/>
        <w:numPr>
          <w:ilvl w:val="0"/>
          <w:numId w:val="8"/>
        </w:numPr>
        <w:spacing w:line="360" w:lineRule="auto"/>
        <w:rPr>
          <w:rFonts w:ascii="Arial" w:hAnsi="Arial" w:cs="Arial"/>
        </w:rPr>
      </w:pPr>
      <w:r>
        <w:rPr>
          <w:rFonts w:ascii="Arial" w:hAnsi="Arial" w:cs="Arial"/>
        </w:rPr>
        <w:t>Though there are numerous studies on forests in a state of transition to relatively treeless states few investigate the processes that affect individual trees to cause such changes.</w:t>
      </w:r>
    </w:p>
    <w:p w:rsidR="00E94C26" w:rsidRPr="00E94C26" w:rsidRDefault="002E1A3D" w:rsidP="00A7669F">
      <w:pPr>
        <w:spacing w:line="360" w:lineRule="auto"/>
        <w:contextualSpacing/>
        <w:rPr>
          <w:rFonts w:ascii="Arial" w:hAnsi="Arial" w:cs="Arial"/>
          <w:b/>
        </w:rPr>
      </w:pPr>
      <w:r>
        <w:rPr>
          <w:rFonts w:ascii="Arial" w:hAnsi="Arial" w:cs="Arial"/>
          <w:b/>
        </w:rPr>
        <w:t>Statement of aims</w:t>
      </w:r>
    </w:p>
    <w:p w:rsidR="002E1A3D" w:rsidRDefault="002E1A3D" w:rsidP="00A7669F">
      <w:pPr>
        <w:pStyle w:val="ListParagraph"/>
        <w:numPr>
          <w:ilvl w:val="0"/>
          <w:numId w:val="7"/>
        </w:numPr>
        <w:spacing w:line="360" w:lineRule="auto"/>
        <w:rPr>
          <w:rFonts w:ascii="Arial" w:hAnsi="Arial" w:cs="Arial"/>
        </w:rPr>
      </w:pPr>
      <w:r>
        <w:rPr>
          <w:rFonts w:ascii="Arial" w:hAnsi="Arial" w:cs="Arial"/>
        </w:rPr>
        <w:t>To test the influence of tree size, growth rate, competition and proximity to dead trees on determining tree mortality.</w:t>
      </w:r>
    </w:p>
    <w:p w:rsidR="002E1A3D" w:rsidRDefault="002E1A3D" w:rsidP="00A7669F">
      <w:pPr>
        <w:pStyle w:val="ListParagraph"/>
        <w:numPr>
          <w:ilvl w:val="0"/>
          <w:numId w:val="7"/>
        </w:numPr>
        <w:spacing w:line="360" w:lineRule="auto"/>
        <w:rPr>
          <w:rFonts w:ascii="Arial" w:hAnsi="Arial" w:cs="Arial"/>
        </w:rPr>
      </w:pPr>
      <w:r>
        <w:rPr>
          <w:rFonts w:ascii="Arial" w:hAnsi="Arial" w:cs="Arial"/>
        </w:rPr>
        <w:t>To test the factors what influenced seedling and sapling density to enable an understanding of recruitment</w:t>
      </w:r>
    </w:p>
    <w:p w:rsidR="00654F32" w:rsidRDefault="00654F32" w:rsidP="00A7669F">
      <w:pPr>
        <w:pStyle w:val="ListParagraph"/>
        <w:numPr>
          <w:ilvl w:val="0"/>
          <w:numId w:val="7"/>
        </w:numPr>
        <w:spacing w:line="360" w:lineRule="auto"/>
        <w:rPr>
          <w:rFonts w:ascii="Arial" w:hAnsi="Arial" w:cs="Arial"/>
        </w:rPr>
      </w:pPr>
      <w:r>
        <w:rPr>
          <w:rFonts w:ascii="Arial" w:hAnsi="Arial" w:cs="Arial"/>
        </w:rPr>
        <w:t>Test the influence of tree size and competition on growth rate</w:t>
      </w:r>
    </w:p>
    <w:p w:rsidR="00654F32" w:rsidRDefault="00654F32" w:rsidP="00A7669F">
      <w:pPr>
        <w:pStyle w:val="ListParagraph"/>
        <w:numPr>
          <w:ilvl w:val="0"/>
          <w:numId w:val="7"/>
        </w:numPr>
        <w:spacing w:line="360" w:lineRule="auto"/>
        <w:rPr>
          <w:rFonts w:ascii="Arial" w:hAnsi="Arial" w:cs="Arial"/>
        </w:rPr>
      </w:pPr>
      <w:r>
        <w:rPr>
          <w:rFonts w:ascii="Arial" w:hAnsi="Arial" w:cs="Arial"/>
        </w:rPr>
        <w:t>Use parameter estimates from these models along with estimates from the literature to produce an individual based model to look at the potential for regime shift in the system, in particular:</w:t>
      </w:r>
    </w:p>
    <w:p w:rsidR="00654F32" w:rsidRDefault="00654F32" w:rsidP="00A7669F">
      <w:pPr>
        <w:pStyle w:val="ListParagraph"/>
        <w:numPr>
          <w:ilvl w:val="1"/>
          <w:numId w:val="7"/>
        </w:numPr>
        <w:spacing w:line="360" w:lineRule="auto"/>
        <w:rPr>
          <w:rFonts w:ascii="Arial" w:hAnsi="Arial" w:cs="Arial"/>
        </w:rPr>
      </w:pPr>
      <w:r>
        <w:rPr>
          <w:rFonts w:ascii="Arial" w:hAnsi="Arial" w:cs="Arial"/>
        </w:rPr>
        <w:t>Hysteresis – does the system recover along the same trajectory it declined over</w:t>
      </w:r>
    </w:p>
    <w:p w:rsidR="00654F32" w:rsidRPr="002E1A3D" w:rsidRDefault="00654F32" w:rsidP="00A7669F">
      <w:pPr>
        <w:pStyle w:val="ListParagraph"/>
        <w:numPr>
          <w:ilvl w:val="1"/>
          <w:numId w:val="7"/>
        </w:numPr>
        <w:spacing w:line="360" w:lineRule="auto"/>
        <w:rPr>
          <w:rFonts w:ascii="Arial" w:hAnsi="Arial" w:cs="Arial"/>
        </w:rPr>
      </w:pPr>
    </w:p>
    <w:p w:rsidR="00E94C26" w:rsidRPr="00E94C26" w:rsidRDefault="00E94C26" w:rsidP="00A7669F">
      <w:pPr>
        <w:spacing w:line="360" w:lineRule="auto"/>
        <w:contextualSpacing/>
        <w:rPr>
          <w:rFonts w:ascii="Arial" w:hAnsi="Arial" w:cs="Arial"/>
          <w:b/>
        </w:rPr>
      </w:pPr>
      <w:r w:rsidRPr="00E94C26">
        <w:rPr>
          <w:rFonts w:ascii="Arial" w:hAnsi="Arial" w:cs="Arial"/>
          <w:b/>
        </w:rPr>
        <w:t>Hypotheses</w:t>
      </w:r>
    </w:p>
    <w:p w:rsidR="00E94C26" w:rsidRPr="00E94C26" w:rsidRDefault="00E94C26" w:rsidP="00A7669F">
      <w:pPr>
        <w:pStyle w:val="ListParagraph"/>
        <w:numPr>
          <w:ilvl w:val="0"/>
          <w:numId w:val="4"/>
        </w:numPr>
        <w:spacing w:line="360" w:lineRule="auto"/>
        <w:rPr>
          <w:rFonts w:ascii="Arial" w:hAnsi="Arial" w:cs="Arial"/>
        </w:rPr>
      </w:pPr>
      <w:r w:rsidRPr="00E94C26">
        <w:rPr>
          <w:rFonts w:ascii="Arial" w:hAnsi="Arial" w:cs="Arial"/>
        </w:rPr>
        <w:t>Recruitment did not keep pace with mortality for any species during any of the survey periods</w:t>
      </w:r>
    </w:p>
    <w:p w:rsidR="00E94C26" w:rsidRPr="00E94C26" w:rsidRDefault="00E94C26" w:rsidP="00A7669F">
      <w:pPr>
        <w:pStyle w:val="ListParagraph"/>
        <w:numPr>
          <w:ilvl w:val="0"/>
          <w:numId w:val="4"/>
        </w:numPr>
        <w:spacing w:line="360" w:lineRule="auto"/>
        <w:rPr>
          <w:rFonts w:ascii="Arial" w:hAnsi="Arial" w:cs="Arial"/>
        </w:rPr>
      </w:pPr>
      <w:r w:rsidRPr="00E94C26">
        <w:rPr>
          <w:rFonts w:ascii="Arial" w:hAnsi="Arial" w:cs="Arial"/>
        </w:rPr>
        <w:t>Mortality likelihood is u-shaped in relation to tree size</w:t>
      </w:r>
    </w:p>
    <w:p w:rsidR="00E94C26" w:rsidRPr="00E94C26" w:rsidRDefault="00E94C26" w:rsidP="00A7669F">
      <w:pPr>
        <w:pStyle w:val="ListParagraph"/>
        <w:numPr>
          <w:ilvl w:val="0"/>
          <w:numId w:val="4"/>
        </w:numPr>
        <w:spacing w:line="360" w:lineRule="auto"/>
        <w:rPr>
          <w:rFonts w:ascii="Arial" w:hAnsi="Arial" w:cs="Arial"/>
        </w:rPr>
      </w:pPr>
      <w:r w:rsidRPr="00E94C26">
        <w:rPr>
          <w:rFonts w:ascii="Arial" w:hAnsi="Arial" w:cs="Arial"/>
        </w:rPr>
        <w:t>Slow growing trees are more likely to die</w:t>
      </w:r>
    </w:p>
    <w:p w:rsidR="00E94C26" w:rsidRPr="00E94C26" w:rsidRDefault="00E94C26" w:rsidP="00A7669F">
      <w:pPr>
        <w:pStyle w:val="ListParagraph"/>
        <w:numPr>
          <w:ilvl w:val="0"/>
          <w:numId w:val="4"/>
        </w:numPr>
        <w:spacing w:line="360" w:lineRule="auto"/>
        <w:rPr>
          <w:rFonts w:ascii="Arial" w:hAnsi="Arial" w:cs="Arial"/>
        </w:rPr>
      </w:pPr>
      <w:r w:rsidRPr="00E94C26">
        <w:rPr>
          <w:rFonts w:ascii="Arial" w:hAnsi="Arial" w:cs="Arial"/>
        </w:rPr>
        <w:t>Proximity to trees that have died is more likely to result in tree death</w:t>
      </w:r>
    </w:p>
    <w:p w:rsidR="00E94C26" w:rsidRPr="00E94C26" w:rsidRDefault="00E94C26" w:rsidP="00A7669F">
      <w:pPr>
        <w:pStyle w:val="ListParagraph"/>
        <w:numPr>
          <w:ilvl w:val="0"/>
          <w:numId w:val="4"/>
        </w:numPr>
        <w:spacing w:line="360" w:lineRule="auto"/>
        <w:rPr>
          <w:rFonts w:ascii="Arial" w:hAnsi="Arial" w:cs="Arial"/>
        </w:rPr>
      </w:pPr>
      <w:r w:rsidRPr="00E94C26">
        <w:rPr>
          <w:rFonts w:ascii="Arial" w:hAnsi="Arial" w:cs="Arial"/>
        </w:rPr>
        <w:t>Under current conditions the woodland will show increased loss of tree cover. In situations where recruitment is maximized dramatic losses will be averted.</w:t>
      </w:r>
    </w:p>
    <w:p w:rsidR="00E94C26" w:rsidRPr="00E94C26" w:rsidRDefault="00E94C26" w:rsidP="00A7669F">
      <w:pPr>
        <w:spacing w:line="360" w:lineRule="auto"/>
        <w:contextualSpacing/>
        <w:rPr>
          <w:rFonts w:ascii="Arial" w:hAnsi="Arial" w:cs="Arial"/>
        </w:rPr>
      </w:pPr>
    </w:p>
    <w:p w:rsidR="00210A49" w:rsidRDefault="00210A49" w:rsidP="00A7669F">
      <w:pPr>
        <w:spacing w:line="360" w:lineRule="auto"/>
        <w:contextualSpacing/>
        <w:rPr>
          <w:rFonts w:ascii="Arial" w:hAnsi="Arial" w:cs="Arial"/>
          <w:b/>
        </w:rPr>
      </w:pPr>
      <w:r w:rsidRPr="00E94C26">
        <w:rPr>
          <w:rFonts w:ascii="Arial" w:hAnsi="Arial" w:cs="Arial"/>
          <w:b/>
        </w:rPr>
        <w:lastRenderedPageBreak/>
        <w:t>Methods</w:t>
      </w:r>
    </w:p>
    <w:p w:rsidR="00FA7178" w:rsidRPr="00FA7178" w:rsidRDefault="00FA7178" w:rsidP="00A7669F">
      <w:pPr>
        <w:spacing w:line="360" w:lineRule="auto"/>
        <w:contextualSpacing/>
        <w:rPr>
          <w:rFonts w:ascii="Arial" w:hAnsi="Arial" w:cs="Arial"/>
          <w:b/>
        </w:rPr>
      </w:pPr>
      <w:r w:rsidRPr="00FA7178">
        <w:rPr>
          <w:rFonts w:ascii="Arial" w:hAnsi="Arial" w:cs="Arial"/>
          <w:b/>
        </w:rPr>
        <w:t>Site history and characteristics</w:t>
      </w:r>
    </w:p>
    <w:p w:rsidR="00FA7178" w:rsidRDefault="00FA7178" w:rsidP="00A7669F">
      <w:pPr>
        <w:spacing w:line="360" w:lineRule="auto"/>
        <w:contextualSpacing/>
        <w:rPr>
          <w:rFonts w:ascii="Arial" w:hAnsi="Arial" w:cs="Arial"/>
          <w:lang w:eastAsia="en-GB"/>
        </w:rPr>
      </w:pPr>
      <w:r w:rsidRPr="00FA7178">
        <w:rPr>
          <w:rFonts w:ascii="Arial" w:hAnsi="Arial" w:cs="Arial"/>
        </w:rPr>
        <w:t>The site used in this study, Denny Wood, is located in the New Forest National Park in Southern England (</w:t>
      </w:r>
      <w:proofErr w:type="spellStart"/>
      <w:r w:rsidRPr="00FA7178">
        <w:rPr>
          <w:rFonts w:ascii="Arial" w:hAnsi="Arial" w:cs="Arial"/>
        </w:rPr>
        <w:t>Lat</w:t>
      </w:r>
      <w:proofErr w:type="spellEnd"/>
      <w:r w:rsidRPr="00FA7178">
        <w:rPr>
          <w:rFonts w:ascii="Arial" w:hAnsi="Arial" w:cs="Arial"/>
        </w:rPr>
        <w:t>: 50</w:t>
      </w:r>
      <w:r w:rsidRPr="00FA7178">
        <w:rPr>
          <w:rFonts w:ascii="Arial" w:hAnsi="Arial" w:cs="Arial"/>
          <w:vertAlign w:val="superscript"/>
        </w:rPr>
        <w:t>o</w:t>
      </w:r>
      <w:r w:rsidRPr="00FA7178">
        <w:rPr>
          <w:rFonts w:ascii="Arial" w:hAnsi="Arial" w:cs="Arial"/>
        </w:rPr>
        <w:t xml:space="preserve"> 51.5’ N and 1</w:t>
      </w:r>
      <w:r w:rsidRPr="00FA7178">
        <w:rPr>
          <w:rFonts w:ascii="Arial" w:hAnsi="Arial" w:cs="Arial"/>
          <w:vertAlign w:val="superscript"/>
        </w:rPr>
        <w:t>o</w:t>
      </w:r>
      <w:r w:rsidRPr="00FA7178">
        <w:rPr>
          <w:rFonts w:ascii="Arial" w:hAnsi="Arial" w:cs="Arial"/>
        </w:rPr>
        <w:t xml:space="preserve"> 32.5’ W). Detailed site descriptions are provided by </w:t>
      </w:r>
      <w:proofErr w:type="spellStart"/>
      <w:r w:rsidRPr="00FA7178">
        <w:rPr>
          <w:rFonts w:ascii="Arial" w:hAnsi="Arial" w:cs="Arial"/>
        </w:rPr>
        <w:t>Mountford</w:t>
      </w:r>
      <w:proofErr w:type="spellEnd"/>
      <w:r w:rsidRPr="00FA7178">
        <w:rPr>
          <w:rFonts w:ascii="Arial" w:hAnsi="Arial" w:cs="Arial"/>
        </w:rPr>
        <w:t xml:space="preserve"> </w:t>
      </w:r>
      <w:r w:rsidRPr="00FA7178">
        <w:rPr>
          <w:rFonts w:ascii="Arial" w:hAnsi="Arial" w:cs="Arial"/>
          <w:i/>
        </w:rPr>
        <w:t>et al</w:t>
      </w:r>
      <w:r w:rsidRPr="00FA7178">
        <w:rPr>
          <w:rFonts w:ascii="Arial" w:hAnsi="Arial" w:cs="Arial"/>
        </w:rPr>
        <w:t>. (1999), and are briefly summarized here. The site is situated on gentle slopes (</w:t>
      </w:r>
      <w:r w:rsidRPr="00FA7178">
        <w:rPr>
          <w:rFonts w:ascii="Arial" w:hAnsi="Arial" w:cs="Arial"/>
          <w:lang w:eastAsia="en-GB"/>
        </w:rPr>
        <w:t xml:space="preserve">1–3°), primarily on clay-rich brown earth soils (pH 4.5–5.0 at 10 cm depth) that are prone to winter waterlogging and summer drying, with localised areas of strongly acid (pH 3.5–4.5) </w:t>
      </w:r>
      <w:proofErr w:type="spellStart"/>
      <w:r w:rsidRPr="00FA7178">
        <w:rPr>
          <w:rFonts w:ascii="Arial" w:hAnsi="Arial" w:cs="Arial"/>
          <w:lang w:eastAsia="en-GB"/>
        </w:rPr>
        <w:t>podsols</w:t>
      </w:r>
      <w:proofErr w:type="spellEnd"/>
      <w:r w:rsidRPr="00FA7178">
        <w:rPr>
          <w:rFonts w:ascii="Arial" w:hAnsi="Arial" w:cs="Arial"/>
          <w:lang w:eastAsia="en-GB"/>
        </w:rPr>
        <w:t xml:space="preserve"> developed on sandier substrates. Woodland vegetation is dominated by old-growth beech (</w:t>
      </w:r>
      <w:proofErr w:type="spellStart"/>
      <w:r w:rsidRPr="00FA7178">
        <w:rPr>
          <w:rFonts w:ascii="Arial" w:hAnsi="Arial" w:cs="Arial"/>
          <w:i/>
          <w:iCs/>
          <w:lang w:eastAsia="en-GB"/>
        </w:rPr>
        <w:t>Fagus</w:t>
      </w:r>
      <w:proofErr w:type="spellEnd"/>
      <w:r w:rsidRPr="00FA7178">
        <w:rPr>
          <w:rFonts w:ascii="Arial" w:hAnsi="Arial" w:cs="Arial"/>
          <w:i/>
          <w:iCs/>
          <w:lang w:eastAsia="en-GB"/>
        </w:rPr>
        <w:t xml:space="preserve"> </w:t>
      </w:r>
      <w:proofErr w:type="spellStart"/>
      <w:r w:rsidRPr="00FA7178">
        <w:rPr>
          <w:rFonts w:ascii="Arial" w:hAnsi="Arial" w:cs="Arial"/>
          <w:i/>
          <w:iCs/>
          <w:lang w:eastAsia="en-GB"/>
        </w:rPr>
        <w:t>sylvatica</w:t>
      </w:r>
      <w:proofErr w:type="spellEnd"/>
      <w:r w:rsidRPr="00FA7178">
        <w:rPr>
          <w:rFonts w:ascii="Arial" w:hAnsi="Arial" w:cs="Arial"/>
          <w:iCs/>
          <w:lang w:eastAsia="en-GB"/>
        </w:rPr>
        <w:t>)</w:t>
      </w:r>
      <w:r w:rsidRPr="00FA7178">
        <w:rPr>
          <w:rFonts w:ascii="Arial" w:hAnsi="Arial" w:cs="Arial"/>
          <w:i/>
          <w:iCs/>
          <w:lang w:eastAsia="en-GB"/>
        </w:rPr>
        <w:t xml:space="preserve"> </w:t>
      </w:r>
      <w:r w:rsidRPr="00FA7178">
        <w:rPr>
          <w:rFonts w:ascii="Arial" w:hAnsi="Arial" w:cs="Arial"/>
          <w:iCs/>
          <w:lang w:eastAsia="en-GB"/>
        </w:rPr>
        <w:t>with</w:t>
      </w:r>
      <w:r w:rsidRPr="00FA7178">
        <w:rPr>
          <w:rFonts w:ascii="Arial" w:hAnsi="Arial" w:cs="Arial"/>
          <w:i/>
          <w:iCs/>
          <w:lang w:eastAsia="en-GB"/>
        </w:rPr>
        <w:t xml:space="preserve"> </w:t>
      </w:r>
      <w:r w:rsidRPr="00FA7178">
        <w:rPr>
          <w:rFonts w:ascii="Arial" w:hAnsi="Arial" w:cs="Arial"/>
          <w:lang w:eastAsia="en-GB"/>
        </w:rPr>
        <w:t xml:space="preserve">frequent </w:t>
      </w:r>
      <w:proofErr w:type="spellStart"/>
      <w:r w:rsidRPr="00FA7178">
        <w:rPr>
          <w:rFonts w:ascii="Arial" w:hAnsi="Arial" w:cs="Arial"/>
          <w:lang w:eastAsia="en-GB"/>
        </w:rPr>
        <w:t>pedunculate</w:t>
      </w:r>
      <w:proofErr w:type="spellEnd"/>
      <w:r w:rsidRPr="00FA7178">
        <w:rPr>
          <w:rFonts w:ascii="Arial" w:hAnsi="Arial" w:cs="Arial"/>
          <w:lang w:eastAsia="en-GB"/>
        </w:rPr>
        <w:t xml:space="preserve"> oak (</w:t>
      </w:r>
      <w:proofErr w:type="spellStart"/>
      <w:r w:rsidRPr="00FA7178">
        <w:rPr>
          <w:rFonts w:ascii="Arial" w:hAnsi="Arial" w:cs="Arial"/>
          <w:i/>
          <w:iCs/>
          <w:lang w:eastAsia="en-GB"/>
        </w:rPr>
        <w:t>Quercus</w:t>
      </w:r>
      <w:proofErr w:type="spellEnd"/>
      <w:r w:rsidRPr="00FA7178">
        <w:rPr>
          <w:rFonts w:ascii="Arial" w:hAnsi="Arial" w:cs="Arial"/>
          <w:i/>
          <w:iCs/>
          <w:lang w:eastAsia="en-GB"/>
        </w:rPr>
        <w:t xml:space="preserve"> </w:t>
      </w:r>
      <w:proofErr w:type="spellStart"/>
      <w:r w:rsidRPr="00FA7178">
        <w:rPr>
          <w:rFonts w:ascii="Arial" w:hAnsi="Arial" w:cs="Arial"/>
          <w:iCs/>
          <w:lang w:eastAsia="en-GB"/>
        </w:rPr>
        <w:t>robur</w:t>
      </w:r>
      <w:proofErr w:type="spellEnd"/>
      <w:r w:rsidRPr="00FA7178">
        <w:rPr>
          <w:rFonts w:ascii="Arial" w:hAnsi="Arial" w:cs="Arial"/>
          <w:iCs/>
          <w:lang w:eastAsia="en-GB"/>
        </w:rPr>
        <w:t xml:space="preserve">) and </w:t>
      </w:r>
      <w:r w:rsidRPr="00FA7178">
        <w:rPr>
          <w:rFonts w:ascii="Arial" w:hAnsi="Arial" w:cs="Arial"/>
          <w:lang w:eastAsia="en-GB"/>
        </w:rPr>
        <w:t>birch (</w:t>
      </w:r>
      <w:proofErr w:type="spellStart"/>
      <w:r w:rsidRPr="00FA7178">
        <w:rPr>
          <w:rFonts w:ascii="Arial" w:hAnsi="Arial" w:cs="Arial"/>
          <w:i/>
          <w:iCs/>
          <w:lang w:eastAsia="en-GB"/>
        </w:rPr>
        <w:t>Betula</w:t>
      </w:r>
      <w:proofErr w:type="spellEnd"/>
      <w:r w:rsidRPr="00FA7178">
        <w:rPr>
          <w:rFonts w:ascii="Arial" w:hAnsi="Arial" w:cs="Arial"/>
          <w:i/>
          <w:iCs/>
          <w:lang w:eastAsia="en-GB"/>
        </w:rPr>
        <w:t xml:space="preserve"> </w:t>
      </w:r>
      <w:proofErr w:type="spellStart"/>
      <w:r w:rsidRPr="00FA7178">
        <w:rPr>
          <w:rFonts w:ascii="Arial" w:hAnsi="Arial" w:cs="Arial"/>
          <w:i/>
          <w:iCs/>
          <w:lang w:eastAsia="en-GB"/>
        </w:rPr>
        <w:t>pendula</w:t>
      </w:r>
      <w:proofErr w:type="spellEnd"/>
      <w:r w:rsidRPr="00FA7178">
        <w:rPr>
          <w:rFonts w:ascii="Arial" w:hAnsi="Arial" w:cs="Arial"/>
          <w:i/>
          <w:iCs/>
          <w:lang w:eastAsia="en-GB"/>
        </w:rPr>
        <w:t xml:space="preserve">, B. </w:t>
      </w:r>
      <w:proofErr w:type="spellStart"/>
      <w:r w:rsidRPr="00FA7178">
        <w:rPr>
          <w:rFonts w:ascii="Arial" w:hAnsi="Arial" w:cs="Arial"/>
          <w:i/>
          <w:iCs/>
          <w:lang w:eastAsia="en-GB"/>
        </w:rPr>
        <w:t>pubescens</w:t>
      </w:r>
      <w:proofErr w:type="spellEnd"/>
      <w:r w:rsidRPr="00FA7178">
        <w:rPr>
          <w:rFonts w:ascii="Arial" w:hAnsi="Arial" w:cs="Arial"/>
          <w:iCs/>
          <w:lang w:eastAsia="en-GB"/>
        </w:rPr>
        <w:t>), and</w:t>
      </w:r>
      <w:r w:rsidRPr="00FA7178">
        <w:rPr>
          <w:rFonts w:ascii="Arial" w:hAnsi="Arial" w:cs="Arial"/>
          <w:lang w:eastAsia="en-GB"/>
        </w:rPr>
        <w:t xml:space="preserve"> an </w:t>
      </w:r>
      <w:r w:rsidR="003A2B2F" w:rsidRPr="00FA7178">
        <w:rPr>
          <w:rFonts w:ascii="Arial" w:hAnsi="Arial" w:cs="Arial"/>
          <w:lang w:eastAsia="en-GB"/>
        </w:rPr>
        <w:t>understory</w:t>
      </w:r>
      <w:r w:rsidRPr="00FA7178">
        <w:rPr>
          <w:rFonts w:ascii="Arial" w:hAnsi="Arial" w:cs="Arial"/>
          <w:lang w:eastAsia="en-GB"/>
        </w:rPr>
        <w:t xml:space="preserve"> primarily of holly (</w:t>
      </w:r>
      <w:r w:rsidRPr="00FA7178">
        <w:rPr>
          <w:rFonts w:ascii="Arial" w:hAnsi="Arial" w:cs="Arial"/>
          <w:i/>
          <w:iCs/>
          <w:lang w:eastAsia="en-GB"/>
        </w:rPr>
        <w:t xml:space="preserve">Ilex </w:t>
      </w:r>
      <w:proofErr w:type="spellStart"/>
      <w:r w:rsidRPr="00FA7178">
        <w:rPr>
          <w:rFonts w:ascii="Arial" w:hAnsi="Arial" w:cs="Arial"/>
          <w:i/>
          <w:iCs/>
          <w:lang w:eastAsia="en-GB"/>
        </w:rPr>
        <w:t>aquifolium</w:t>
      </w:r>
      <w:proofErr w:type="spellEnd"/>
      <w:r w:rsidRPr="00FA7178">
        <w:rPr>
          <w:rFonts w:ascii="Arial" w:hAnsi="Arial" w:cs="Arial"/>
          <w:lang w:eastAsia="en-GB"/>
        </w:rPr>
        <w:t xml:space="preserve">). In open areas the ground vegetation is mostly comprised of </w:t>
      </w:r>
      <w:proofErr w:type="spellStart"/>
      <w:r w:rsidRPr="00FA7178">
        <w:rPr>
          <w:rFonts w:ascii="Arial" w:hAnsi="Arial" w:cs="Arial"/>
          <w:i/>
          <w:iCs/>
          <w:lang w:eastAsia="en-GB"/>
        </w:rPr>
        <w:t>Agrostis</w:t>
      </w:r>
      <w:proofErr w:type="spellEnd"/>
      <w:r w:rsidRPr="00FA7178">
        <w:rPr>
          <w:rFonts w:ascii="Arial" w:hAnsi="Arial" w:cs="Arial"/>
          <w:lang w:eastAsia="en-GB"/>
        </w:rPr>
        <w:t>-dominated grassland or stands of bracken (</w:t>
      </w:r>
      <w:proofErr w:type="spellStart"/>
      <w:r w:rsidRPr="00FA7178">
        <w:rPr>
          <w:rFonts w:ascii="Arial" w:hAnsi="Arial" w:cs="Arial"/>
          <w:i/>
          <w:iCs/>
          <w:lang w:eastAsia="en-GB"/>
        </w:rPr>
        <w:t>Pteridium</w:t>
      </w:r>
      <w:proofErr w:type="spellEnd"/>
      <w:r w:rsidRPr="00FA7178">
        <w:rPr>
          <w:rFonts w:ascii="Arial" w:hAnsi="Arial" w:cs="Arial"/>
          <w:i/>
          <w:iCs/>
          <w:lang w:eastAsia="en-GB"/>
        </w:rPr>
        <w:t xml:space="preserve"> </w:t>
      </w:r>
      <w:proofErr w:type="spellStart"/>
      <w:r w:rsidRPr="00FA7178">
        <w:rPr>
          <w:rFonts w:ascii="Arial" w:hAnsi="Arial" w:cs="Arial"/>
          <w:i/>
          <w:iCs/>
          <w:lang w:eastAsia="en-GB"/>
        </w:rPr>
        <w:t>aquilinum</w:t>
      </w:r>
      <w:proofErr w:type="spellEnd"/>
      <w:r w:rsidRPr="00FA7178">
        <w:rPr>
          <w:rFonts w:ascii="Arial" w:hAnsi="Arial" w:cs="Arial"/>
          <w:lang w:eastAsia="en-GB"/>
        </w:rPr>
        <w:t xml:space="preserve">); </w:t>
      </w:r>
      <w:proofErr w:type="spellStart"/>
      <w:r w:rsidRPr="00FA7178">
        <w:rPr>
          <w:rFonts w:ascii="Arial" w:hAnsi="Arial" w:cs="Arial"/>
          <w:i/>
          <w:lang w:eastAsia="en-GB"/>
        </w:rPr>
        <w:t>Rubus</w:t>
      </w:r>
      <w:proofErr w:type="spellEnd"/>
      <w:r w:rsidRPr="00FA7178">
        <w:rPr>
          <w:rFonts w:ascii="Arial" w:hAnsi="Arial" w:cs="Arial"/>
          <w:i/>
          <w:lang w:eastAsia="en-GB"/>
        </w:rPr>
        <w:t xml:space="preserve"> </w:t>
      </w:r>
      <w:proofErr w:type="spellStart"/>
      <w:r w:rsidRPr="00FA7178">
        <w:rPr>
          <w:rFonts w:ascii="Arial" w:hAnsi="Arial" w:cs="Arial"/>
          <w:i/>
          <w:lang w:eastAsia="en-GB"/>
        </w:rPr>
        <w:t>fruticosus</w:t>
      </w:r>
      <w:proofErr w:type="spellEnd"/>
      <w:r w:rsidRPr="00FA7178">
        <w:rPr>
          <w:rFonts w:ascii="Arial" w:hAnsi="Arial" w:cs="Arial"/>
          <w:i/>
          <w:lang w:eastAsia="en-GB"/>
        </w:rPr>
        <w:t xml:space="preserve"> </w:t>
      </w:r>
      <w:proofErr w:type="spellStart"/>
      <w:proofErr w:type="gramStart"/>
      <w:r w:rsidRPr="00FA7178">
        <w:rPr>
          <w:rFonts w:ascii="Arial" w:hAnsi="Arial" w:cs="Arial"/>
          <w:lang w:eastAsia="en-GB"/>
        </w:rPr>
        <w:t>agg</w:t>
      </w:r>
      <w:proofErr w:type="spellEnd"/>
      <w:r w:rsidRPr="00FA7178">
        <w:rPr>
          <w:rFonts w:ascii="Arial" w:hAnsi="Arial" w:cs="Arial"/>
          <w:lang w:eastAsia="en-GB"/>
        </w:rPr>
        <w:t>.,</w:t>
      </w:r>
      <w:proofErr w:type="gramEnd"/>
      <w:r w:rsidRPr="00FA7178">
        <w:rPr>
          <w:rFonts w:ascii="Arial" w:hAnsi="Arial" w:cs="Arial"/>
          <w:lang w:eastAsia="en-GB"/>
        </w:rPr>
        <w:t xml:space="preserve"> </w:t>
      </w:r>
      <w:proofErr w:type="spellStart"/>
      <w:r w:rsidRPr="00FA7178">
        <w:rPr>
          <w:rFonts w:ascii="Arial" w:hAnsi="Arial" w:cs="Arial"/>
          <w:i/>
          <w:iCs/>
          <w:lang w:eastAsia="en-GB"/>
        </w:rPr>
        <w:t>Juncus</w:t>
      </w:r>
      <w:proofErr w:type="spellEnd"/>
      <w:r w:rsidRPr="00FA7178">
        <w:rPr>
          <w:rFonts w:ascii="Arial" w:hAnsi="Arial" w:cs="Arial"/>
          <w:i/>
          <w:iCs/>
          <w:lang w:eastAsia="en-GB"/>
        </w:rPr>
        <w:t xml:space="preserve"> </w:t>
      </w:r>
      <w:proofErr w:type="spellStart"/>
      <w:r w:rsidRPr="00FA7178">
        <w:rPr>
          <w:rFonts w:ascii="Arial" w:hAnsi="Arial" w:cs="Arial"/>
          <w:i/>
          <w:iCs/>
          <w:lang w:eastAsia="en-GB"/>
        </w:rPr>
        <w:t>effusus</w:t>
      </w:r>
      <w:proofErr w:type="spellEnd"/>
      <w:r w:rsidRPr="00FA7178">
        <w:rPr>
          <w:rFonts w:ascii="Arial" w:hAnsi="Arial" w:cs="Arial"/>
          <w:i/>
          <w:iCs/>
          <w:lang w:eastAsia="en-GB"/>
        </w:rPr>
        <w:t xml:space="preserve"> </w:t>
      </w:r>
      <w:r w:rsidRPr="00FA7178">
        <w:rPr>
          <w:rFonts w:ascii="Arial" w:hAnsi="Arial" w:cs="Arial"/>
          <w:iCs/>
          <w:lang w:eastAsia="en-GB"/>
        </w:rPr>
        <w:t>and</w:t>
      </w:r>
      <w:r w:rsidRPr="00FA7178">
        <w:rPr>
          <w:rFonts w:ascii="Arial" w:hAnsi="Arial" w:cs="Arial"/>
          <w:i/>
          <w:iCs/>
          <w:lang w:eastAsia="en-GB"/>
        </w:rPr>
        <w:t xml:space="preserve"> </w:t>
      </w:r>
      <w:proofErr w:type="spellStart"/>
      <w:r w:rsidRPr="00FA7178">
        <w:rPr>
          <w:rFonts w:ascii="Arial" w:hAnsi="Arial" w:cs="Arial"/>
          <w:i/>
          <w:iCs/>
          <w:lang w:eastAsia="en-GB"/>
        </w:rPr>
        <w:t>Molinia</w:t>
      </w:r>
      <w:proofErr w:type="spellEnd"/>
      <w:r w:rsidRPr="00FA7178">
        <w:rPr>
          <w:rFonts w:ascii="Arial" w:hAnsi="Arial" w:cs="Arial"/>
          <w:i/>
          <w:iCs/>
          <w:lang w:eastAsia="en-GB"/>
        </w:rPr>
        <w:t xml:space="preserve"> </w:t>
      </w:r>
      <w:proofErr w:type="spellStart"/>
      <w:r w:rsidRPr="00FA7178">
        <w:rPr>
          <w:rFonts w:ascii="Arial" w:hAnsi="Arial" w:cs="Arial"/>
          <w:i/>
          <w:iCs/>
          <w:lang w:eastAsia="en-GB"/>
        </w:rPr>
        <w:t>caerulea</w:t>
      </w:r>
      <w:proofErr w:type="spellEnd"/>
      <w:r w:rsidRPr="00FA7178">
        <w:rPr>
          <w:rFonts w:ascii="Arial" w:hAnsi="Arial" w:cs="Arial"/>
          <w:i/>
          <w:iCs/>
          <w:lang w:eastAsia="en-GB"/>
        </w:rPr>
        <w:t xml:space="preserve"> </w:t>
      </w:r>
      <w:r w:rsidR="003A2B2F">
        <w:rPr>
          <w:rFonts w:ascii="Arial" w:hAnsi="Arial" w:cs="Arial"/>
          <w:lang w:eastAsia="en-GB"/>
        </w:rPr>
        <w:t xml:space="preserve">are also locally abundant. There are large populations of deer, ponies and cattle </w:t>
      </w:r>
      <w:proofErr w:type="spellStart"/>
      <w:r w:rsidR="003A2B2F">
        <w:rPr>
          <w:rFonts w:ascii="Arial" w:hAnsi="Arial" w:cs="Arial"/>
          <w:lang w:eastAsia="en-GB"/>
        </w:rPr>
        <w:t>int</w:t>
      </w:r>
      <w:proofErr w:type="spellEnd"/>
      <w:r w:rsidR="003A2B2F">
        <w:rPr>
          <w:rFonts w:ascii="Arial" w:hAnsi="Arial" w:cs="Arial"/>
          <w:lang w:eastAsia="en-GB"/>
        </w:rPr>
        <w:t xml:space="preserve"> eh New Forest, resulting in high herbivore pressure. The portion of the site which we use for this study is likely to have experienced high browsing pressure since the 1960s </w:t>
      </w:r>
      <w:r w:rsidR="003A2B2F">
        <w:rPr>
          <w:rFonts w:ascii="Arial" w:hAnsi="Arial" w:cs="Arial"/>
          <w:lang w:eastAsia="en-GB"/>
        </w:rPr>
        <w:fldChar w:fldCharType="begin" w:fldLock="1"/>
      </w:r>
      <w:r w:rsidR="00214A19">
        <w:rPr>
          <w:rFonts w:ascii="Arial" w:hAnsi="Arial" w:cs="Arial"/>
          <w:lang w:eastAsia="en-GB"/>
        </w:rPr>
        <w:instrText>ADDIN CSL_CITATION { "citationItems" : [ { "id" : "ITEM-1", "itemData" : { "DOI" : "10.1093/forestry/76.1.19", "ISSN" : "0015-752X", "abstract" : "Long-term changes in Denny Wood, an ancient wood-pasture in the New Forest, were recorded on two permanent transects. One was located in an unenclosed part of the wood, which remained open to all large herbivores (ponies, deer, cattle). The other was in an enclosed part, which was fenced against livestock (but not deer) from 1870 to [~]1960, after which ponies regained access. Records of trees, shrubs, seedlings and vascular ground vegetation within the transects were made mainly during 1959-1964 and 1996-2001. The unenclosed transect changed greatly. In 1959 it comprised closed beech-oak Fagus sylvatica-Quercus robur forest with abundant holly Ilex aquifolium understorey and small patches of Agrostis lawn or Pteridium aquilinum grazed by moderate numbers of large herbivores. Forty years later this had become an open oak-beech parkland with little understorey. Species-rich lawns and stands of Pteridium had spread extensively, and large herbivores had become far more numerous. Oak survived much better than beech: the larger beech suffered particularly from drought in 1976 and the medium beech from debarking by grey squirrels Sciurus carolinensis. Many beech were cut and removed in a safety/salvage operation in 1981. Holly was reduced mainly by browsing and debarking by ponies and deer. Tree and shrub seedlings became more abundant, but browsing effectively prevented regeneration. The enclosed transect also comprised closed beech-oak-holly forest in 1959. However, the stand was denser and the ground vegetation was more heavily shaded, species-poor and sparser than on the unenclosed transect. Substantial gaps were created during the next 40 years due mainly to the loss of large beech and oak after drought in 1976 and later storms. Rank, species-poor grassland and stands of Pteridium developed mainly below gaps, but many parts remained as closed high forest with little ground vegetation. No dead trees were removed and dead wood volumes remained consistently high. Holly was much reduced, principally due to browsing and debarking by deer and ponies. Grazing almost completely prevented tree regeneration. The implications for grazing of wood-pastures are discussed. Prolonged exclusion of livestock with reduced deer numbers allowed abundant regeneration of trees with holly, but the ensuing dense, closed stand had an impoverished ground flora. Moderate numbers of livestock (both ponies and cattle) and deer kept some grassy glades, but allowed holly to spread. Hig\u2026", "author" : [ { "dropping-particle" : "", "family" : "Mountford", "given" : "E. P.", "non-dropping-particle" : "", "parse-names" : false, "suffix" : "" }, { "dropping-particle" : "", "family" : "Peterken", "given" : "George F.", "non-dropping-particle" : "", "parse-names" : false, "suffix" : "" } ], "container-title" : "Forestry", "id" : "ITEM-1", "issue" : "1", "issued" : { "date-parts" : [ [ "2003", "1", "1" ] ] }, "page" : "19-43", "title" : "Long-term change and implications for the management of wood-pastures: experience over 40 years from Denny Wood, New Forest", "type" : "article-journal", "volume" : "76" }, "uris" : [ "http://www.mendeley.com/documents/?uuid=39eeadf5-9032-45e9-b85b-9e25d6b96576" ] } ], "mendeley" : { "formattedCitation" : "(Mountford &amp; Peterken 2003)", "plainTextFormattedCitation" : "(Mountford &amp; Peterken 2003)", "previouslyFormattedCitation" : "(Mountford &amp; Peterken 2003)" }, "properties" : { "noteIndex" : 0 }, "schema" : "https://github.com/citation-style-language/schema/raw/master/csl-citation.json" }</w:instrText>
      </w:r>
      <w:r w:rsidR="003A2B2F">
        <w:rPr>
          <w:rFonts w:ascii="Arial" w:hAnsi="Arial" w:cs="Arial"/>
          <w:lang w:eastAsia="en-GB"/>
        </w:rPr>
        <w:fldChar w:fldCharType="separate"/>
      </w:r>
      <w:r w:rsidR="003A2B2F" w:rsidRPr="003A2B2F">
        <w:rPr>
          <w:rFonts w:ascii="Arial" w:hAnsi="Arial" w:cs="Arial"/>
          <w:noProof/>
          <w:lang w:eastAsia="en-GB"/>
        </w:rPr>
        <w:t>(Mountford &amp; Peterken 2003)</w:t>
      </w:r>
      <w:r w:rsidR="003A2B2F">
        <w:rPr>
          <w:rFonts w:ascii="Arial" w:hAnsi="Arial" w:cs="Arial"/>
          <w:lang w:eastAsia="en-GB"/>
        </w:rPr>
        <w:fldChar w:fldCharType="end"/>
      </w:r>
      <w:r w:rsidR="003A2B2F">
        <w:rPr>
          <w:rFonts w:ascii="Arial" w:hAnsi="Arial" w:cs="Arial"/>
          <w:lang w:eastAsia="en-GB"/>
        </w:rPr>
        <w:t>.</w:t>
      </w:r>
    </w:p>
    <w:p w:rsidR="003A2B2F" w:rsidRDefault="003A2B2F" w:rsidP="00A7669F">
      <w:pPr>
        <w:spacing w:line="360" w:lineRule="auto"/>
        <w:contextualSpacing/>
        <w:rPr>
          <w:rFonts w:ascii="Arial" w:hAnsi="Arial" w:cs="Arial"/>
          <w:lang w:eastAsia="en-GB"/>
        </w:rPr>
      </w:pPr>
    </w:p>
    <w:p w:rsidR="00A7669F" w:rsidRPr="00A7669F" w:rsidRDefault="00A7669F" w:rsidP="00A7669F">
      <w:pPr>
        <w:spacing w:line="360" w:lineRule="auto"/>
        <w:contextualSpacing/>
        <w:rPr>
          <w:rFonts w:ascii="Arial" w:hAnsi="Arial" w:cs="Arial"/>
          <w:b/>
          <w:lang w:eastAsia="en-GB"/>
        </w:rPr>
      </w:pPr>
      <w:r w:rsidRPr="00A7669F">
        <w:rPr>
          <w:rFonts w:ascii="Arial" w:hAnsi="Arial" w:cs="Arial"/>
          <w:b/>
          <w:lang w:eastAsia="en-GB"/>
        </w:rPr>
        <w:t>Data collection</w:t>
      </w:r>
    </w:p>
    <w:p w:rsidR="00A7669F" w:rsidRDefault="0024119F" w:rsidP="00A7669F">
      <w:pPr>
        <w:spacing w:line="360" w:lineRule="auto"/>
        <w:ind w:firstLine="720"/>
        <w:contextualSpacing/>
        <w:rPr>
          <w:rFonts w:ascii="Arial" w:hAnsi="Arial" w:cs="Arial"/>
        </w:rPr>
      </w:pPr>
      <w:r w:rsidRPr="0024119F">
        <w:rPr>
          <w:rFonts w:ascii="Arial" w:hAnsi="Arial" w:cs="Arial"/>
        </w:rPr>
        <w:t xml:space="preserve">Measurements were conducted in </w:t>
      </w:r>
      <w:r w:rsidR="00A7669F">
        <w:rPr>
          <w:rFonts w:ascii="Arial" w:hAnsi="Arial" w:cs="Arial"/>
        </w:rPr>
        <w:t>one 20 m-wide 1 km long transect</w:t>
      </w:r>
      <w:r w:rsidRPr="0024119F">
        <w:rPr>
          <w:rFonts w:ascii="Arial" w:hAnsi="Arial" w:cs="Arial"/>
        </w:rPr>
        <w:t xml:space="preserve">, which </w:t>
      </w:r>
      <w:r w:rsidR="00A7669F">
        <w:rPr>
          <w:rFonts w:ascii="Arial" w:hAnsi="Arial" w:cs="Arial"/>
        </w:rPr>
        <w:t>was</w:t>
      </w:r>
      <w:r w:rsidRPr="0024119F">
        <w:rPr>
          <w:rFonts w:ascii="Arial" w:hAnsi="Arial" w:cs="Arial"/>
        </w:rPr>
        <w:t xml:space="preserve"> originally established in the 1950s. </w:t>
      </w:r>
      <w:proofErr w:type="gramStart"/>
      <w:r w:rsidR="00A7669F">
        <w:rPr>
          <w:rFonts w:ascii="Arial" w:hAnsi="Arial" w:cs="Arial"/>
        </w:rPr>
        <w:t>The transect</w:t>
      </w:r>
      <w:proofErr w:type="gramEnd"/>
      <w:r w:rsidRPr="0024119F">
        <w:rPr>
          <w:rFonts w:ascii="Arial" w:hAnsi="Arial" w:cs="Arial"/>
        </w:rPr>
        <w:t xml:space="preserve"> </w:t>
      </w:r>
      <w:r w:rsidR="00A7669F">
        <w:rPr>
          <w:rFonts w:ascii="Arial" w:hAnsi="Arial" w:cs="Arial"/>
        </w:rPr>
        <w:t>was</w:t>
      </w:r>
      <w:r w:rsidRPr="0024119F">
        <w:rPr>
          <w:rFonts w:ascii="Arial" w:hAnsi="Arial" w:cs="Arial"/>
        </w:rPr>
        <w:t xml:space="preserve"> subdivided into contiguous </w:t>
      </w:r>
      <w:r w:rsidR="00A7669F">
        <w:rPr>
          <w:rFonts w:ascii="Arial" w:hAnsi="Arial" w:cs="Arial"/>
        </w:rPr>
        <w:t>51 20 x 20 m (0.04 ha) subplot and surveyed in 1964, 1984, 1988, 1996 and 2014</w:t>
      </w:r>
      <w:r w:rsidRPr="0024119F">
        <w:rPr>
          <w:rFonts w:ascii="Arial" w:hAnsi="Arial" w:cs="Arial"/>
        </w:rPr>
        <w:t xml:space="preserve">. Details of earlier measurements are presented by </w:t>
      </w:r>
      <w:proofErr w:type="spellStart"/>
      <w:r w:rsidRPr="0024119F">
        <w:rPr>
          <w:rFonts w:ascii="Arial" w:hAnsi="Arial" w:cs="Arial"/>
        </w:rPr>
        <w:t>Mountford</w:t>
      </w:r>
      <w:proofErr w:type="spellEnd"/>
      <w:r w:rsidRPr="0024119F">
        <w:rPr>
          <w:rFonts w:ascii="Arial" w:hAnsi="Arial" w:cs="Arial"/>
        </w:rPr>
        <w:t xml:space="preserve"> et al. (1999) and</w:t>
      </w:r>
      <w:r>
        <w:rPr>
          <w:rFonts w:ascii="Arial" w:hAnsi="Arial" w:cs="Arial"/>
        </w:rPr>
        <w:t xml:space="preserve"> </w:t>
      </w:r>
      <w:proofErr w:type="spellStart"/>
      <w:r>
        <w:rPr>
          <w:rFonts w:ascii="Arial" w:hAnsi="Arial" w:cs="Arial"/>
        </w:rPr>
        <w:t>Mountford</w:t>
      </w:r>
      <w:proofErr w:type="spellEnd"/>
      <w:r>
        <w:rPr>
          <w:rFonts w:ascii="Arial" w:hAnsi="Arial" w:cs="Arial"/>
        </w:rPr>
        <w:t xml:space="preserve"> and </w:t>
      </w:r>
      <w:proofErr w:type="spellStart"/>
      <w:r>
        <w:rPr>
          <w:rFonts w:ascii="Arial" w:hAnsi="Arial" w:cs="Arial"/>
        </w:rPr>
        <w:t>Peterken</w:t>
      </w:r>
      <w:proofErr w:type="spellEnd"/>
      <w:r>
        <w:rPr>
          <w:rFonts w:ascii="Arial" w:hAnsi="Arial" w:cs="Arial"/>
        </w:rPr>
        <w:t xml:space="preserve"> (2003) and those </w:t>
      </w:r>
      <w:r w:rsidRPr="0024119F">
        <w:rPr>
          <w:rFonts w:ascii="Arial" w:hAnsi="Arial" w:cs="Arial"/>
        </w:rPr>
        <w:t xml:space="preserve">for 2014 </w:t>
      </w:r>
      <w:r>
        <w:rPr>
          <w:rFonts w:ascii="Arial" w:hAnsi="Arial" w:cs="Arial"/>
        </w:rPr>
        <w:t>in Martin et al. (2015)</w:t>
      </w:r>
      <w:r w:rsidRPr="0024119F">
        <w:rPr>
          <w:rFonts w:ascii="Arial" w:hAnsi="Arial" w:cs="Arial"/>
        </w:rPr>
        <w:t xml:space="preserve">. In each survey, the location and species name of all </w:t>
      </w:r>
      <w:r>
        <w:rPr>
          <w:rFonts w:ascii="Arial" w:hAnsi="Arial" w:cs="Arial"/>
        </w:rPr>
        <w:t>woody</w:t>
      </w:r>
      <w:r w:rsidRPr="0024119F">
        <w:rPr>
          <w:rFonts w:ascii="Arial" w:hAnsi="Arial" w:cs="Arial"/>
        </w:rPr>
        <w:t xml:space="preserve"> stems </w:t>
      </w:r>
      <w:r>
        <w:rPr>
          <w:rFonts w:ascii="Arial" w:hAnsi="Arial" w:cs="Arial"/>
        </w:rPr>
        <w:t xml:space="preserve">&gt;1.3 m in height </w:t>
      </w:r>
      <w:r w:rsidRPr="0024119F">
        <w:rPr>
          <w:rFonts w:ascii="Arial" w:hAnsi="Arial" w:cs="Arial"/>
        </w:rPr>
        <w:t xml:space="preserve">were recorded, their </w:t>
      </w:r>
      <w:r>
        <w:rPr>
          <w:rFonts w:ascii="Arial" w:hAnsi="Arial" w:cs="Arial"/>
        </w:rPr>
        <w:t>diameter at breast height</w:t>
      </w:r>
      <w:r w:rsidRPr="0024119F">
        <w:rPr>
          <w:rFonts w:ascii="Arial" w:hAnsi="Arial" w:cs="Arial"/>
        </w:rPr>
        <w:t xml:space="preserve"> measured using </w:t>
      </w:r>
      <w:r w:rsidR="00A7669F">
        <w:rPr>
          <w:rFonts w:ascii="Arial" w:hAnsi="Arial" w:cs="Arial"/>
        </w:rPr>
        <w:t>diameter</w:t>
      </w:r>
      <w:r w:rsidRPr="0024119F">
        <w:rPr>
          <w:rFonts w:ascii="Arial" w:hAnsi="Arial" w:cs="Arial"/>
        </w:rPr>
        <w:t xml:space="preserve"> tapes, and their status assessed as either alive or dead. </w:t>
      </w:r>
      <w:r>
        <w:rPr>
          <w:rFonts w:ascii="Arial" w:hAnsi="Arial" w:cs="Arial"/>
        </w:rPr>
        <w:t xml:space="preserve">Each stem &gt;1.3m height was given a unique ID number to allow changes in individual trees to be tracked. </w:t>
      </w:r>
    </w:p>
    <w:p w:rsidR="00A7669F" w:rsidRDefault="00A7669F" w:rsidP="00A7669F">
      <w:pPr>
        <w:spacing w:line="360" w:lineRule="auto"/>
        <w:contextualSpacing/>
        <w:rPr>
          <w:rFonts w:ascii="Arial" w:hAnsi="Arial" w:cs="Arial"/>
        </w:rPr>
      </w:pPr>
      <w:r>
        <w:rPr>
          <w:rFonts w:ascii="Arial" w:hAnsi="Arial" w:cs="Arial"/>
        </w:rPr>
        <w:tab/>
        <w:t xml:space="preserve">In 2014 </w:t>
      </w:r>
      <w:r w:rsidR="00DC1C53">
        <w:rPr>
          <w:rFonts w:ascii="Arial" w:hAnsi="Arial" w:cs="Arial"/>
        </w:rPr>
        <w:t>a number of variables were not recorded in previous surveys were also collected: seedling density, canopy openness, soil types and, proxies of herbivore pressure. T</w:t>
      </w:r>
      <w:r>
        <w:rPr>
          <w:rFonts w:ascii="Arial" w:hAnsi="Arial" w:cs="Arial"/>
        </w:rPr>
        <w:t xml:space="preserve">he density of tree seedlings </w:t>
      </w:r>
      <w:r w:rsidR="00DC1C53">
        <w:rPr>
          <w:rFonts w:ascii="Arial" w:hAnsi="Arial" w:cs="Arial"/>
        </w:rPr>
        <w:t xml:space="preserve">of all species present </w:t>
      </w:r>
      <w:r>
        <w:rPr>
          <w:rFonts w:ascii="Arial" w:hAnsi="Arial" w:cs="Arial"/>
        </w:rPr>
        <w:t xml:space="preserve">in 10 x 10 m plots located in the centre of the 20 x 20 m plots was recorded. In addition in 2014 the canopy openness of plots was assessed using a concave spherical densitometer in all </w:t>
      </w:r>
      <w:r w:rsidR="00AC7BB4">
        <w:rPr>
          <w:rFonts w:ascii="Arial" w:hAnsi="Arial" w:cs="Arial"/>
        </w:rPr>
        <w:t xml:space="preserve">four </w:t>
      </w:r>
      <w:r>
        <w:rPr>
          <w:rFonts w:ascii="Arial" w:hAnsi="Arial" w:cs="Arial"/>
        </w:rPr>
        <w:t xml:space="preserve">corners and the centre of 20 x 20 m plots and calculating the mean of these values. </w:t>
      </w:r>
      <w:commentRangeStart w:id="1"/>
      <w:r>
        <w:rPr>
          <w:rFonts w:ascii="Arial" w:hAnsi="Arial" w:cs="Arial"/>
        </w:rPr>
        <w:t xml:space="preserve">In 2014 </w:t>
      </w:r>
      <w:r w:rsidR="00DC1C53">
        <w:rPr>
          <w:rFonts w:ascii="Arial" w:hAnsi="Arial" w:cs="Arial"/>
        </w:rPr>
        <w:t>the soil types in each plot were assessed by sampling from within each 20 x 20m plot and then processing these samples in the lab.</w:t>
      </w:r>
      <w:commentRangeEnd w:id="1"/>
      <w:r w:rsidR="00DC1C53">
        <w:rPr>
          <w:rStyle w:val="CommentReference"/>
        </w:rPr>
        <w:commentReference w:id="1"/>
      </w:r>
      <w:r w:rsidR="00AC7BB4">
        <w:rPr>
          <w:rFonts w:ascii="Arial" w:hAnsi="Arial" w:cs="Arial"/>
        </w:rPr>
        <w:t xml:space="preserve"> Herbivore pressure was assessed by counting the amount and condition of dung for both ponies and deer in each plot.</w:t>
      </w:r>
    </w:p>
    <w:p w:rsidR="00AC7BB4" w:rsidRDefault="00AC7BB4" w:rsidP="00A7669F">
      <w:pPr>
        <w:spacing w:line="360" w:lineRule="auto"/>
        <w:contextualSpacing/>
        <w:rPr>
          <w:rFonts w:ascii="Arial" w:hAnsi="Arial" w:cs="Arial"/>
        </w:rPr>
      </w:pPr>
    </w:p>
    <w:p w:rsidR="00AC7BB4" w:rsidRDefault="00AC7BB4" w:rsidP="00A7669F">
      <w:pPr>
        <w:spacing w:line="360" w:lineRule="auto"/>
        <w:contextualSpacing/>
        <w:rPr>
          <w:rFonts w:ascii="Arial" w:hAnsi="Arial" w:cs="Arial"/>
        </w:rPr>
      </w:pPr>
    </w:p>
    <w:p w:rsidR="00AC7BB4" w:rsidRPr="00AC7BB4" w:rsidRDefault="00AC7BB4" w:rsidP="00A7669F">
      <w:pPr>
        <w:spacing w:line="360" w:lineRule="auto"/>
        <w:contextualSpacing/>
        <w:rPr>
          <w:rFonts w:ascii="Arial" w:hAnsi="Arial" w:cs="Arial"/>
          <w:b/>
        </w:rPr>
      </w:pPr>
      <w:r w:rsidRPr="00AC7BB4">
        <w:rPr>
          <w:rFonts w:ascii="Arial" w:hAnsi="Arial" w:cs="Arial"/>
          <w:b/>
        </w:rPr>
        <w:lastRenderedPageBreak/>
        <w:t>Statistical analysis</w:t>
      </w:r>
    </w:p>
    <w:p w:rsidR="00214A19" w:rsidRDefault="00214A19" w:rsidP="00A7669F">
      <w:pPr>
        <w:spacing w:line="360" w:lineRule="auto"/>
        <w:contextualSpacing/>
        <w:rPr>
          <w:rFonts w:ascii="Arial" w:hAnsi="Arial" w:cs="Arial"/>
        </w:rPr>
      </w:pPr>
    </w:p>
    <w:p w:rsidR="00214A19" w:rsidRPr="00214A19" w:rsidRDefault="00214A19" w:rsidP="00A7669F">
      <w:pPr>
        <w:spacing w:line="360" w:lineRule="auto"/>
        <w:contextualSpacing/>
        <w:rPr>
          <w:rFonts w:ascii="Arial" w:hAnsi="Arial" w:cs="Arial"/>
          <w:b/>
        </w:rPr>
      </w:pPr>
      <w:r w:rsidRPr="00214A19">
        <w:rPr>
          <w:rFonts w:ascii="Arial" w:hAnsi="Arial" w:cs="Arial"/>
          <w:b/>
        </w:rPr>
        <w:t>Individual tree mortality</w:t>
      </w:r>
    </w:p>
    <w:p w:rsidR="00214A19" w:rsidRDefault="00F35515" w:rsidP="00E46DB5">
      <w:pPr>
        <w:spacing w:line="360" w:lineRule="auto"/>
        <w:ind w:firstLine="720"/>
        <w:contextualSpacing/>
        <w:rPr>
          <w:rFonts w:ascii="Arial" w:hAnsi="Arial" w:cs="Arial"/>
        </w:rPr>
      </w:pPr>
      <w:r>
        <w:rPr>
          <w:rFonts w:ascii="Arial" w:hAnsi="Arial" w:cs="Arial"/>
        </w:rPr>
        <w:t>Statistical models of individual tree mortality were developed using logistic mixed effects models, which describe the probability that a tree dies in a given period of time.</w:t>
      </w:r>
      <w:r w:rsidR="00E46DB5">
        <w:rPr>
          <w:rFonts w:ascii="Arial" w:hAnsi="Arial" w:cs="Arial"/>
        </w:rPr>
        <w:t xml:space="preserve"> </w:t>
      </w:r>
      <w:r>
        <w:rPr>
          <w:rFonts w:ascii="Arial" w:hAnsi="Arial" w:cs="Arial"/>
        </w:rPr>
        <w:t xml:space="preserve">For this model we tested </w:t>
      </w:r>
      <w:r w:rsidR="00214A19">
        <w:rPr>
          <w:rFonts w:ascii="Arial" w:hAnsi="Arial" w:cs="Arial"/>
        </w:rPr>
        <w:t>largely</w:t>
      </w:r>
      <w:r w:rsidR="00F06791">
        <w:rPr>
          <w:rFonts w:ascii="Arial" w:hAnsi="Arial" w:cs="Arial"/>
        </w:rPr>
        <w:t xml:space="preserve"> </w:t>
      </w:r>
      <w:r>
        <w:rPr>
          <w:rFonts w:ascii="Arial" w:hAnsi="Arial" w:cs="Arial"/>
        </w:rPr>
        <w:t xml:space="preserve">individual-level predictors of mortality. Models were developed in a four-step process similar to the workflow of </w:t>
      </w:r>
      <w:r>
        <w:rPr>
          <w:rFonts w:ascii="Arial" w:hAnsi="Arial" w:cs="Arial"/>
        </w:rPr>
        <w:fldChar w:fldCharType="begin" w:fldLock="1"/>
      </w:r>
      <w:r w:rsidR="00214A19">
        <w:rPr>
          <w:rFonts w:ascii="Arial" w:hAnsi="Arial" w:cs="Arial"/>
        </w:rPr>
        <w:instrText>ADDIN CSL_CITATION { "citationItems" : [ { "id" : "ITEM-1", "itemData" : { "DOI" : "10.1111/j.1365-2745.2007.01343.x", "ISBN" : "0022-0477", "ISSN" : "00220477", "abstract" : "* 1Tree mortality is an important process in forest ecology. We explored the extent to which tropical tree death is a predictable outcome of taxon and individual level properties by means of mixed-species logistic regression, for trees \u2265 10 cm in diameter. We worked in two lowland forest regions with markedly different floristic composition and dynamic regimes \u2013 the high wood density, low-mortality northeastern (NE) Amazon (in eastern Venezuela), and the low wood density, high-mortality northwestern (NW) Amazon (in northern Peru). * 2Among those genera that are shared between regions there were no detectable regional differences in mortality rates. This suggests that floristic compositional differences are a major driver of the twofold regional contrast in stand-level mortality. * 3In NE forests, mortality risk of individual trees is best predicted by low taxon-level wood density, slow relative growth, and large size, reflecting phylogenetically determined life-history strategy, physiological stress and senescence. * 4In NW forests, trees with low wood density and slow relative growth are also at most risk, but probability of death is independent of tree size, indicating that senescence is unimportant in this region. * 5Synthesis. This study shows that despite fundamental floristic and dynamic differences between the two Amazonian regions, mortality risk can be predicted with mixed-species, individual-based statistical models and that the predictors are remarkably similar, such that tree growth and wood density both play important roles.", "author" : [ { "dropping-particle" : "", "family" : "Chao", "given" : "Kuo Jung", "non-dropping-particle" : "", "parse-names" : false, "suffix" : "" }, { "dropping-particle" : "", "family" : "Phillips", "given" : "Oliver L.", "non-dropping-particle" : "", "parse-names" : false, "suffix" : "" }, { "dropping-particle" : "", "family" : "Gloor", "given" : "Emanuel", "non-dropping-particle" : "", "parse-names" : false, "suffix" : "" }, { "dropping-particle" : "", "family" : "Monteagudo", "given" : "Abel", "non-dropping-particle" : "", "parse-names" : false, "suffix" : "" }, { "dropping-particle" : "", "family" : "Torres-Lezama", "given" : "Armando", "non-dropping-particle" : "", "parse-names" : false, "suffix" : "" }, { "dropping-particle" : "", "family" : "Mart\u00ednez", "given" : "Rodolfo V\u00e1squez", "non-dropping-particle" : "", "parse-names" : false, "suffix" : "" } ], "container-title" : "Journal of Ecology", "id" : "ITEM-1", "issued" : { "date-parts" : [ [ "2008" ] ] }, "page" : "281-292", "title" : "Growth and wood density predict tree mortality in Amazon forests", "type" : "article-journal", "volume" : "96" }, "uris" : [ "http://www.mendeley.com/documents/?uuid=9bdf97c5-f208-4a8b-a971-783c205eec84" ] } ], "mendeley" : { "formattedCitation" : "(Chao &lt;i&gt;et al.&lt;/i&gt; 2008)", "manualFormatting" : "Chao et al. (2008)", "plainTextFormattedCitation" : "(Chao et al. 2008)", "previouslyFormattedCitation" : "(Chao &lt;i&gt;et al.&lt;/i&gt; 2008)" }, "properties" : { "noteIndex" : 0 }, "schema" : "https://github.com/citation-style-language/schema/raw/master/csl-citation.json" }</w:instrText>
      </w:r>
      <w:r>
        <w:rPr>
          <w:rFonts w:ascii="Arial" w:hAnsi="Arial" w:cs="Arial"/>
        </w:rPr>
        <w:fldChar w:fldCharType="separate"/>
      </w:r>
      <w:r>
        <w:rPr>
          <w:rFonts w:ascii="Arial" w:hAnsi="Arial" w:cs="Arial"/>
          <w:noProof/>
        </w:rPr>
        <w:t>Chao et al. (</w:t>
      </w:r>
      <w:r w:rsidRPr="00F35515">
        <w:rPr>
          <w:rFonts w:ascii="Arial" w:hAnsi="Arial" w:cs="Arial"/>
          <w:noProof/>
        </w:rPr>
        <w:t>2008)</w:t>
      </w:r>
      <w:r>
        <w:rPr>
          <w:rFonts w:ascii="Arial" w:hAnsi="Arial" w:cs="Arial"/>
        </w:rPr>
        <w:fldChar w:fldCharType="end"/>
      </w:r>
      <w:r>
        <w:rPr>
          <w:rFonts w:ascii="Arial" w:hAnsi="Arial" w:cs="Arial"/>
        </w:rPr>
        <w:t xml:space="preserve">. In step 1 we prepared predictors classified into 3 groups: (i) tree size, (ii) tree growth, </w:t>
      </w:r>
      <w:r w:rsidR="00F06791">
        <w:rPr>
          <w:rFonts w:ascii="Arial" w:hAnsi="Arial" w:cs="Arial"/>
        </w:rPr>
        <w:t>(iii) proximity to dead trees. Tree size represented diameter based measurement</w:t>
      </w:r>
      <w:r w:rsidR="00214A19">
        <w:rPr>
          <w:rFonts w:ascii="Arial" w:hAnsi="Arial" w:cs="Arial"/>
        </w:rPr>
        <w:t>s</w:t>
      </w:r>
      <w:r w:rsidR="00F06791">
        <w:rPr>
          <w:rFonts w:ascii="Arial" w:hAnsi="Arial" w:cs="Arial"/>
        </w:rPr>
        <w:t xml:space="preserve"> prior to death, specifically diameter at breast height, basal area and relative size. Tree growth was based on measurements of diameter at two separate time periods prior to death and represented both relative and absolute growth rates. </w:t>
      </w:r>
      <w:r w:rsidR="00F262DF">
        <w:rPr>
          <w:rFonts w:ascii="Arial" w:hAnsi="Arial" w:cs="Arial"/>
        </w:rPr>
        <w:t>Proximity to dead trees related to the prior to death distance of an individual tree to a dead tree or the abundance</w:t>
      </w:r>
      <w:r w:rsidR="00E46DB5">
        <w:rPr>
          <w:rFonts w:ascii="Arial" w:hAnsi="Arial" w:cs="Arial"/>
        </w:rPr>
        <w:t xml:space="preserve"> of dead trees in a 10m buffer.</w:t>
      </w:r>
    </w:p>
    <w:p w:rsidR="00F35515" w:rsidRDefault="00F06791" w:rsidP="00214A19">
      <w:pPr>
        <w:spacing w:line="360" w:lineRule="auto"/>
        <w:ind w:firstLine="720"/>
        <w:contextualSpacing/>
        <w:rPr>
          <w:rFonts w:ascii="Arial" w:hAnsi="Arial" w:cs="Arial"/>
        </w:rPr>
      </w:pPr>
      <w:r>
        <w:rPr>
          <w:rFonts w:ascii="Arial" w:hAnsi="Arial" w:cs="Arial"/>
        </w:rPr>
        <w:t xml:space="preserve">In step 2 we selected </w:t>
      </w:r>
      <w:r w:rsidR="00214A19">
        <w:rPr>
          <w:rFonts w:ascii="Arial" w:hAnsi="Arial" w:cs="Arial"/>
        </w:rPr>
        <w:t>we selected the</w:t>
      </w:r>
      <w:r>
        <w:rPr>
          <w:rFonts w:ascii="Arial" w:hAnsi="Arial" w:cs="Arial"/>
        </w:rPr>
        <w:t xml:space="preserve"> best predictor for each group </w:t>
      </w:r>
      <w:r w:rsidR="00214A19">
        <w:rPr>
          <w:rFonts w:ascii="Arial" w:hAnsi="Arial" w:cs="Arial"/>
        </w:rPr>
        <w:t xml:space="preserve">by choosing the </w:t>
      </w:r>
      <w:proofErr w:type="spellStart"/>
      <w:r>
        <w:rPr>
          <w:rFonts w:ascii="Arial" w:hAnsi="Arial" w:cs="Arial"/>
        </w:rPr>
        <w:t>u</w:t>
      </w:r>
      <w:r w:rsidR="00214A19">
        <w:rPr>
          <w:rFonts w:ascii="Arial" w:hAnsi="Arial" w:cs="Arial"/>
        </w:rPr>
        <w:t>nivariate</w:t>
      </w:r>
      <w:proofErr w:type="spellEnd"/>
      <w:r w:rsidR="00214A19">
        <w:rPr>
          <w:rFonts w:ascii="Arial" w:hAnsi="Arial" w:cs="Arial"/>
        </w:rPr>
        <w:t xml:space="preserve"> logistic mixed effect</w:t>
      </w:r>
      <w:r>
        <w:rPr>
          <w:rFonts w:ascii="Arial" w:hAnsi="Arial" w:cs="Arial"/>
        </w:rPr>
        <w:t xml:space="preserve"> models </w:t>
      </w:r>
      <w:r w:rsidR="00214A19">
        <w:rPr>
          <w:rFonts w:ascii="Arial" w:hAnsi="Arial" w:cs="Arial"/>
        </w:rPr>
        <w:t xml:space="preserve">which had the lowest </w:t>
      </w:r>
      <w:proofErr w:type="spellStart"/>
      <w:r w:rsidR="00214A19">
        <w:rPr>
          <w:rFonts w:ascii="Arial" w:hAnsi="Arial" w:cs="Arial"/>
        </w:rPr>
        <w:t>AICc</w:t>
      </w:r>
      <w:proofErr w:type="spellEnd"/>
      <w:r>
        <w:rPr>
          <w:rFonts w:ascii="Arial" w:hAnsi="Arial" w:cs="Arial"/>
        </w:rPr>
        <w:t xml:space="preserve"> </w:t>
      </w:r>
      <w:r w:rsidR="00214A19">
        <w:rPr>
          <w:rFonts w:ascii="Arial" w:hAnsi="Arial" w:cs="Arial"/>
        </w:rPr>
        <w:fldChar w:fldCharType="begin" w:fldLock="1"/>
      </w:r>
      <w:r w:rsidR="00214A19">
        <w:rPr>
          <w:rFonts w:ascii="Arial" w:hAnsi="Arial" w:cs="Arial"/>
        </w:rPr>
        <w:instrText>ADDIN CSL_CITATION { "citationItems" : [ { "id" : "ITEM-1", "itemData" : { "DOI" : "10.1111/j.1365-2745.2007.01343.x", "ISBN" : "0022-0477", "ISSN" : "00220477", "abstract" : "* 1Tree mortality is an important process in forest ecology. We explored the extent to which tropical tree death is a predictable outcome of taxon and individual level properties by means of mixed-species logistic regression, for trees \u2265 10 cm in diameter. We worked in two lowland forest regions with markedly different floristic composition and dynamic regimes \u2013 the high wood density, low-mortality northeastern (NE) Amazon (in eastern Venezuela), and the low wood density, high-mortality northwestern (NW) Amazon (in northern Peru). * 2Among those genera that are shared between regions there were no detectable regional differences in mortality rates. This suggests that floristic compositional differences are a major driver of the twofold regional contrast in stand-level mortality. * 3In NE forests, mortality risk of individual trees is best predicted by low taxon-level wood density, slow relative growth, and large size, reflecting phylogenetically determined life-history strategy, physiological stress and senescence. * 4In NW forests, trees with low wood density and slow relative growth are also at most risk, but probability of death is independent of tree size, indicating that senescence is unimportant in this region. * 5Synthesis. This study shows that despite fundamental floristic and dynamic differences between the two Amazonian regions, mortality risk can be predicted with mixed-species, individual-based statistical models and that the predictors are remarkably similar, such that tree growth and wood density both play important roles.", "author" : [ { "dropping-particle" : "", "family" : "Chao", "given" : "Kuo Jung", "non-dropping-particle" : "", "parse-names" : false, "suffix" : "" }, { "dropping-particle" : "", "family" : "Phillips", "given" : "Oliver L.", "non-dropping-particle" : "", "parse-names" : false, "suffix" : "" }, { "dropping-particle" : "", "family" : "Gloor", "given" : "Emanuel", "non-dropping-particle" : "", "parse-names" : false, "suffix" : "" }, { "dropping-particle" : "", "family" : "Monteagudo", "given" : "Abel", "non-dropping-particle" : "", "parse-names" : false, "suffix" : "" }, { "dropping-particle" : "", "family" : "Torres-Lezama", "given" : "Armando", "non-dropping-particle" : "", "parse-names" : false, "suffix" : "" }, { "dropping-particle" : "", "family" : "Mart\u00ednez", "given" : "Rodolfo V\u00e1squez", "non-dropping-particle" : "", "parse-names" : false, "suffix" : "" } ], "container-title" : "Journal of Ecology", "id" : "ITEM-1", "issued" : { "date-parts" : [ [ "2008" ] ] }, "page" : "281-292", "title" : "Growth and wood density predict tree mortality in Amazon forests", "type" : "article-journal", "volume" : "96" }, "uris" : [ "http://www.mendeley.com/documents/?uuid=9bdf97c5-f208-4a8b-a971-783c205eec84" ] }, { "id" : "ITEM-2", "itemData" : { "DOI" : "10.1016/j.ecolmodel.2003.11.004", "ISBN" : "0387953647", "ISSN" : "03043800", "PMID" : "48557578", "abstract" : "The second edition of this book is unique in that it focuses on methods for making formal statistical inference from all the models in an a priori set (Multi-Model Inference). A philosophy is presented for model-based data analysis and a general strategy outlined for the analysis of empirical data. The book invites increased attention on a priori science hypotheses and modeling.Kullback-Leibler Information represents a fundamental quantity in science and is Hirotugu Akaike's basis for model selection. The maximized log-likelihood function can be bias-corrected as an estimator of expected, relative Kullback-Leibler information. This leads to Akaike's Information Criterion (AIC) and various extensions. These methods are relatively simple and easy to use in practice, but based on deep statistical theory. The information theoretic approaches provide a unified and rigorous theory, an extension of likelihood theory, an important application of information theory, and are objective and practical to employ across a very wide class of empirical problems.The book presents several new ways to incorporate model selection uncertainty into parameter estimates and estimates of precision. An array of challenging examples is given to illustrate various technical issues.This is an applied book written primarily for biologists and statisticians wanting to make inferences from multiple models and is suitable as a graduate text or as a reference for professional analysts.", "author" : [ { "dropping-particle" : "", "family" : "Burnham", "given" : "K.P.", "non-dropping-particle" : "", "parse-names" : false, "suffix" : "" }, { "dropping-particle" : "", "family" : "Anderson", "given" : "D.R.", "non-dropping-particle" : "", "parse-names" : false, "suffix" : "" } ], "container-title" : "Ecological Modelling", "id" : "ITEM-2", "issued" : { "date-parts" : [ [ "2002" ] ] }, "number-of-pages" : "488", "title" : "Model selection and multimodel inference: a practical information-theoretic approach", "type" : "book", "volume" : "172" }, "uris" : [ "http://www.mendeley.com/documents/?uuid=86bbd164-9afc-47d0-9cb9-c08babc7ea8c" ] } ], "mendeley" : { "formattedCitation" : "(Burnham &amp; Anderson 2002; Chao &lt;i&gt;et al.&lt;/i&gt; 2008)", "plainTextFormattedCitation" : "(Burnham &amp; Anderson 2002; Chao et al. 2008)" }, "properties" : { "noteIndex" : 0 }, "schema" : "https://github.com/citation-style-language/schema/raw/master/csl-citation.json" }</w:instrText>
      </w:r>
      <w:r w:rsidR="00214A19">
        <w:rPr>
          <w:rFonts w:ascii="Arial" w:hAnsi="Arial" w:cs="Arial"/>
        </w:rPr>
        <w:fldChar w:fldCharType="separate"/>
      </w:r>
      <w:r w:rsidR="00214A19" w:rsidRPr="00214A19">
        <w:rPr>
          <w:rFonts w:ascii="Arial" w:hAnsi="Arial" w:cs="Arial"/>
          <w:noProof/>
        </w:rPr>
        <w:t xml:space="preserve">(Burnham &amp; Anderson 2002; Chao </w:t>
      </w:r>
      <w:r w:rsidR="00214A19" w:rsidRPr="00214A19">
        <w:rPr>
          <w:rFonts w:ascii="Arial" w:hAnsi="Arial" w:cs="Arial"/>
          <w:i/>
          <w:noProof/>
        </w:rPr>
        <w:t>et al.</w:t>
      </w:r>
      <w:r w:rsidR="00214A19" w:rsidRPr="00214A19">
        <w:rPr>
          <w:rFonts w:ascii="Arial" w:hAnsi="Arial" w:cs="Arial"/>
          <w:noProof/>
        </w:rPr>
        <w:t xml:space="preserve"> 2008)</w:t>
      </w:r>
      <w:r w:rsidR="00214A19">
        <w:rPr>
          <w:rFonts w:ascii="Arial" w:hAnsi="Arial" w:cs="Arial"/>
        </w:rPr>
        <w:fldChar w:fldCharType="end"/>
      </w:r>
      <w:r w:rsidR="00E46DB5">
        <w:rPr>
          <w:rFonts w:ascii="Arial" w:hAnsi="Arial" w:cs="Arial"/>
        </w:rPr>
        <w:t xml:space="preserve">. This step reduces </w:t>
      </w:r>
      <w:proofErr w:type="spellStart"/>
      <w:r w:rsidR="00E46DB5">
        <w:rPr>
          <w:rFonts w:ascii="Arial" w:hAnsi="Arial" w:cs="Arial"/>
        </w:rPr>
        <w:t>intercorrelation</w:t>
      </w:r>
      <w:proofErr w:type="spellEnd"/>
      <w:r w:rsidR="00E46DB5">
        <w:rPr>
          <w:rFonts w:ascii="Arial" w:hAnsi="Arial" w:cs="Arial"/>
        </w:rPr>
        <w:t xml:space="preserve"> of variables which can lead to difficulty in interpreting effects. </w:t>
      </w:r>
      <w:r>
        <w:rPr>
          <w:rFonts w:ascii="Arial" w:hAnsi="Arial" w:cs="Arial"/>
        </w:rPr>
        <w:t>In step 3 a full multivariate model was developed using these selected variables. In step 4 model averaging was used to produce parameter estimates usin</w:t>
      </w:r>
      <w:r w:rsidR="00F262DF">
        <w:rPr>
          <w:rFonts w:ascii="Arial" w:hAnsi="Arial" w:cs="Arial"/>
        </w:rPr>
        <w:t>g the most parsimonious models. Each of these steps is described in more detail below.</w:t>
      </w:r>
    </w:p>
    <w:p w:rsidR="00F262DF" w:rsidRDefault="00F262DF" w:rsidP="00E46DB5">
      <w:pPr>
        <w:spacing w:line="360" w:lineRule="auto"/>
        <w:ind w:firstLine="720"/>
        <w:contextualSpacing/>
        <w:rPr>
          <w:rFonts w:ascii="Arial" w:eastAsiaTheme="minorEastAsia" w:hAnsi="Arial" w:cs="Arial"/>
        </w:rPr>
      </w:pPr>
      <w:r>
        <w:rPr>
          <w:rFonts w:ascii="Arial" w:hAnsi="Arial" w:cs="Arial"/>
        </w:rPr>
        <w:t xml:space="preserve">During data processing tree status (alive or dead) was coded at census </w:t>
      </w:r>
      <w:proofErr w:type="gramStart"/>
      <w:r>
        <w:rPr>
          <w:rFonts w:ascii="Arial" w:hAnsi="Arial" w:cs="Arial"/>
        </w:rPr>
        <w:t xml:space="preserve">time </w:t>
      </w:r>
      <w:proofErr w:type="gramEnd"/>
      <m:oMath>
        <m:sSub>
          <m:sSubPr>
            <m:ctrlPr>
              <w:rPr>
                <w:rFonts w:ascii="Cambria Math" w:hAnsi="Cambria Math" w:cs="Arial"/>
                <w:i/>
              </w:rPr>
            </m:ctrlPr>
          </m:sSubPr>
          <m:e>
            <m:r>
              <w:rPr>
                <w:rFonts w:ascii="Cambria Math" w:hAnsi="Cambria Math" w:cs="Arial"/>
              </w:rPr>
              <m:t>t</m:t>
            </m:r>
          </m:e>
          <m:sub>
            <m:r>
              <w:rPr>
                <w:rFonts w:ascii="Cambria Math" w:hAnsi="Cambria Math" w:cs="Arial"/>
              </w:rPr>
              <m:t>2</m:t>
            </m:r>
          </m:sub>
        </m:sSub>
      </m:oMath>
      <w:r>
        <w:rPr>
          <w:rFonts w:ascii="Arial" w:eastAsiaTheme="minorEastAsia" w:hAnsi="Arial" w:cs="Arial"/>
        </w:rPr>
        <w:t xml:space="preserve">. Only trees with diameter measurements at both </w:t>
      </w:r>
      <m:oMath>
        <m:sSub>
          <m:sSubPr>
            <m:ctrlPr>
              <w:rPr>
                <w:rFonts w:ascii="Cambria Math" w:hAnsi="Cambria Math" w:cs="Arial"/>
                <w:i/>
              </w:rPr>
            </m:ctrlPr>
          </m:sSubPr>
          <m:e>
            <m:r>
              <w:rPr>
                <w:rFonts w:ascii="Cambria Math" w:hAnsi="Cambria Math" w:cs="Arial"/>
              </w:rPr>
              <m:t>t</m:t>
            </m:r>
          </m:e>
          <m:sub>
            <m:r>
              <w:rPr>
                <w:rFonts w:ascii="Cambria Math" w:hAnsi="Cambria Math" w:cs="Arial"/>
              </w:rPr>
              <m:t>0</m:t>
            </m:r>
          </m:sub>
        </m:sSub>
      </m:oMath>
      <w:r>
        <w:rPr>
          <w:rFonts w:ascii="Arial" w:eastAsiaTheme="minorEastAsia" w:hAnsi="Arial" w:cs="Arial"/>
        </w:rPr>
        <w:t xml:space="preserve"> </w:t>
      </w:r>
      <w:r w:rsidR="00EC5CC9">
        <w:rPr>
          <w:rFonts w:ascii="Arial" w:eastAsiaTheme="minorEastAsia" w:hAnsi="Arial" w:cs="Arial"/>
        </w:rPr>
        <w:t>a</w:t>
      </w:r>
      <w:r>
        <w:rPr>
          <w:rFonts w:ascii="Arial" w:eastAsiaTheme="minorEastAsia" w:hAnsi="Arial" w:cs="Arial"/>
        </w:rPr>
        <w:t xml:space="preserve">nd </w:t>
      </w:r>
      <m:oMath>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oMath>
      <w:r>
        <w:rPr>
          <w:rFonts w:ascii="Arial" w:eastAsiaTheme="minorEastAsia" w:hAnsi="Arial" w:cs="Arial"/>
        </w:rPr>
        <w:t xml:space="preserve"> </w:t>
      </w:r>
      <w:r w:rsidR="00EC5CC9">
        <w:rPr>
          <w:rFonts w:ascii="Arial" w:eastAsiaTheme="minorEastAsia" w:hAnsi="Arial" w:cs="Arial"/>
        </w:rPr>
        <w:t xml:space="preserve">prior to time </w:t>
      </w:r>
      <m:oMath>
        <m:sSub>
          <m:sSubPr>
            <m:ctrlPr>
              <w:rPr>
                <w:rFonts w:ascii="Cambria Math" w:hAnsi="Cambria Math" w:cs="Arial"/>
                <w:i/>
              </w:rPr>
            </m:ctrlPr>
          </m:sSubPr>
          <m:e>
            <m:r>
              <w:rPr>
                <w:rFonts w:ascii="Cambria Math" w:hAnsi="Cambria Math" w:cs="Arial"/>
              </w:rPr>
              <m:t>t</m:t>
            </m:r>
          </m:e>
          <m:sub>
            <m:r>
              <w:rPr>
                <w:rFonts w:ascii="Cambria Math" w:hAnsi="Cambria Math" w:cs="Arial"/>
              </w:rPr>
              <m:t>2</m:t>
            </m:r>
          </m:sub>
        </m:sSub>
      </m:oMath>
      <w:r w:rsidR="00EC5CC9">
        <w:rPr>
          <w:rFonts w:ascii="Arial" w:eastAsiaTheme="minorEastAsia" w:hAnsi="Arial" w:cs="Arial"/>
        </w:rPr>
        <w:t xml:space="preserve"> </w:t>
      </w:r>
      <w:r>
        <w:rPr>
          <w:rFonts w:ascii="Arial" w:eastAsiaTheme="minorEastAsia" w:hAnsi="Arial" w:cs="Arial"/>
        </w:rPr>
        <w:t>were included in analyses.</w:t>
      </w:r>
      <w:r w:rsidR="00EC5CC9">
        <w:rPr>
          <w:rFonts w:ascii="Arial" w:eastAsiaTheme="minorEastAsia" w:hAnsi="Arial" w:cs="Arial"/>
        </w:rPr>
        <w:t xml:space="preserve"> Censuses on </w:t>
      </w:r>
      <w:proofErr w:type="gramStart"/>
      <w:r w:rsidR="00EC5CC9">
        <w:rPr>
          <w:rFonts w:ascii="Arial" w:eastAsiaTheme="minorEastAsia" w:hAnsi="Arial" w:cs="Arial"/>
        </w:rPr>
        <w:t>the transect</w:t>
      </w:r>
      <w:proofErr w:type="gramEnd"/>
      <w:r w:rsidR="00EC5CC9">
        <w:rPr>
          <w:rFonts w:ascii="Arial" w:eastAsiaTheme="minorEastAsia" w:hAnsi="Arial" w:cs="Arial"/>
        </w:rPr>
        <w:t xml:space="preserve"> were u</w:t>
      </w:r>
      <w:r w:rsidR="00E46DB5">
        <w:rPr>
          <w:rFonts w:ascii="Arial" w:eastAsiaTheme="minorEastAsia" w:hAnsi="Arial" w:cs="Arial"/>
        </w:rPr>
        <w:t>ndertaken 5 times from 1964-2014</w:t>
      </w:r>
      <w:r w:rsidR="00EC5CC9">
        <w:rPr>
          <w:rFonts w:ascii="Arial" w:eastAsiaTheme="minorEastAsia" w:hAnsi="Arial" w:cs="Arial"/>
        </w:rPr>
        <w:t xml:space="preserve"> with a mean (± SD) census interval period of 12.5 ± 6.7 years</w:t>
      </w:r>
      <w:r w:rsidR="00E46DB5">
        <w:rPr>
          <w:rFonts w:ascii="Arial" w:eastAsiaTheme="minorEastAsia" w:hAnsi="Arial" w:cs="Arial"/>
        </w:rPr>
        <w:t xml:space="preserve"> (range 4-20 years)</w:t>
      </w:r>
      <w:r w:rsidR="00EC5CC9">
        <w:rPr>
          <w:rFonts w:ascii="Arial" w:eastAsiaTheme="minorEastAsia" w:hAnsi="Arial" w:cs="Arial"/>
        </w:rPr>
        <w:t xml:space="preserve">. Since trees used in mortality models required censuses at both </w:t>
      </w:r>
      <m:oMath>
        <m:sSub>
          <m:sSubPr>
            <m:ctrlPr>
              <w:rPr>
                <w:rFonts w:ascii="Cambria Math" w:hAnsi="Cambria Math" w:cs="Arial"/>
                <w:i/>
              </w:rPr>
            </m:ctrlPr>
          </m:sSubPr>
          <m:e>
            <m:r>
              <w:rPr>
                <w:rFonts w:ascii="Cambria Math" w:hAnsi="Cambria Math" w:cs="Arial"/>
              </w:rPr>
              <m:t>t</m:t>
            </m:r>
          </m:e>
          <m:sub>
            <m:r>
              <w:rPr>
                <w:rFonts w:ascii="Cambria Math" w:hAnsi="Cambria Math" w:cs="Arial"/>
              </w:rPr>
              <m:t>0</m:t>
            </m:r>
          </m:sub>
        </m:sSub>
      </m:oMath>
      <w:r w:rsidR="00EC5CC9">
        <w:rPr>
          <w:rFonts w:ascii="Arial" w:eastAsiaTheme="minorEastAsia" w:hAnsi="Arial" w:cs="Arial"/>
        </w:rPr>
        <w:t xml:space="preserve"> and </w:t>
      </w:r>
      <m:oMath>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oMath>
      <w:r w:rsidR="00EC5CC9">
        <w:rPr>
          <w:rFonts w:ascii="Arial" w:eastAsiaTheme="minorEastAsia" w:hAnsi="Arial" w:cs="Arial"/>
        </w:rPr>
        <w:t xml:space="preserve"> prior to time </w:t>
      </w:r>
      <m:oMath>
        <m:sSub>
          <m:sSubPr>
            <m:ctrlPr>
              <w:rPr>
                <w:rFonts w:ascii="Cambria Math" w:hAnsi="Cambria Math" w:cs="Arial"/>
                <w:i/>
              </w:rPr>
            </m:ctrlPr>
          </m:sSubPr>
          <m:e>
            <m:r>
              <w:rPr>
                <w:rFonts w:ascii="Cambria Math" w:hAnsi="Cambria Math" w:cs="Arial"/>
              </w:rPr>
              <m:t>t</m:t>
            </m:r>
          </m:e>
          <m:sub>
            <m:r>
              <w:rPr>
                <w:rFonts w:ascii="Cambria Math" w:hAnsi="Cambria Math" w:cs="Arial"/>
              </w:rPr>
              <m:t>2</m:t>
            </m:r>
          </m:sub>
        </m:sSub>
      </m:oMath>
      <w:r w:rsidR="00EC5CC9">
        <w:rPr>
          <w:rFonts w:ascii="Arial" w:eastAsiaTheme="minorEastAsia" w:hAnsi="Arial" w:cs="Arial"/>
        </w:rPr>
        <w:t xml:space="preserve"> we selected three non-overlapping census periods: 1984-1988, 1988-1996 and 1996-2014 (mean census period 10 ± 5.9 years). </w:t>
      </w:r>
      <w:commentRangeStart w:id="2"/>
      <w:r w:rsidR="00707775">
        <w:rPr>
          <w:rFonts w:ascii="Arial" w:eastAsiaTheme="minorEastAsia" w:hAnsi="Arial" w:cs="Arial"/>
        </w:rPr>
        <w:t xml:space="preserve">To correct for the variation in census interval </w:t>
      </w:r>
      <w:r w:rsidR="00E46DB5">
        <w:rPr>
          <w:rFonts w:ascii="Arial" w:eastAsiaTheme="minorEastAsia" w:hAnsi="Arial" w:cs="Arial"/>
        </w:rPr>
        <w:t>w</w:t>
      </w:r>
      <w:r w:rsidR="00E46DB5" w:rsidRPr="00E46DB5">
        <w:rPr>
          <w:rFonts w:ascii="Arial" w:eastAsiaTheme="minorEastAsia" w:hAnsi="Arial" w:cs="Arial"/>
        </w:rPr>
        <w:t xml:space="preserve">e used a complementary log-log link with an offset </w:t>
      </w:r>
      <w:r w:rsidR="00E46DB5">
        <w:rPr>
          <w:rFonts w:ascii="Arial" w:eastAsiaTheme="minorEastAsia" w:hAnsi="Arial" w:cs="Arial"/>
        </w:rPr>
        <w:t>equal to the census interval</w:t>
      </w:r>
      <w:r w:rsidR="00E46DB5" w:rsidRPr="00E46DB5">
        <w:rPr>
          <w:rFonts w:ascii="Arial" w:eastAsiaTheme="minorEastAsia" w:hAnsi="Arial" w:cs="Arial"/>
        </w:rPr>
        <w:t xml:space="preserve">. </w:t>
      </w:r>
      <w:commentRangeEnd w:id="2"/>
      <w:r w:rsidR="00E46DB5">
        <w:rPr>
          <w:rStyle w:val="CommentReference"/>
        </w:rPr>
        <w:commentReference w:id="2"/>
      </w:r>
      <w:commentRangeStart w:id="3"/>
      <w:r w:rsidR="00E46DB5" w:rsidRPr="00E46DB5">
        <w:rPr>
          <w:rFonts w:ascii="Arial" w:eastAsiaTheme="minorEastAsia" w:hAnsi="Arial" w:cs="Arial"/>
        </w:rPr>
        <w:t>Plot ID was used as a random effect to account for repeated sampling of the same plots.</w:t>
      </w:r>
      <w:commentRangeEnd w:id="3"/>
      <w:r w:rsidR="00E46DB5">
        <w:rPr>
          <w:rStyle w:val="CommentReference"/>
        </w:rPr>
        <w:commentReference w:id="3"/>
      </w:r>
    </w:p>
    <w:p w:rsidR="00560D45" w:rsidRDefault="00707775" w:rsidP="00E46DB5">
      <w:pPr>
        <w:spacing w:line="360" w:lineRule="auto"/>
        <w:ind w:firstLine="720"/>
        <w:contextualSpacing/>
        <w:rPr>
          <w:rFonts w:ascii="Arial" w:eastAsiaTheme="minorEastAsia" w:hAnsi="Arial" w:cs="Arial"/>
        </w:rPr>
      </w:pPr>
      <w:r>
        <w:rPr>
          <w:rFonts w:ascii="Arial" w:eastAsiaTheme="minorEastAsia" w:hAnsi="Arial" w:cs="Arial"/>
        </w:rPr>
        <w:t xml:space="preserve">Tree size metrics used were (i) DBH (cm): diameter at height of 1.3m of tree at time </w:t>
      </w:r>
      <m:oMath>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oMath>
      <w:r>
        <w:rPr>
          <w:rFonts w:ascii="Arial" w:eastAsiaTheme="minorEastAsia" w:hAnsi="Arial" w:cs="Arial"/>
        </w:rPr>
        <w:t>; (ii) BA (m</w:t>
      </w:r>
      <w:r>
        <w:rPr>
          <w:rFonts w:ascii="Arial" w:eastAsiaTheme="minorEastAsia" w:hAnsi="Arial" w:cs="Arial"/>
          <w:vertAlign w:val="superscript"/>
        </w:rPr>
        <w:t>2</w:t>
      </w:r>
      <w:r>
        <w:rPr>
          <w:rFonts w:ascii="Arial" w:eastAsiaTheme="minorEastAsia" w:hAnsi="Arial" w:cs="Arial"/>
        </w:rPr>
        <w:t xml:space="preserve">): basal area of tree at time </w:t>
      </w:r>
      <m:oMath>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oMath>
      <w:r>
        <w:rPr>
          <w:rFonts w:ascii="Arial" w:eastAsiaTheme="minorEastAsia" w:hAnsi="Arial" w:cs="Arial"/>
        </w:rPr>
        <w:t>; (iii) DBH (cm) and DBH</w:t>
      </w:r>
      <w:r>
        <w:rPr>
          <w:rFonts w:ascii="Arial" w:eastAsiaTheme="minorEastAsia" w:hAnsi="Arial" w:cs="Arial"/>
          <w:vertAlign w:val="superscript"/>
        </w:rPr>
        <w:t>2</w:t>
      </w:r>
      <w:r>
        <w:rPr>
          <w:rFonts w:ascii="Arial" w:eastAsiaTheme="minorEastAsia" w:hAnsi="Arial" w:cs="Arial"/>
        </w:rPr>
        <w:t xml:space="preserve"> (m</w:t>
      </w:r>
      <w:r>
        <w:rPr>
          <w:rFonts w:ascii="Arial" w:eastAsiaTheme="minorEastAsia" w:hAnsi="Arial" w:cs="Arial"/>
          <w:vertAlign w:val="superscript"/>
        </w:rPr>
        <w:t>2</w:t>
      </w:r>
      <w:r>
        <w:rPr>
          <w:rFonts w:ascii="Arial" w:eastAsiaTheme="minorEastAsia" w:hAnsi="Arial" w:cs="Arial"/>
        </w:rPr>
        <w:t xml:space="preserve">) – used to indicate possible u-shaped mortality curve </w:t>
      </w:r>
      <w:r>
        <w:rPr>
          <w:rFonts w:ascii="Arial" w:eastAsiaTheme="minorEastAsia" w:hAnsi="Arial" w:cs="Arial"/>
        </w:rPr>
        <w:fldChar w:fldCharType="begin" w:fldLock="1"/>
      </w:r>
      <w:r w:rsidR="00560D45">
        <w:rPr>
          <w:rFonts w:ascii="Arial" w:eastAsiaTheme="minorEastAsia" w:hAnsi="Arial" w:cs="Arial"/>
        </w:rPr>
        <w:instrText>ADDIN CSL_CITATION { "citationItems" : [ { "id" : "ITEM-1", "itemData" : { "DOI" : "10.1111/1365-2745.12015", "ISSN" : "00220477", "author" : [ { "dropping-particle" : "", "family" : "Holzwarth", "given" : "Frederic", "non-dropping-particle" : "", "parse-names" : false, "suffix" : "" }, { "dropping-particle" : "", "family" : "Kahl", "given" : "Anja", "non-dropping-particle" : "", "parse-names" : false, "suffix" : "" }, { "dropping-particle" : "", "family" : "Bauhus", "given" : "J\u00fcrgen", "non-dropping-particle" : "", "parse-names" : false, "suffix" : "" }, { "dropping-particle" : "", "family" : "Wirth", "given" : "Christian", "non-dropping-particle" : "", "parse-names" : false, "suffix" : "" } ], "container-title" : "Journal of Ecology", "editor" : [ { "dropping-particle" : "", "family" : "Zuidema", "given" : "Pieter", "non-dropping-particle" : "", "parse-names" : false, "suffix" : "" } ], "id" : "ITEM-1", "issue" : "1", "issued" : { "date-parts" : [ [ "2013", "1", "16" ] ] }, "page" : "220-230", "title" : "Many ways to die - partitioning tree mortality dynamics in a near-natural mixed deciduous forest", "type" : "article-journal", "volume" : "101" }, "uris" : [ "http://www.mendeley.com/documents/?uuid=27baa573-ddcc-41e7-9549-d364b5d5dc74" ] } ], "mendeley" : { "formattedCitation" : "(Holzwarth &lt;i&gt;et al.&lt;/i&gt; 2013)", "plainTextFormattedCitation" : "(Holzwarth et al. 2013)", "previouslyFormattedCitation" : "(Holzwarth &lt;i&gt;et al.&lt;/i&gt; 2013)" }, "properties" : { "noteIndex" : 0 }, "schema" : "https://github.com/citation-style-language/schema/raw/master/csl-citation.json" }</w:instrText>
      </w:r>
      <w:r>
        <w:rPr>
          <w:rFonts w:ascii="Arial" w:eastAsiaTheme="minorEastAsia" w:hAnsi="Arial" w:cs="Arial"/>
        </w:rPr>
        <w:fldChar w:fldCharType="separate"/>
      </w:r>
      <w:r w:rsidRPr="00707775">
        <w:rPr>
          <w:rFonts w:ascii="Arial" w:eastAsiaTheme="minorEastAsia" w:hAnsi="Arial" w:cs="Arial"/>
          <w:noProof/>
        </w:rPr>
        <w:t xml:space="preserve">(Holzwarth </w:t>
      </w:r>
      <w:r w:rsidRPr="00707775">
        <w:rPr>
          <w:rFonts w:ascii="Arial" w:eastAsiaTheme="minorEastAsia" w:hAnsi="Arial" w:cs="Arial"/>
          <w:i/>
          <w:noProof/>
        </w:rPr>
        <w:t>et al.</w:t>
      </w:r>
      <w:r w:rsidRPr="00707775">
        <w:rPr>
          <w:rFonts w:ascii="Arial" w:eastAsiaTheme="minorEastAsia" w:hAnsi="Arial" w:cs="Arial"/>
          <w:noProof/>
        </w:rPr>
        <w:t xml:space="preserve"> 2013)</w:t>
      </w:r>
      <w:r>
        <w:rPr>
          <w:rFonts w:ascii="Arial" w:eastAsiaTheme="minorEastAsia" w:hAnsi="Arial" w:cs="Arial"/>
        </w:rPr>
        <w:fldChar w:fldCharType="end"/>
      </w:r>
      <w:r>
        <w:rPr>
          <w:rFonts w:ascii="Arial" w:eastAsiaTheme="minorEastAsia" w:hAnsi="Arial" w:cs="Arial"/>
        </w:rPr>
        <w:t xml:space="preserve"> and; (iv) </w:t>
      </w:r>
      <w:r w:rsidR="00560D45">
        <w:rPr>
          <w:rFonts w:ascii="Arial" w:eastAsiaTheme="minorEastAsia" w:hAnsi="Arial" w:cs="Arial"/>
        </w:rPr>
        <w:t xml:space="preserve">The relative size of tree </w:t>
      </w:r>
      <m:oMath>
        <m:r>
          <w:rPr>
            <w:rFonts w:ascii="Cambria Math" w:eastAsiaTheme="minorEastAsia" w:hAnsi="Cambria Math" w:cs="Arial"/>
          </w:rPr>
          <m:t>i</m:t>
        </m:r>
      </m:oMath>
      <w:r w:rsidR="00560D45">
        <w:rPr>
          <w:rFonts w:ascii="Arial" w:eastAsiaTheme="minorEastAsia" w:hAnsi="Arial" w:cs="Arial"/>
        </w:rPr>
        <w:t xml:space="preserve"> at time </w:t>
      </w:r>
      <m:oMath>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oMath>
      <w:r w:rsidR="00560D45">
        <w:rPr>
          <w:rFonts w:ascii="Arial" w:eastAsiaTheme="minorEastAsia" w:hAnsi="Arial" w:cs="Arial"/>
        </w:rPr>
        <w:t xml:space="preserve"> given with the equation:</w:t>
      </w:r>
    </w:p>
    <w:p w:rsidR="00707775" w:rsidRPr="00012079" w:rsidRDefault="00707775" w:rsidP="00A7669F">
      <w:pPr>
        <w:spacing w:line="360" w:lineRule="auto"/>
        <w:contextualSpacing/>
        <w:rPr>
          <w:rFonts w:ascii="Arial" w:eastAsiaTheme="minorEastAsia" w:hAnsi="Arial" w:cs="Arial"/>
        </w:rPr>
      </w:pPr>
      <m:oMathPara>
        <m:oMathParaPr>
          <m:jc m:val="left"/>
        </m:oMathParaPr>
        <m:oMath>
          <m:r>
            <w:rPr>
              <w:rFonts w:ascii="Cambria Math" w:eastAsiaTheme="minorEastAsia" w:hAnsi="Cambria Math" w:cs="Arial"/>
            </w:rPr>
            <m:t>RS=</m:t>
          </m:r>
          <m:f>
            <m:fPr>
              <m:ctrlPr>
                <w:rPr>
                  <w:rFonts w:ascii="Cambria Math" w:eastAsiaTheme="minorEastAsia" w:hAnsi="Cambria Math" w:cs="Arial"/>
                  <w:i/>
                </w:rPr>
              </m:ctrlPr>
            </m:fPr>
            <m:num>
              <m:nary>
                <m:naryPr>
                  <m:chr m:val="∑"/>
                  <m:limLoc m:val="undOvr"/>
                  <m:subHide m:val="1"/>
                  <m:supHide m:val="1"/>
                  <m:ctrlPr>
                    <w:rPr>
                      <w:rFonts w:ascii="Cambria Math" w:eastAsiaTheme="minorEastAsia" w:hAnsi="Cambria Math" w:cs="Arial"/>
                      <w:i/>
                    </w:rPr>
                  </m:ctrlPr>
                </m:naryPr>
                <m:sub/>
                <m:sup/>
                <m:e>
                  <m:r>
                    <w:rPr>
                      <w:rFonts w:ascii="Cambria Math" w:eastAsiaTheme="minorEastAsia" w:hAnsi="Cambria Math" w:cs="Arial"/>
                    </w:rPr>
                    <m:t>BA</m:t>
                  </m:r>
                </m:e>
              </m:nary>
              <m:r>
                <w:rPr>
                  <w:rFonts w:ascii="Cambria Math" w:eastAsiaTheme="minorEastAsia" w:hAnsi="Cambria Math" w:cs="Arial"/>
                </w:rPr>
                <m:t xml:space="preserve"> of trees smaller than target tree i at </m:t>
              </m:r>
              <m:r>
                <m:rPr>
                  <m:sty m:val="p"/>
                </m:rPr>
                <w:rPr>
                  <w:rFonts w:ascii="Cambria Math" w:eastAsiaTheme="minorEastAsia" w:hAnsi="Cambria Math" w:cs="Arial"/>
                </w:rPr>
                <m:t xml:space="preserve">time </m:t>
              </m:r>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num>
            <m:den>
              <m:nary>
                <m:naryPr>
                  <m:chr m:val="∑"/>
                  <m:limLoc m:val="undOvr"/>
                  <m:subHide m:val="1"/>
                  <m:supHide m:val="1"/>
                  <m:ctrlPr>
                    <w:rPr>
                      <w:rFonts w:ascii="Cambria Math" w:eastAsiaTheme="minorEastAsia" w:hAnsi="Cambria Math" w:cs="Arial"/>
                      <w:i/>
                    </w:rPr>
                  </m:ctrlPr>
                </m:naryPr>
                <m:sub/>
                <m:sup/>
                <m:e>
                  <m:r>
                    <w:rPr>
                      <w:rFonts w:ascii="Cambria Math" w:eastAsiaTheme="minorEastAsia" w:hAnsi="Cambria Math" w:cs="Arial"/>
                    </w:rPr>
                    <m:t>BA</m:t>
                  </m:r>
                </m:e>
              </m:nary>
              <m:r>
                <w:rPr>
                  <w:rFonts w:ascii="Cambria Math" w:eastAsiaTheme="minorEastAsia" w:hAnsi="Cambria Math" w:cs="Arial"/>
                </w:rPr>
                <m:t xml:space="preserve"> of all trees at time</m:t>
              </m:r>
              <m:r>
                <m:rPr>
                  <m:sty m:val="p"/>
                </m:rPr>
                <w:rPr>
                  <w:rFonts w:ascii="Cambria Math" w:eastAsiaTheme="minorEastAsia" w:hAnsi="Cambria Math" w:cs="Arial"/>
                </w:rPr>
                <m:t xml:space="preserve"> </m:t>
              </m:r>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den>
          </m:f>
        </m:oMath>
      </m:oMathPara>
    </w:p>
    <w:p w:rsidR="00707775" w:rsidRDefault="00560D45" w:rsidP="00A7669F">
      <w:pPr>
        <w:spacing w:line="360" w:lineRule="auto"/>
        <w:contextualSpacing/>
        <w:rPr>
          <w:rFonts w:ascii="Arial" w:eastAsiaTheme="minorEastAsia" w:hAnsi="Arial" w:cs="Arial"/>
        </w:rPr>
      </w:pPr>
      <w:r>
        <w:rPr>
          <w:rFonts w:ascii="Arial" w:eastAsiaTheme="minorEastAsia" w:hAnsi="Arial" w:cs="Arial"/>
        </w:rPr>
        <w:t xml:space="preserve">For the biggest tree in the transect </w:t>
      </w:r>
      <m:oMath>
        <m:r>
          <w:rPr>
            <w:rFonts w:ascii="Cambria Math" w:eastAsiaTheme="minorEastAsia" w:hAnsi="Cambria Math" w:cs="Arial"/>
          </w:rPr>
          <m:t>RS</m:t>
        </m:r>
      </m:oMath>
      <w:r>
        <w:rPr>
          <w:rFonts w:ascii="Arial" w:eastAsiaTheme="minorEastAsia" w:hAnsi="Arial" w:cs="Arial"/>
        </w:rPr>
        <w:t xml:space="preserve"> is close to 1 for the smallest it is close to 0 </w:t>
      </w:r>
      <w:r>
        <w:rPr>
          <w:rFonts w:ascii="Arial" w:eastAsiaTheme="minorEastAsia" w:hAnsi="Arial" w:cs="Arial"/>
        </w:rPr>
        <w:fldChar w:fldCharType="begin" w:fldLock="1"/>
      </w:r>
      <w:r w:rsidR="001F0817">
        <w:rPr>
          <w:rFonts w:ascii="Arial" w:eastAsiaTheme="minorEastAsia" w:hAnsi="Arial" w:cs="Arial"/>
        </w:rPr>
        <w:instrText>ADDIN CSL_CITATION { "citationItems" : [ { "id" : "ITEM-1", "itemData" : { "DOI" : "10.1016/S0378-1127(98)00419-8", "ISBN" : "0378-1127", "ISSN" : "03781127", "PMID" : "4922", "abstract" : "Individual tree mortality models were developed for the six major forest species of Austria: Norway spruce (Picea abies), white fir (Abies alba), European larch (Larix decidua), Scots pine (Pinus sylvestris), European beech (Fagus silvatica), and oak (Quercus spp.); a joint model for the remaining broadleaf species was also developed. Data came from 5-year remeasurements of the permanent plot network of the Austrian National Forest Inventory. Parameters of the logistic equation were estimated using maximum likelihood methods. For all species, we found the hyperbolic transformation of diameter (D-1) to be highly significant in predicting the high mortality rates for small diameter trees and decreasing mortality rates for larger diameters. For spruce, a quadratic transformation in D was needed to accurately model the increase in mortality observed for large, low-vigor trees with diameter &gt;70 cm, which resulted in a U-shaped distribution. Crown ratio was also consistently significant, except for oak. We likewise found basal-area-in-larger-trees (BAL) to be a highly significant predictor of mortality rate for all species except fir and oak. Predicted mortality rate increases as the basal area in larger trees increases and as crown ratio decreases. The resulting logistic mortality model had the same general form for all species, with the signs of all parameters conforming to expectations, in general, chi-square statistics indicate that the most important variable is D-1, the second most important is crown ratio, and the third most important predictor is BAL. The relative importance of crown ratio appears to be greater for shade tolerant species (fir, beech, spruce) than for shade intolerant species (latch, Scots pine, oak). Examination of graphs of observed vs. predicted mortality rates reveals that the species-specific mortality models are all well behaved, and match the observed mortality rates quite well. The D-1 transformation is flexible, as can be seen by comparing the rather different mortality rates of larch and Scots pine. Predicted and observed mortality rates with respect to crown ratio are quite close to the observed mortality rates for all but the smallest crown ratios (CR&lt;20%), a class with very few observations. Finally, the logistic mortality models passed a validation test on independent data not used in parameter estimation. The key ingredient for obtaining a good mortality model is a data set that is both large and representative of the po\u2026", "author" : [ { "dropping-particle" : "", "family" : "Monserud", "given" : "Robert a.", "non-dropping-particle" : "", "parse-names" : false, "suffix" : "" }, { "dropping-particle" : "", "family" : "Sterba", "given" : "Hubert", "non-dropping-particle" : "", "parse-names" : false, "suffix" : "" } ], "container-title" : "Forest Ecology and Management", "id" : "ITEM-1", "issued" : { "date-parts" : [ [ "1999" ] ] }, "page" : "109-123", "title" : "Modeling individual tree mortality for Austrian forest species", "type" : "article-journal", "volume" : "113" }, "uris" : [ "http://www.mendeley.com/documents/?uuid=aaa6d655-eb1a-4078-a06c-78736ce4b1b2" ] } ], "mendeley" : { "formattedCitation" : "(Monserud &amp; Sterba 1999)", "plainTextFormattedCitation" : "(Monserud &amp; Sterba 1999)", "previouslyFormattedCitation" : "(Monserud &amp; Sterba 1999)" }, "properties" : { "noteIndex" : 0 }, "schema" : "https://github.com/citation-style-language/schema/raw/master/csl-citation.json" }</w:instrText>
      </w:r>
      <w:r>
        <w:rPr>
          <w:rFonts w:ascii="Arial" w:eastAsiaTheme="minorEastAsia" w:hAnsi="Arial" w:cs="Arial"/>
        </w:rPr>
        <w:fldChar w:fldCharType="separate"/>
      </w:r>
      <w:r w:rsidRPr="00560D45">
        <w:rPr>
          <w:rFonts w:ascii="Arial" w:eastAsiaTheme="minorEastAsia" w:hAnsi="Arial" w:cs="Arial"/>
          <w:noProof/>
        </w:rPr>
        <w:t>(Monserud &amp; Sterba 1999)</w:t>
      </w:r>
      <w:r>
        <w:rPr>
          <w:rFonts w:ascii="Arial" w:eastAsiaTheme="minorEastAsia" w:hAnsi="Arial" w:cs="Arial"/>
        </w:rPr>
        <w:fldChar w:fldCharType="end"/>
      </w:r>
      <w:r>
        <w:rPr>
          <w:rFonts w:ascii="Arial" w:eastAsiaTheme="minorEastAsia" w:hAnsi="Arial" w:cs="Arial"/>
        </w:rPr>
        <w:t xml:space="preserve">. </w:t>
      </w:r>
    </w:p>
    <w:p w:rsidR="00707775" w:rsidRDefault="00560D45" w:rsidP="00A7669F">
      <w:pPr>
        <w:spacing w:line="360" w:lineRule="auto"/>
        <w:contextualSpacing/>
        <w:rPr>
          <w:rFonts w:ascii="Arial" w:eastAsiaTheme="minorEastAsia" w:hAnsi="Arial" w:cs="Arial"/>
        </w:rPr>
      </w:pPr>
      <w:r>
        <w:rPr>
          <w:rFonts w:ascii="Arial" w:eastAsiaTheme="minorEastAsia" w:hAnsi="Arial" w:cs="Arial"/>
        </w:rPr>
        <w:lastRenderedPageBreak/>
        <w:t xml:space="preserve">Tree growth rate metrics used were: (i) </w:t>
      </w:r>
      <w:r w:rsidR="00EB1B07">
        <w:rPr>
          <w:rFonts w:ascii="Arial" w:eastAsiaTheme="minorEastAsia" w:hAnsi="Arial" w:cs="Arial"/>
        </w:rPr>
        <w:t>Annual diameter growth rate (mm year</w:t>
      </w:r>
      <w:r w:rsidR="00EB1B07">
        <w:rPr>
          <w:rFonts w:ascii="Arial" w:eastAsiaTheme="minorEastAsia" w:hAnsi="Arial" w:cs="Arial"/>
          <w:vertAlign w:val="superscript"/>
        </w:rPr>
        <w:t>-1</w:t>
      </w:r>
      <w:r w:rsidR="00EB1B07">
        <w:rPr>
          <w:rFonts w:ascii="Arial" w:eastAsiaTheme="minorEastAsia" w:hAnsi="Arial" w:cs="Arial"/>
        </w:rPr>
        <w:t>) calculated as:</w:t>
      </w:r>
    </w:p>
    <w:p w:rsidR="00EB1B07" w:rsidRPr="00012079" w:rsidRDefault="00EB1B07" w:rsidP="00A7669F">
      <w:pPr>
        <w:spacing w:line="360" w:lineRule="auto"/>
        <w:contextualSpacing/>
        <w:rPr>
          <w:rFonts w:ascii="Arial" w:eastAsiaTheme="minorEastAsia" w:hAnsi="Arial" w:cs="Arial"/>
        </w:rPr>
      </w:pPr>
      <m:oMathPara>
        <m:oMathParaPr>
          <m:jc m:val="left"/>
        </m:oMathParaPr>
        <m:oMath>
          <m:r>
            <w:rPr>
              <w:rFonts w:ascii="Cambria Math" w:eastAsiaTheme="minorEastAsia" w:hAnsi="Cambria Math" w:cs="Arial"/>
            </w:rPr>
            <m:t>GR=</m:t>
          </m:r>
          <m:f>
            <m:fPr>
              <m:ctrlPr>
                <w:rPr>
                  <w:rFonts w:ascii="Cambria Math" w:eastAsiaTheme="minorEastAsia" w:hAnsi="Cambria Math" w:cs="Arial"/>
                  <w:i/>
                </w:rPr>
              </m:ctrlPr>
            </m:fPr>
            <m:num>
              <m:d>
                <m:dPr>
                  <m:ctrlPr>
                    <w:rPr>
                      <w:rFonts w:ascii="Cambria Math" w:eastAsiaTheme="minorEastAsia" w:hAnsi="Cambria Math" w:cs="Arial"/>
                      <w:i/>
                    </w:rPr>
                  </m:ctrlPr>
                </m:dPr>
                <m:e>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DBH</m:t>
                          </m:r>
                        </m:e>
                        <m:sub>
                          <m:r>
                            <w:rPr>
                              <w:rFonts w:ascii="Cambria Math" w:eastAsiaTheme="minorEastAsia" w:hAnsi="Cambria Math" w:cs="Arial"/>
                            </w:rPr>
                            <m:t>t1</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DBH</m:t>
                          </m:r>
                        </m:e>
                        <m:sub>
                          <m:r>
                            <w:rPr>
                              <w:rFonts w:ascii="Cambria Math" w:eastAsiaTheme="minorEastAsia" w:hAnsi="Cambria Math" w:cs="Arial"/>
                            </w:rPr>
                            <m:t>t0</m:t>
                          </m:r>
                        </m:sub>
                      </m:sSub>
                    </m:e>
                  </m:d>
                  <m:r>
                    <w:rPr>
                      <w:rFonts w:ascii="Cambria Math" w:eastAsiaTheme="minorEastAsia" w:hAnsi="Cambria Math" w:cs="Arial"/>
                    </w:rPr>
                    <m:t>×10</m:t>
                  </m:r>
                </m:e>
              </m:d>
            </m:num>
            <m:den>
              <m:r>
                <w:rPr>
                  <w:rFonts w:ascii="Cambria Math" w:eastAsiaTheme="minorEastAsia" w:hAnsi="Cambria Math" w:cs="Arial"/>
                </w:rPr>
                <m:t>t1-t0</m:t>
              </m:r>
            </m:den>
          </m:f>
        </m:oMath>
      </m:oMathPara>
    </w:p>
    <w:p w:rsidR="00EB1B07" w:rsidRDefault="00EB1B07" w:rsidP="00A7669F">
      <w:pPr>
        <w:spacing w:line="360" w:lineRule="auto"/>
        <w:contextualSpacing/>
        <w:rPr>
          <w:rFonts w:ascii="Arial" w:eastAsiaTheme="minorEastAsia" w:hAnsi="Arial" w:cs="Arial"/>
        </w:rPr>
      </w:pPr>
      <w:proofErr w:type="gramStart"/>
      <w:r>
        <w:rPr>
          <w:rFonts w:ascii="Arial" w:eastAsiaTheme="minorEastAsia" w:hAnsi="Arial" w:cs="Arial"/>
        </w:rPr>
        <w:t>where</w:t>
      </w:r>
      <w:proofErr w:type="gramEnd"/>
      <w:r>
        <w:rPr>
          <w:rFonts w:ascii="Arial" w:eastAsiaTheme="minorEastAsia" w:hAnsi="Arial" w:cs="Arial"/>
        </w:rPr>
        <w:t xml:space="preserve"> </w:t>
      </w:r>
      <m:oMath>
        <m:sSub>
          <m:sSubPr>
            <m:ctrlPr>
              <w:rPr>
                <w:rFonts w:ascii="Cambria Math" w:eastAsiaTheme="minorEastAsia" w:hAnsi="Cambria Math" w:cs="Arial"/>
                <w:i/>
              </w:rPr>
            </m:ctrlPr>
          </m:sSubPr>
          <m:e>
            <m:r>
              <w:rPr>
                <w:rFonts w:ascii="Cambria Math" w:eastAsiaTheme="minorEastAsia" w:hAnsi="Cambria Math" w:cs="Arial"/>
              </w:rPr>
              <m:t>DBH</m:t>
            </m:r>
          </m:e>
          <m:sub>
            <m:r>
              <w:rPr>
                <w:rFonts w:ascii="Cambria Math" w:eastAsiaTheme="minorEastAsia" w:hAnsi="Cambria Math" w:cs="Arial"/>
              </w:rPr>
              <m:t>t1</m:t>
            </m:r>
          </m:sub>
        </m:sSub>
      </m:oMath>
      <w:r>
        <w:rPr>
          <w:rFonts w:ascii="Arial" w:eastAsiaTheme="minorEastAsia" w:hAnsi="Arial" w:cs="Arial"/>
        </w:rPr>
        <w:t xml:space="preserve"> and </w:t>
      </w:r>
      <m:oMath>
        <m:sSub>
          <m:sSubPr>
            <m:ctrlPr>
              <w:rPr>
                <w:rFonts w:ascii="Cambria Math" w:eastAsiaTheme="minorEastAsia" w:hAnsi="Cambria Math" w:cs="Arial"/>
                <w:i/>
              </w:rPr>
            </m:ctrlPr>
          </m:sSubPr>
          <m:e>
            <m:r>
              <w:rPr>
                <w:rFonts w:ascii="Cambria Math" w:eastAsiaTheme="minorEastAsia" w:hAnsi="Cambria Math" w:cs="Arial"/>
              </w:rPr>
              <m:t>DBH</m:t>
            </m:r>
          </m:e>
          <m:sub>
            <m:r>
              <w:rPr>
                <w:rFonts w:ascii="Cambria Math" w:eastAsiaTheme="minorEastAsia" w:hAnsi="Cambria Math" w:cs="Arial"/>
              </w:rPr>
              <m:t>t0</m:t>
            </m:r>
          </m:sub>
        </m:sSub>
      </m:oMath>
      <w:r>
        <w:rPr>
          <w:rFonts w:ascii="Arial" w:eastAsiaTheme="minorEastAsia" w:hAnsi="Arial" w:cs="Arial"/>
        </w:rPr>
        <w:t xml:space="preserve"> are the </w:t>
      </w:r>
      <w:r>
        <w:rPr>
          <w:rFonts w:ascii="Arial" w:eastAsiaTheme="minorEastAsia" w:hAnsi="Arial" w:cs="Arial"/>
          <w:i/>
        </w:rPr>
        <w:t xml:space="preserve">DBH </w:t>
      </w:r>
      <w:r>
        <w:rPr>
          <w:rFonts w:ascii="Arial" w:eastAsiaTheme="minorEastAsia" w:hAnsi="Arial" w:cs="Arial"/>
        </w:rPr>
        <w:t>values for a tree at time</w:t>
      </w:r>
      <m:oMath>
        <m:r>
          <w:rPr>
            <w:rFonts w:ascii="Cambria Math" w:eastAsiaTheme="minorEastAsia" w:hAnsi="Cambria Math" w:cs="Arial"/>
          </w:rPr>
          <m:t xml:space="preserve"> t1</m:t>
        </m:r>
      </m:oMath>
      <w:r>
        <w:rPr>
          <w:rFonts w:ascii="Arial" w:eastAsiaTheme="minorEastAsia" w:hAnsi="Arial" w:cs="Arial"/>
        </w:rPr>
        <w:t xml:space="preserve"> and </w:t>
      </w:r>
      <m:oMath>
        <m:r>
          <w:rPr>
            <w:rFonts w:ascii="Cambria Math" w:eastAsiaTheme="minorEastAsia" w:hAnsi="Cambria Math" w:cs="Arial"/>
          </w:rPr>
          <m:t>t0</m:t>
        </m:r>
      </m:oMath>
      <w:r>
        <w:rPr>
          <w:rFonts w:ascii="Arial" w:eastAsiaTheme="minorEastAsia" w:hAnsi="Arial" w:cs="Arial"/>
        </w:rPr>
        <w:t xml:space="preserve"> respectively; (ii) Basal area growth rate (cm</w:t>
      </w:r>
      <w:r>
        <w:rPr>
          <w:rFonts w:ascii="Arial" w:eastAsiaTheme="minorEastAsia" w:hAnsi="Arial" w:cs="Arial"/>
          <w:vertAlign w:val="superscript"/>
        </w:rPr>
        <w:t xml:space="preserve">2 </w:t>
      </w:r>
      <w:r>
        <w:rPr>
          <w:rFonts w:ascii="Arial" w:eastAsiaTheme="minorEastAsia" w:hAnsi="Arial" w:cs="Arial"/>
        </w:rPr>
        <w:t>year</w:t>
      </w:r>
      <w:r>
        <w:rPr>
          <w:rFonts w:ascii="Arial" w:eastAsiaTheme="minorEastAsia" w:hAnsi="Arial" w:cs="Arial"/>
          <w:vertAlign w:val="superscript"/>
        </w:rPr>
        <w:t>-1</w:t>
      </w:r>
      <w:r>
        <w:rPr>
          <w:rFonts w:ascii="Arial" w:eastAsiaTheme="minorEastAsia" w:hAnsi="Arial" w:cs="Arial"/>
        </w:rPr>
        <w:t>) calculated as:</w:t>
      </w:r>
    </w:p>
    <w:p w:rsidR="00EB1B07" w:rsidRPr="00012079" w:rsidRDefault="00EB1B07" w:rsidP="00A7669F">
      <w:pPr>
        <w:spacing w:line="360" w:lineRule="auto"/>
        <w:contextualSpacing/>
        <w:rPr>
          <w:rFonts w:ascii="Arial" w:eastAsiaTheme="minorEastAsia" w:hAnsi="Arial" w:cs="Arial"/>
        </w:rPr>
      </w:pPr>
      <m:oMathPara>
        <m:oMathParaPr>
          <m:jc m:val="left"/>
        </m:oMathParaPr>
        <m:oMath>
          <m:r>
            <w:rPr>
              <w:rFonts w:ascii="Cambria Math" w:eastAsiaTheme="minorEastAsia" w:hAnsi="Cambria Math" w:cs="Arial"/>
            </w:rPr>
            <m:t>BAGR=</m:t>
          </m:r>
          <m:f>
            <m:fPr>
              <m:ctrlPr>
                <w:rPr>
                  <w:rFonts w:ascii="Cambria Math" w:eastAsiaTheme="minorEastAsia" w:hAnsi="Cambria Math" w:cs="Arial"/>
                  <w:i/>
                </w:rPr>
              </m:ctrlPr>
            </m:fPr>
            <m:num>
              <m:d>
                <m:dPr>
                  <m:ctrlPr>
                    <w:rPr>
                      <w:rFonts w:ascii="Cambria Math" w:eastAsiaTheme="minorEastAsia" w:hAnsi="Cambria Math" w:cs="Arial"/>
                      <w:i/>
                    </w:rPr>
                  </m:ctrlPr>
                </m:dPr>
                <m:e>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BA</m:t>
                          </m:r>
                        </m:e>
                        <m:sub>
                          <m:r>
                            <w:rPr>
                              <w:rFonts w:ascii="Cambria Math" w:eastAsiaTheme="minorEastAsia" w:hAnsi="Cambria Math" w:cs="Arial"/>
                            </w:rPr>
                            <m:t>t1</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BA</m:t>
                          </m:r>
                        </m:e>
                        <m:sub>
                          <m:r>
                            <w:rPr>
                              <w:rFonts w:ascii="Cambria Math" w:eastAsiaTheme="minorEastAsia" w:hAnsi="Cambria Math" w:cs="Arial"/>
                            </w:rPr>
                            <m:t>t0</m:t>
                          </m:r>
                        </m:sub>
                      </m:sSub>
                    </m:e>
                  </m:d>
                  <m:r>
                    <w:rPr>
                      <w:rFonts w:ascii="Cambria Math" w:eastAsiaTheme="minorEastAsia" w:hAnsi="Cambria Math" w:cs="Arial"/>
                    </w:rPr>
                    <m:t>×10 000</m:t>
                  </m:r>
                </m:e>
              </m:d>
            </m:num>
            <m:den>
              <m:r>
                <w:rPr>
                  <w:rFonts w:ascii="Cambria Math" w:eastAsiaTheme="minorEastAsia" w:hAnsi="Cambria Math" w:cs="Arial"/>
                </w:rPr>
                <m:t>t1-t</m:t>
              </m:r>
              <m:r>
                <m:rPr>
                  <m:sty m:val="p"/>
                </m:rPr>
                <w:rPr>
                  <w:rFonts w:ascii="Cambria Math" w:eastAsiaTheme="minorEastAsia" w:hAnsi="Cambria Math" w:cs="Arial"/>
                </w:rPr>
                <m:t>0</m:t>
              </m:r>
            </m:den>
          </m:f>
        </m:oMath>
      </m:oMathPara>
    </w:p>
    <w:p w:rsidR="00EB1B07" w:rsidRDefault="00EB1B07" w:rsidP="00A7669F">
      <w:pPr>
        <w:spacing w:line="360" w:lineRule="auto"/>
        <w:contextualSpacing/>
        <w:rPr>
          <w:rFonts w:ascii="Arial" w:eastAsiaTheme="minorEastAsia" w:hAnsi="Arial" w:cs="Arial"/>
        </w:rPr>
      </w:pPr>
      <w:proofErr w:type="gramStart"/>
      <w:r>
        <w:rPr>
          <w:rFonts w:ascii="Arial" w:eastAsiaTheme="minorEastAsia" w:hAnsi="Arial" w:cs="Arial"/>
        </w:rPr>
        <w:t>where</w:t>
      </w:r>
      <w:proofErr w:type="gramEnd"/>
      <w:r>
        <w:rPr>
          <w:rFonts w:ascii="Arial" w:eastAsiaTheme="minorEastAsia" w:hAnsi="Arial" w:cs="Arial"/>
        </w:rPr>
        <w:t xml:space="preserve"> </w:t>
      </w:r>
      <m:oMath>
        <m:sSub>
          <m:sSubPr>
            <m:ctrlPr>
              <w:rPr>
                <w:rFonts w:ascii="Cambria Math" w:eastAsiaTheme="minorEastAsia" w:hAnsi="Cambria Math" w:cs="Arial"/>
                <w:i/>
              </w:rPr>
            </m:ctrlPr>
          </m:sSubPr>
          <m:e>
            <m:r>
              <w:rPr>
                <w:rFonts w:ascii="Cambria Math" w:eastAsiaTheme="minorEastAsia" w:hAnsi="Cambria Math" w:cs="Arial"/>
              </w:rPr>
              <m:t>BA</m:t>
            </m:r>
          </m:e>
          <m:sub>
            <m:r>
              <w:rPr>
                <w:rFonts w:ascii="Cambria Math" w:eastAsiaTheme="minorEastAsia" w:hAnsi="Cambria Math" w:cs="Arial"/>
              </w:rPr>
              <m:t>t1</m:t>
            </m:r>
          </m:sub>
        </m:sSub>
      </m:oMath>
      <w:r>
        <w:rPr>
          <w:rFonts w:ascii="Arial" w:eastAsiaTheme="minorEastAsia" w:hAnsi="Arial" w:cs="Arial"/>
        </w:rPr>
        <w:t xml:space="preserve"> and </w:t>
      </w:r>
      <m:oMath>
        <m:sSub>
          <m:sSubPr>
            <m:ctrlPr>
              <w:rPr>
                <w:rFonts w:ascii="Cambria Math" w:eastAsiaTheme="minorEastAsia" w:hAnsi="Cambria Math" w:cs="Arial"/>
                <w:i/>
              </w:rPr>
            </m:ctrlPr>
          </m:sSubPr>
          <m:e>
            <m:r>
              <w:rPr>
                <w:rFonts w:ascii="Cambria Math" w:eastAsiaTheme="minorEastAsia" w:hAnsi="Cambria Math" w:cs="Arial"/>
              </w:rPr>
              <m:t>BA</m:t>
            </m:r>
          </m:e>
          <m:sub>
            <m:r>
              <w:rPr>
                <w:rFonts w:ascii="Cambria Math" w:eastAsiaTheme="minorEastAsia" w:hAnsi="Cambria Math" w:cs="Arial"/>
              </w:rPr>
              <m:t>t0</m:t>
            </m:r>
          </m:sub>
        </m:sSub>
      </m:oMath>
      <w:r>
        <w:rPr>
          <w:rFonts w:ascii="Arial" w:eastAsiaTheme="minorEastAsia" w:hAnsi="Arial" w:cs="Arial"/>
        </w:rPr>
        <w:t xml:space="preserve"> are the </w:t>
      </w:r>
      <w:r>
        <w:rPr>
          <w:rFonts w:ascii="Arial" w:eastAsiaTheme="minorEastAsia" w:hAnsi="Arial" w:cs="Arial"/>
          <w:i/>
        </w:rPr>
        <w:t xml:space="preserve">DBH </w:t>
      </w:r>
      <w:r>
        <w:rPr>
          <w:rFonts w:ascii="Arial" w:eastAsiaTheme="minorEastAsia" w:hAnsi="Arial" w:cs="Arial"/>
        </w:rPr>
        <w:t>values for a tree at time</w:t>
      </w:r>
      <m:oMath>
        <m:r>
          <w:rPr>
            <w:rFonts w:ascii="Cambria Math" w:eastAsiaTheme="minorEastAsia" w:hAnsi="Cambria Math" w:cs="Arial"/>
          </w:rPr>
          <m:t xml:space="preserve"> t1</m:t>
        </m:r>
      </m:oMath>
      <w:r>
        <w:rPr>
          <w:rFonts w:ascii="Arial" w:eastAsiaTheme="minorEastAsia" w:hAnsi="Arial" w:cs="Arial"/>
        </w:rPr>
        <w:t xml:space="preserve"> and </w:t>
      </w:r>
      <m:oMath>
        <m:r>
          <w:rPr>
            <w:rFonts w:ascii="Cambria Math" w:eastAsiaTheme="minorEastAsia" w:hAnsi="Cambria Math" w:cs="Arial"/>
          </w:rPr>
          <m:t>t0</m:t>
        </m:r>
      </m:oMath>
      <w:r>
        <w:rPr>
          <w:rFonts w:ascii="Arial" w:eastAsiaTheme="minorEastAsia" w:hAnsi="Arial" w:cs="Arial"/>
        </w:rPr>
        <w:t xml:space="preserve"> respectively; (iii) relative DBH growth rate (% DBH increase year</w:t>
      </w:r>
      <w:r w:rsidR="00012079">
        <w:rPr>
          <w:rFonts w:ascii="Arial" w:eastAsiaTheme="minorEastAsia" w:hAnsi="Arial" w:cs="Arial"/>
          <w:vertAlign w:val="superscript"/>
        </w:rPr>
        <w:t>-1</w:t>
      </w:r>
      <w:r>
        <w:rPr>
          <w:rFonts w:ascii="Arial" w:eastAsiaTheme="minorEastAsia" w:hAnsi="Arial" w:cs="Arial"/>
        </w:rPr>
        <w:t>) calculated as:</w:t>
      </w:r>
    </w:p>
    <w:p w:rsidR="00EB1B07" w:rsidRPr="00012079" w:rsidRDefault="00EB1B07" w:rsidP="00A7669F">
      <w:pPr>
        <w:spacing w:line="360" w:lineRule="auto"/>
        <w:contextualSpacing/>
        <w:rPr>
          <w:rFonts w:ascii="Arial" w:eastAsiaTheme="minorEastAsia" w:hAnsi="Arial" w:cs="Arial"/>
        </w:rPr>
      </w:pPr>
      <m:oMathPara>
        <m:oMathParaPr>
          <m:jc m:val="left"/>
        </m:oMathParaPr>
        <m:oMath>
          <m:r>
            <w:rPr>
              <w:rFonts w:ascii="Cambria Math" w:eastAsiaTheme="minorEastAsia" w:hAnsi="Cambria Math" w:cs="Arial"/>
            </w:rPr>
            <m:t>relGR=</m:t>
          </m:r>
          <m:f>
            <m:fPr>
              <m:ctrlPr>
                <w:rPr>
                  <w:rFonts w:ascii="Cambria Math" w:eastAsiaTheme="minorEastAsia" w:hAnsi="Cambria Math" w:cs="Arial"/>
                  <w:i/>
                </w:rPr>
              </m:ctrlPr>
            </m:fPr>
            <m:num>
              <m:d>
                <m:dPr>
                  <m:ctrlPr>
                    <w:rPr>
                      <w:rFonts w:ascii="Cambria Math" w:eastAsiaTheme="minorEastAsia" w:hAnsi="Cambria Math" w:cs="Arial"/>
                      <w:i/>
                    </w:rPr>
                  </m:ctrlPr>
                </m:dPr>
                <m:e>
                  <m:f>
                    <m:fPr>
                      <m:ctrlPr>
                        <w:rPr>
                          <w:rFonts w:ascii="Cambria Math" w:eastAsiaTheme="minorEastAsia" w:hAnsi="Cambria Math" w:cs="Arial"/>
                          <w:i/>
                        </w:rPr>
                      </m:ctrlPr>
                    </m:fPr>
                    <m:num>
                      <m:r>
                        <w:rPr>
                          <w:rFonts w:ascii="Cambria Math" w:eastAsiaTheme="minorEastAsia" w:hAnsi="Cambria Math" w:cs="Arial"/>
                        </w:rPr>
                        <m:t>GR</m:t>
                      </m:r>
                    </m:num>
                    <m:den>
                      <m:r>
                        <w:rPr>
                          <w:rFonts w:ascii="Cambria Math" w:eastAsiaTheme="minorEastAsia" w:hAnsi="Cambria Math" w:cs="Arial"/>
                        </w:rPr>
                        <m:t>10</m:t>
                      </m:r>
                    </m:den>
                  </m:f>
                </m:e>
              </m:d>
            </m:num>
            <m:den>
              <m:sSub>
                <m:sSubPr>
                  <m:ctrlPr>
                    <w:rPr>
                      <w:rFonts w:ascii="Cambria Math" w:eastAsiaTheme="minorEastAsia" w:hAnsi="Cambria Math" w:cs="Arial"/>
                      <w:i/>
                    </w:rPr>
                  </m:ctrlPr>
                </m:sSubPr>
                <m:e>
                  <m:r>
                    <w:rPr>
                      <w:rFonts w:ascii="Cambria Math" w:eastAsiaTheme="minorEastAsia" w:hAnsi="Cambria Math" w:cs="Arial"/>
                    </w:rPr>
                    <m:t>DBH</m:t>
                  </m:r>
                </m:e>
                <m:sub>
                  <m:r>
                    <w:rPr>
                      <w:rFonts w:ascii="Cambria Math" w:eastAsiaTheme="minorEastAsia" w:hAnsi="Cambria Math" w:cs="Arial"/>
                    </w:rPr>
                    <m:t>t0</m:t>
                  </m:r>
                </m:sub>
              </m:sSub>
            </m:den>
          </m:f>
        </m:oMath>
      </m:oMathPara>
    </w:p>
    <w:p w:rsidR="00EB1B07" w:rsidRDefault="00EB1B07" w:rsidP="00A7669F">
      <w:pPr>
        <w:spacing w:line="360" w:lineRule="auto"/>
        <w:contextualSpacing/>
        <w:rPr>
          <w:rFonts w:ascii="Arial" w:eastAsiaTheme="minorEastAsia" w:hAnsi="Arial" w:cs="Arial"/>
        </w:rPr>
      </w:pPr>
      <w:proofErr w:type="gramStart"/>
      <w:r>
        <w:rPr>
          <w:rFonts w:ascii="Arial" w:eastAsiaTheme="minorEastAsia" w:hAnsi="Arial" w:cs="Arial"/>
        </w:rPr>
        <w:t>and</w:t>
      </w:r>
      <w:proofErr w:type="gramEnd"/>
      <w:r>
        <w:rPr>
          <w:rFonts w:ascii="Arial" w:eastAsiaTheme="minorEastAsia" w:hAnsi="Arial" w:cs="Arial"/>
        </w:rPr>
        <w:t xml:space="preserve">; (iv) relative </w:t>
      </w:r>
      <w:r w:rsidR="00012079">
        <w:rPr>
          <w:rFonts w:ascii="Arial" w:eastAsiaTheme="minorEastAsia" w:hAnsi="Arial" w:cs="Arial"/>
        </w:rPr>
        <w:t>BA growth rate (% BA increase year</w:t>
      </w:r>
      <w:r w:rsidR="00012079">
        <w:rPr>
          <w:rFonts w:ascii="Arial" w:eastAsiaTheme="minorEastAsia" w:hAnsi="Arial" w:cs="Arial"/>
          <w:vertAlign w:val="superscript"/>
        </w:rPr>
        <w:t>-1</w:t>
      </w:r>
      <w:r w:rsidR="00012079">
        <w:rPr>
          <w:rFonts w:ascii="Arial" w:eastAsiaTheme="minorEastAsia" w:hAnsi="Arial" w:cs="Arial"/>
        </w:rPr>
        <w:t>) calculated as:</w:t>
      </w:r>
    </w:p>
    <w:p w:rsidR="00012079" w:rsidRPr="00012079" w:rsidRDefault="00012079" w:rsidP="00A7669F">
      <w:pPr>
        <w:spacing w:line="360" w:lineRule="auto"/>
        <w:contextualSpacing/>
        <w:rPr>
          <w:rFonts w:ascii="Arial" w:eastAsiaTheme="minorEastAsia" w:hAnsi="Arial" w:cs="Arial"/>
        </w:rPr>
      </w:pPr>
      <m:oMathPara>
        <m:oMathParaPr>
          <m:jc m:val="left"/>
        </m:oMathParaPr>
        <m:oMath>
          <m:r>
            <w:rPr>
              <w:rFonts w:ascii="Cambria Math" w:eastAsiaTheme="minorEastAsia" w:hAnsi="Cambria Math" w:cs="Arial"/>
            </w:rPr>
            <m:t>relBAGR=</m:t>
          </m:r>
          <m:f>
            <m:fPr>
              <m:ctrlPr>
                <w:rPr>
                  <w:rFonts w:ascii="Cambria Math" w:eastAsiaTheme="minorEastAsia" w:hAnsi="Cambria Math" w:cs="Arial"/>
                  <w:i/>
                </w:rPr>
              </m:ctrlPr>
            </m:fPr>
            <m:num>
              <m:d>
                <m:dPr>
                  <m:ctrlPr>
                    <w:rPr>
                      <w:rFonts w:ascii="Cambria Math" w:eastAsiaTheme="minorEastAsia" w:hAnsi="Cambria Math" w:cs="Arial"/>
                      <w:i/>
                    </w:rPr>
                  </m:ctrlPr>
                </m:dPr>
                <m:e>
                  <m:f>
                    <m:fPr>
                      <m:ctrlPr>
                        <w:rPr>
                          <w:rFonts w:ascii="Cambria Math" w:eastAsiaTheme="minorEastAsia" w:hAnsi="Cambria Math" w:cs="Arial"/>
                          <w:i/>
                        </w:rPr>
                      </m:ctrlPr>
                    </m:fPr>
                    <m:num>
                      <m:r>
                        <w:rPr>
                          <w:rFonts w:ascii="Cambria Math" w:eastAsiaTheme="minorEastAsia" w:hAnsi="Cambria Math" w:cs="Arial"/>
                        </w:rPr>
                        <m:t>BAGR</m:t>
                      </m:r>
                    </m:num>
                    <m:den>
                      <m:r>
                        <w:rPr>
                          <w:rFonts w:ascii="Cambria Math" w:eastAsiaTheme="minorEastAsia" w:hAnsi="Cambria Math" w:cs="Arial"/>
                        </w:rPr>
                        <m:t>10</m:t>
                      </m:r>
                    </m:den>
                  </m:f>
                </m:e>
              </m:d>
            </m:num>
            <m:den>
              <m:sSub>
                <m:sSubPr>
                  <m:ctrlPr>
                    <w:rPr>
                      <w:rFonts w:ascii="Cambria Math" w:eastAsiaTheme="minorEastAsia" w:hAnsi="Cambria Math" w:cs="Arial"/>
                      <w:i/>
                    </w:rPr>
                  </m:ctrlPr>
                </m:sSubPr>
                <m:e>
                  <m:r>
                    <w:rPr>
                      <w:rFonts w:ascii="Cambria Math" w:eastAsiaTheme="minorEastAsia" w:hAnsi="Cambria Math" w:cs="Arial"/>
                    </w:rPr>
                    <m:t>BA</m:t>
                  </m:r>
                </m:e>
                <m:sub>
                  <m:r>
                    <w:rPr>
                      <w:rFonts w:ascii="Cambria Math" w:eastAsiaTheme="minorEastAsia" w:hAnsi="Cambria Math" w:cs="Arial"/>
                    </w:rPr>
                    <m:t>t0</m:t>
                  </m:r>
                </m:sub>
              </m:sSub>
            </m:den>
          </m:f>
        </m:oMath>
      </m:oMathPara>
    </w:p>
    <w:p w:rsidR="00707775" w:rsidRDefault="00707775" w:rsidP="00A7669F">
      <w:pPr>
        <w:spacing w:line="360" w:lineRule="auto"/>
        <w:contextualSpacing/>
        <w:rPr>
          <w:rFonts w:ascii="Arial" w:eastAsiaTheme="minorEastAsia" w:hAnsi="Arial" w:cs="Arial"/>
        </w:rPr>
      </w:pPr>
    </w:p>
    <w:p w:rsidR="00E46DB5" w:rsidRDefault="00012079" w:rsidP="00E46DB5">
      <w:pPr>
        <w:spacing w:line="360" w:lineRule="auto"/>
        <w:ind w:firstLine="360"/>
        <w:contextualSpacing/>
        <w:rPr>
          <w:rFonts w:ascii="Arial" w:eastAsiaTheme="minorEastAsia" w:hAnsi="Arial" w:cs="Arial"/>
        </w:rPr>
      </w:pPr>
      <w:r>
        <w:rPr>
          <w:rFonts w:ascii="Arial" w:eastAsiaTheme="minorEastAsia" w:hAnsi="Arial" w:cs="Arial"/>
        </w:rPr>
        <w:t xml:space="preserve">Metrics of proximity to dead trees were: (i) </w:t>
      </w:r>
      <w:proofErr w:type="spellStart"/>
      <w:r w:rsidRPr="00012079">
        <w:rPr>
          <w:rFonts w:ascii="Arial" w:eastAsiaTheme="minorEastAsia" w:hAnsi="Arial" w:cs="Arial"/>
          <w:i/>
        </w:rPr>
        <w:t>deadSD</w:t>
      </w:r>
      <w:proofErr w:type="spellEnd"/>
      <w:r>
        <w:rPr>
          <w:rFonts w:ascii="Arial" w:eastAsiaTheme="minorEastAsia" w:hAnsi="Arial" w:cs="Arial"/>
        </w:rPr>
        <w:t xml:space="preserve">=stem density of dead trees at time </w:t>
      </w:r>
      <m:oMath>
        <m:r>
          <w:rPr>
            <w:rFonts w:ascii="Cambria Math" w:eastAsiaTheme="minorEastAsia" w:hAnsi="Cambria Math" w:cs="Arial"/>
          </w:rPr>
          <m:t>t1</m:t>
        </m:r>
      </m:oMath>
      <w:r>
        <w:rPr>
          <w:rFonts w:ascii="Arial" w:eastAsiaTheme="minorEastAsia" w:hAnsi="Arial" w:cs="Arial"/>
        </w:rPr>
        <w:t xml:space="preserve"> within 10 metres of the target tree; (ii) </w:t>
      </w:r>
      <w:r w:rsidRPr="00012079">
        <w:rPr>
          <w:rFonts w:ascii="Arial" w:eastAsiaTheme="minorEastAsia" w:hAnsi="Arial" w:cs="Arial"/>
          <w:i/>
        </w:rPr>
        <w:t>deadSD45</w:t>
      </w:r>
      <w:r>
        <w:rPr>
          <w:rFonts w:ascii="Arial" w:eastAsiaTheme="minorEastAsia" w:hAnsi="Arial" w:cs="Arial"/>
        </w:rPr>
        <w:t xml:space="preserve">=stem density of dead trees ≥45cm DBH at time of death at time </w:t>
      </w:r>
      <m:oMath>
        <m:r>
          <w:rPr>
            <w:rFonts w:ascii="Cambria Math" w:eastAsiaTheme="minorEastAsia" w:hAnsi="Cambria Math" w:cs="Arial"/>
          </w:rPr>
          <m:t>t1</m:t>
        </m:r>
      </m:oMath>
      <w:r>
        <w:rPr>
          <w:rFonts w:ascii="Arial" w:eastAsiaTheme="minorEastAsia" w:hAnsi="Arial" w:cs="Arial"/>
        </w:rPr>
        <w:t xml:space="preserve"> within 10 metres of the target tree; (iii) </w:t>
      </w:r>
      <w:proofErr w:type="spellStart"/>
      <w:r w:rsidRPr="00012079">
        <w:rPr>
          <w:rFonts w:ascii="Arial" w:eastAsiaTheme="minorEastAsia" w:hAnsi="Arial" w:cs="Arial"/>
          <w:i/>
        </w:rPr>
        <w:t>deadDist</w:t>
      </w:r>
      <w:proofErr w:type="spellEnd"/>
      <w:r>
        <w:rPr>
          <w:rFonts w:ascii="Arial" w:eastAsiaTheme="minorEastAsia" w:hAnsi="Arial" w:cs="Arial"/>
        </w:rPr>
        <w:t xml:space="preserve">=distance to nearest dead tree (m) at </w:t>
      </w:r>
      <w:proofErr w:type="gramStart"/>
      <w:r>
        <w:rPr>
          <w:rFonts w:ascii="Arial" w:eastAsiaTheme="minorEastAsia" w:hAnsi="Arial" w:cs="Arial"/>
        </w:rPr>
        <w:t xml:space="preserve">time </w:t>
      </w:r>
      <w:proofErr w:type="gramEnd"/>
      <m:oMath>
        <m:r>
          <w:rPr>
            <w:rFonts w:ascii="Cambria Math" w:eastAsiaTheme="minorEastAsia" w:hAnsi="Cambria Math" w:cs="Arial"/>
          </w:rPr>
          <m:t>t1</m:t>
        </m:r>
      </m:oMath>
      <w:r>
        <w:rPr>
          <w:rFonts w:ascii="Arial" w:eastAsiaTheme="minorEastAsia" w:hAnsi="Arial" w:cs="Arial"/>
        </w:rPr>
        <w:t xml:space="preserve">; (iv) </w:t>
      </w:r>
      <w:r w:rsidRPr="00012079">
        <w:rPr>
          <w:rFonts w:ascii="Arial" w:eastAsiaTheme="minorEastAsia" w:hAnsi="Arial" w:cs="Arial"/>
          <w:i/>
        </w:rPr>
        <w:t>deadDist45</w:t>
      </w:r>
      <w:r>
        <w:rPr>
          <w:rFonts w:ascii="Arial" w:eastAsiaTheme="minorEastAsia" w:hAnsi="Arial" w:cs="Arial"/>
        </w:rPr>
        <w:t xml:space="preserve">=distance to nearest dead tree ≥45cm DBH at time of death (m) at time </w:t>
      </w:r>
      <m:oMath>
        <m:r>
          <w:rPr>
            <w:rFonts w:ascii="Cambria Math" w:eastAsiaTheme="minorEastAsia" w:hAnsi="Cambria Math" w:cs="Arial"/>
          </w:rPr>
          <m:t>t1</m:t>
        </m:r>
      </m:oMath>
      <w:r>
        <w:rPr>
          <w:rFonts w:ascii="Arial" w:eastAsiaTheme="minorEastAsia" w:hAnsi="Arial" w:cs="Arial"/>
        </w:rPr>
        <w:t xml:space="preserve">. Our rationale for focussing on dead trees ≥45cm DBH </w:t>
      </w:r>
      <w:r w:rsidR="00DB2877">
        <w:rPr>
          <w:rFonts w:ascii="Arial" w:eastAsiaTheme="minorEastAsia" w:hAnsi="Arial" w:cs="Arial"/>
        </w:rPr>
        <w:t xml:space="preserve">was </w:t>
      </w:r>
      <w:r>
        <w:rPr>
          <w:rFonts w:ascii="Arial" w:eastAsiaTheme="minorEastAsia" w:hAnsi="Arial" w:cs="Arial"/>
        </w:rPr>
        <w:t>that this represents the upper quartile of tree diameters in the woodland and we hypothesise</w:t>
      </w:r>
      <w:r w:rsidR="00DB2877">
        <w:rPr>
          <w:rFonts w:ascii="Arial" w:eastAsiaTheme="minorEastAsia" w:hAnsi="Arial" w:cs="Arial"/>
        </w:rPr>
        <w:t>d</w:t>
      </w:r>
      <w:r>
        <w:rPr>
          <w:rFonts w:ascii="Arial" w:eastAsiaTheme="minorEastAsia" w:hAnsi="Arial" w:cs="Arial"/>
        </w:rPr>
        <w:t xml:space="preserve"> that the death of larger trees plays a stronger role in altering local </w:t>
      </w:r>
      <w:r w:rsidR="00DB2877">
        <w:rPr>
          <w:rFonts w:ascii="Arial" w:eastAsiaTheme="minorEastAsia" w:hAnsi="Arial" w:cs="Arial"/>
        </w:rPr>
        <w:t>microclimate conditions.</w:t>
      </w:r>
    </w:p>
    <w:p w:rsidR="00E46DB5" w:rsidRPr="00E46DB5" w:rsidRDefault="00E46DB5" w:rsidP="00E46DB5">
      <w:pPr>
        <w:spacing w:line="360" w:lineRule="auto"/>
        <w:ind w:firstLine="360"/>
        <w:contextualSpacing/>
        <w:rPr>
          <w:rFonts w:ascii="Arial" w:eastAsiaTheme="minorEastAsia" w:hAnsi="Arial" w:cs="Arial"/>
        </w:rPr>
      </w:pPr>
      <w:r>
        <w:rPr>
          <w:rFonts w:ascii="Arial" w:eastAsiaTheme="minorEastAsia" w:hAnsi="Arial" w:cs="Arial"/>
        </w:rPr>
        <w:t xml:space="preserve">As well as individual based variables that may affect tree mortality we assessed the importance of soil properties as well, given that finer soils may be prone to water logging in the winter, which impedes root growth and consequently reduces the ability of trees to </w:t>
      </w:r>
      <w:r w:rsidR="004972E6">
        <w:rPr>
          <w:rFonts w:ascii="Arial" w:eastAsiaTheme="minorEastAsia" w:hAnsi="Arial" w:cs="Arial"/>
        </w:rPr>
        <w:t>take advantage of water deeper in the soil in dry summers.</w:t>
      </w:r>
      <w:bookmarkStart w:id="4" w:name="_GoBack"/>
      <w:bookmarkEnd w:id="4"/>
    </w:p>
    <w:p w:rsidR="00E94C26" w:rsidRDefault="00E94C26" w:rsidP="00A7669F">
      <w:pPr>
        <w:pStyle w:val="ListParagraph"/>
        <w:numPr>
          <w:ilvl w:val="0"/>
          <w:numId w:val="5"/>
        </w:numPr>
        <w:spacing w:line="360" w:lineRule="auto"/>
        <w:rPr>
          <w:rFonts w:ascii="Arial" w:hAnsi="Arial" w:cs="Arial"/>
        </w:rPr>
      </w:pPr>
      <w:r>
        <w:rPr>
          <w:rFonts w:ascii="Arial" w:hAnsi="Arial" w:cs="Arial"/>
        </w:rPr>
        <w:t>Poisson mixed models were used to assess how density of saplings and seedlings changed over time and with density of mature trees</w:t>
      </w:r>
    </w:p>
    <w:p w:rsidR="00F262DF" w:rsidRPr="00F262DF" w:rsidRDefault="00F262DF" w:rsidP="00A7669F">
      <w:pPr>
        <w:spacing w:line="360" w:lineRule="auto"/>
        <w:contextualSpacing/>
        <w:rPr>
          <w:rFonts w:ascii="Arial" w:hAnsi="Arial" w:cs="Arial"/>
          <w:b/>
        </w:rPr>
      </w:pPr>
      <w:r w:rsidRPr="00F262DF">
        <w:rPr>
          <w:rFonts w:ascii="Arial" w:hAnsi="Arial" w:cs="Arial"/>
          <w:b/>
        </w:rPr>
        <w:t>Individual based models</w:t>
      </w:r>
      <w:r>
        <w:rPr>
          <w:rFonts w:ascii="Arial" w:hAnsi="Arial" w:cs="Arial"/>
          <w:b/>
        </w:rPr>
        <w:t xml:space="preserve"> of recruitment and mortality</w:t>
      </w:r>
    </w:p>
    <w:p w:rsidR="00E94C26" w:rsidRDefault="00E94C26" w:rsidP="00A7669F">
      <w:pPr>
        <w:pStyle w:val="ListParagraph"/>
        <w:numPr>
          <w:ilvl w:val="0"/>
          <w:numId w:val="5"/>
        </w:numPr>
        <w:spacing w:line="360" w:lineRule="auto"/>
        <w:rPr>
          <w:rFonts w:ascii="Arial" w:hAnsi="Arial" w:cs="Arial"/>
        </w:rPr>
      </w:pPr>
      <w:r>
        <w:rPr>
          <w:rFonts w:ascii="Arial" w:hAnsi="Arial" w:cs="Arial"/>
        </w:rPr>
        <w:t xml:space="preserve">An individual based model built in </w:t>
      </w:r>
      <w:proofErr w:type="spellStart"/>
      <w:r>
        <w:rPr>
          <w:rFonts w:ascii="Arial" w:hAnsi="Arial" w:cs="Arial"/>
        </w:rPr>
        <w:t>netlogo</w:t>
      </w:r>
      <w:proofErr w:type="spellEnd"/>
      <w:r>
        <w:rPr>
          <w:rFonts w:ascii="Arial" w:hAnsi="Arial" w:cs="Arial"/>
        </w:rPr>
        <w:t xml:space="preserve"> was </w:t>
      </w:r>
      <w:r w:rsidR="00EC3673">
        <w:rPr>
          <w:rFonts w:ascii="Arial" w:hAnsi="Arial" w:cs="Arial"/>
        </w:rPr>
        <w:t>parameterised using values from these analyses to investigate the potential changes in the woodland</w:t>
      </w:r>
    </w:p>
    <w:p w:rsidR="00210A49" w:rsidRPr="00E94C26" w:rsidRDefault="00210A49" w:rsidP="00A7669F">
      <w:pPr>
        <w:spacing w:line="360" w:lineRule="auto"/>
        <w:contextualSpacing/>
        <w:rPr>
          <w:rFonts w:ascii="Arial" w:hAnsi="Arial" w:cs="Arial"/>
        </w:rPr>
      </w:pPr>
      <w:r w:rsidRPr="00E94C26">
        <w:rPr>
          <w:rFonts w:ascii="Arial" w:hAnsi="Arial" w:cs="Arial"/>
          <w:b/>
        </w:rPr>
        <w:t>Results</w:t>
      </w:r>
    </w:p>
    <w:p w:rsidR="00210A49" w:rsidRPr="00E94C26" w:rsidRDefault="00210A49" w:rsidP="00A7669F">
      <w:pPr>
        <w:spacing w:line="360" w:lineRule="auto"/>
        <w:contextualSpacing/>
        <w:rPr>
          <w:rFonts w:ascii="Arial" w:hAnsi="Arial" w:cs="Arial"/>
          <w:b/>
        </w:rPr>
      </w:pPr>
      <w:r w:rsidRPr="00E94C26">
        <w:rPr>
          <w:rFonts w:ascii="Arial" w:hAnsi="Arial" w:cs="Arial"/>
          <w:b/>
        </w:rPr>
        <w:t>Discussion</w:t>
      </w:r>
    </w:p>
    <w:p w:rsidR="00210A49" w:rsidRPr="00F262DF" w:rsidRDefault="00210A49" w:rsidP="00A7669F">
      <w:pPr>
        <w:spacing w:line="360" w:lineRule="auto"/>
        <w:contextualSpacing/>
        <w:rPr>
          <w:rFonts w:ascii="Arial" w:hAnsi="Arial" w:cs="Arial"/>
          <w:b/>
        </w:rPr>
      </w:pPr>
      <w:r w:rsidRPr="00F262DF">
        <w:rPr>
          <w:rFonts w:ascii="Arial" w:hAnsi="Arial" w:cs="Arial"/>
          <w:b/>
        </w:rPr>
        <w:lastRenderedPageBreak/>
        <w:t>References</w:t>
      </w:r>
    </w:p>
    <w:p w:rsidR="00214A19" w:rsidRPr="00214A19" w:rsidRDefault="00F262DF">
      <w:pPr>
        <w:pStyle w:val="NormalWeb"/>
        <w:ind w:left="480" w:hanging="480"/>
        <w:divId w:val="1503546404"/>
        <w:rPr>
          <w:rFonts w:ascii="Arial" w:hAnsi="Arial" w:cs="Arial"/>
          <w:noProof/>
          <w:sz w:val="22"/>
        </w:rPr>
      </w:pPr>
      <w:r>
        <w:rPr>
          <w:rFonts w:ascii="Arial" w:hAnsi="Arial" w:cs="Arial"/>
        </w:rPr>
        <w:fldChar w:fldCharType="begin" w:fldLock="1"/>
      </w:r>
      <w:r>
        <w:rPr>
          <w:rFonts w:ascii="Arial" w:hAnsi="Arial" w:cs="Arial"/>
        </w:rPr>
        <w:instrText xml:space="preserve">ADDIN Mendeley Bibliography CSL_BIBLIOGRAPHY </w:instrText>
      </w:r>
      <w:r>
        <w:rPr>
          <w:rFonts w:ascii="Arial" w:hAnsi="Arial" w:cs="Arial"/>
        </w:rPr>
        <w:fldChar w:fldCharType="separate"/>
      </w:r>
      <w:r w:rsidR="00214A19" w:rsidRPr="00214A19">
        <w:rPr>
          <w:rFonts w:ascii="Arial" w:hAnsi="Arial" w:cs="Arial"/>
          <w:noProof/>
          <w:sz w:val="22"/>
        </w:rPr>
        <w:t xml:space="preserve">Acácio, V., Holmgren, M., Jansen, P.A. &amp; Schrotter, O. (2007) Multiple Recruitment Limitation Causes Arrested Succession in Mediterranean Cork Oak Systems. </w:t>
      </w:r>
      <w:r w:rsidR="00214A19" w:rsidRPr="00214A19">
        <w:rPr>
          <w:rFonts w:ascii="Arial" w:hAnsi="Arial" w:cs="Arial"/>
          <w:i/>
          <w:iCs/>
          <w:noProof/>
          <w:sz w:val="22"/>
        </w:rPr>
        <w:t>Ecosystems</w:t>
      </w:r>
      <w:r w:rsidR="00214A19" w:rsidRPr="00214A19">
        <w:rPr>
          <w:rFonts w:ascii="Arial" w:hAnsi="Arial" w:cs="Arial"/>
          <w:noProof/>
          <w:sz w:val="22"/>
        </w:rPr>
        <w:t xml:space="preserve">, </w:t>
      </w:r>
      <w:r w:rsidR="00214A19" w:rsidRPr="00214A19">
        <w:rPr>
          <w:rFonts w:ascii="Arial" w:hAnsi="Arial" w:cs="Arial"/>
          <w:b/>
          <w:bCs/>
          <w:noProof/>
          <w:sz w:val="22"/>
        </w:rPr>
        <w:t>10</w:t>
      </w:r>
      <w:r w:rsidR="00214A19" w:rsidRPr="00214A19">
        <w:rPr>
          <w:rFonts w:ascii="Arial" w:hAnsi="Arial" w:cs="Arial"/>
          <w:noProof/>
          <w:sz w:val="22"/>
        </w:rPr>
        <w:t>, 1220–1230.</w:t>
      </w:r>
    </w:p>
    <w:p w:rsidR="00214A19" w:rsidRPr="00214A19" w:rsidRDefault="00214A19">
      <w:pPr>
        <w:pStyle w:val="NormalWeb"/>
        <w:ind w:left="480" w:hanging="480"/>
        <w:divId w:val="1503546404"/>
        <w:rPr>
          <w:rFonts w:ascii="Arial" w:hAnsi="Arial" w:cs="Arial"/>
          <w:noProof/>
          <w:sz w:val="22"/>
        </w:rPr>
      </w:pPr>
      <w:r w:rsidRPr="00214A19">
        <w:rPr>
          <w:rFonts w:ascii="Arial" w:hAnsi="Arial" w:cs="Arial"/>
          <w:noProof/>
          <w:sz w:val="22"/>
        </w:rPr>
        <w:t xml:space="preserve">Barlow, J. &amp; Peres, C. a. (2008) Fire-mediated dieback and compositional cascade in an Amazonian forest. </w:t>
      </w:r>
      <w:r w:rsidRPr="00214A19">
        <w:rPr>
          <w:rFonts w:ascii="Arial" w:hAnsi="Arial" w:cs="Arial"/>
          <w:i/>
          <w:iCs/>
          <w:noProof/>
          <w:sz w:val="22"/>
        </w:rPr>
        <w:t>Philosophical transactions of the Royal Society of London. Series B, Biological sciences</w:t>
      </w:r>
      <w:r w:rsidRPr="00214A19">
        <w:rPr>
          <w:rFonts w:ascii="Arial" w:hAnsi="Arial" w:cs="Arial"/>
          <w:noProof/>
          <w:sz w:val="22"/>
        </w:rPr>
        <w:t xml:space="preserve">, </w:t>
      </w:r>
      <w:r w:rsidRPr="00214A19">
        <w:rPr>
          <w:rFonts w:ascii="Arial" w:hAnsi="Arial" w:cs="Arial"/>
          <w:b/>
          <w:bCs/>
          <w:noProof/>
          <w:sz w:val="22"/>
        </w:rPr>
        <w:t>363</w:t>
      </w:r>
      <w:r w:rsidRPr="00214A19">
        <w:rPr>
          <w:rFonts w:ascii="Arial" w:hAnsi="Arial" w:cs="Arial"/>
          <w:noProof/>
          <w:sz w:val="22"/>
        </w:rPr>
        <w:t>, 1787–94.</w:t>
      </w:r>
    </w:p>
    <w:p w:rsidR="00214A19" w:rsidRPr="00214A19" w:rsidRDefault="00214A19">
      <w:pPr>
        <w:pStyle w:val="NormalWeb"/>
        <w:ind w:left="480" w:hanging="480"/>
        <w:divId w:val="1503546404"/>
        <w:rPr>
          <w:rFonts w:ascii="Arial" w:hAnsi="Arial" w:cs="Arial"/>
          <w:noProof/>
          <w:sz w:val="22"/>
        </w:rPr>
      </w:pPr>
      <w:r w:rsidRPr="00214A19">
        <w:rPr>
          <w:rFonts w:ascii="Arial" w:hAnsi="Arial" w:cs="Arial"/>
          <w:noProof/>
          <w:sz w:val="22"/>
        </w:rPr>
        <w:t xml:space="preserve">Barlow, J., Peres, C., Lagan, B. &amp; Haugaasen, T. (2002) Large tree mortality and the decline of forest biomass following Amazonian wildfires. </w:t>
      </w:r>
      <w:r w:rsidRPr="00214A19">
        <w:rPr>
          <w:rFonts w:ascii="Arial" w:hAnsi="Arial" w:cs="Arial"/>
          <w:i/>
          <w:iCs/>
          <w:noProof/>
          <w:sz w:val="22"/>
        </w:rPr>
        <w:t>Ecology letters</w:t>
      </w:r>
      <w:r w:rsidRPr="00214A19">
        <w:rPr>
          <w:rFonts w:ascii="Arial" w:hAnsi="Arial" w:cs="Arial"/>
          <w:noProof/>
          <w:sz w:val="22"/>
        </w:rPr>
        <w:t>, 6–8.</w:t>
      </w:r>
    </w:p>
    <w:p w:rsidR="00214A19" w:rsidRPr="00214A19" w:rsidRDefault="00214A19">
      <w:pPr>
        <w:pStyle w:val="NormalWeb"/>
        <w:ind w:left="480" w:hanging="480"/>
        <w:divId w:val="1503546404"/>
        <w:rPr>
          <w:rFonts w:ascii="Arial" w:hAnsi="Arial" w:cs="Arial"/>
          <w:noProof/>
          <w:sz w:val="22"/>
        </w:rPr>
      </w:pPr>
      <w:r w:rsidRPr="00214A19">
        <w:rPr>
          <w:rFonts w:ascii="Arial" w:hAnsi="Arial" w:cs="Arial"/>
          <w:noProof/>
          <w:sz w:val="22"/>
        </w:rPr>
        <w:t>Benchimol, M. &amp; Peres, C.A. (2015) Edge-mediated compositional and functional decay of tree assemblages in Amazonian forest islands after 26 years of isolation.</w:t>
      </w:r>
    </w:p>
    <w:p w:rsidR="00214A19" w:rsidRPr="00214A19" w:rsidRDefault="00214A19">
      <w:pPr>
        <w:pStyle w:val="NormalWeb"/>
        <w:ind w:left="480" w:hanging="480"/>
        <w:divId w:val="1503546404"/>
        <w:rPr>
          <w:rFonts w:ascii="Arial" w:hAnsi="Arial" w:cs="Arial"/>
          <w:noProof/>
          <w:sz w:val="22"/>
        </w:rPr>
      </w:pPr>
      <w:r w:rsidRPr="00214A19">
        <w:rPr>
          <w:rFonts w:ascii="Arial" w:hAnsi="Arial" w:cs="Arial"/>
          <w:noProof/>
          <w:sz w:val="22"/>
        </w:rPr>
        <w:t xml:space="preserve">Brando, P.M., Balch, J.K., Nepstad, D.C., Morton, D.C., Putz, F.E., Coe, M.T., Silvério, D., Macedo, M.N., Davidson, E.A., Nóbrega, C.C., Alencar, A. &amp; Soares-Filho, B.S. (2014) Abrupt increases in Amazonian tree mortality due to drought-fire interactions. </w:t>
      </w:r>
      <w:r w:rsidRPr="00214A19">
        <w:rPr>
          <w:rFonts w:ascii="Arial" w:hAnsi="Arial" w:cs="Arial"/>
          <w:i/>
          <w:iCs/>
          <w:noProof/>
          <w:sz w:val="22"/>
        </w:rPr>
        <w:t>Proceedings of the National Academy of Sciences of the United States of America</w:t>
      </w:r>
      <w:r w:rsidRPr="00214A19">
        <w:rPr>
          <w:rFonts w:ascii="Arial" w:hAnsi="Arial" w:cs="Arial"/>
          <w:noProof/>
          <w:sz w:val="22"/>
        </w:rPr>
        <w:t xml:space="preserve">, </w:t>
      </w:r>
      <w:r w:rsidRPr="00214A19">
        <w:rPr>
          <w:rFonts w:ascii="Arial" w:hAnsi="Arial" w:cs="Arial"/>
          <w:b/>
          <w:bCs/>
          <w:noProof/>
          <w:sz w:val="22"/>
        </w:rPr>
        <w:t>111</w:t>
      </w:r>
      <w:r w:rsidRPr="00214A19">
        <w:rPr>
          <w:rFonts w:ascii="Arial" w:hAnsi="Arial" w:cs="Arial"/>
          <w:noProof/>
          <w:sz w:val="22"/>
        </w:rPr>
        <w:t>, 6347–52.</w:t>
      </w:r>
    </w:p>
    <w:p w:rsidR="00214A19" w:rsidRPr="00214A19" w:rsidRDefault="00214A19">
      <w:pPr>
        <w:pStyle w:val="NormalWeb"/>
        <w:ind w:left="480" w:hanging="480"/>
        <w:divId w:val="1503546404"/>
        <w:rPr>
          <w:rFonts w:ascii="Arial" w:hAnsi="Arial" w:cs="Arial"/>
          <w:noProof/>
          <w:sz w:val="22"/>
        </w:rPr>
      </w:pPr>
      <w:r w:rsidRPr="00214A19">
        <w:rPr>
          <w:rFonts w:ascii="Arial" w:hAnsi="Arial" w:cs="Arial"/>
          <w:noProof/>
          <w:sz w:val="22"/>
        </w:rPr>
        <w:t xml:space="preserve">Burnham, K.P. &amp; Anderson, D.R. (2002) </w:t>
      </w:r>
      <w:r w:rsidRPr="00214A19">
        <w:rPr>
          <w:rFonts w:ascii="Arial" w:hAnsi="Arial" w:cs="Arial"/>
          <w:i/>
          <w:iCs/>
          <w:noProof/>
          <w:sz w:val="22"/>
        </w:rPr>
        <w:t>Model Selection and Multimodel Inference: A Practical Information-Theoretic Approach</w:t>
      </w:r>
      <w:r w:rsidRPr="00214A19">
        <w:rPr>
          <w:rFonts w:ascii="Arial" w:hAnsi="Arial" w:cs="Arial"/>
          <w:noProof/>
          <w:sz w:val="22"/>
        </w:rPr>
        <w:t>.</w:t>
      </w:r>
    </w:p>
    <w:p w:rsidR="00214A19" w:rsidRPr="00214A19" w:rsidRDefault="00214A19">
      <w:pPr>
        <w:pStyle w:val="NormalWeb"/>
        <w:ind w:left="480" w:hanging="480"/>
        <w:divId w:val="1503546404"/>
        <w:rPr>
          <w:rFonts w:ascii="Arial" w:hAnsi="Arial" w:cs="Arial"/>
          <w:noProof/>
          <w:sz w:val="22"/>
        </w:rPr>
      </w:pPr>
      <w:r w:rsidRPr="00214A19">
        <w:rPr>
          <w:rFonts w:ascii="Arial" w:hAnsi="Arial" w:cs="Arial"/>
          <w:noProof/>
          <w:sz w:val="22"/>
        </w:rPr>
        <w:t xml:space="preserve">Camarero, J.J., Gazol, A., Sangüesa-Barreda, G., Oliva, J. &amp; Vicente-Serrano, S.M. (2015) To die or not to die: early warnings of tree dieback in response to a severe drought (ed D Gibson). </w:t>
      </w:r>
      <w:r w:rsidRPr="00214A19">
        <w:rPr>
          <w:rFonts w:ascii="Arial" w:hAnsi="Arial" w:cs="Arial"/>
          <w:i/>
          <w:iCs/>
          <w:noProof/>
          <w:sz w:val="22"/>
        </w:rPr>
        <w:t>Journal of Ecology</w:t>
      </w:r>
      <w:r w:rsidRPr="00214A19">
        <w:rPr>
          <w:rFonts w:ascii="Arial" w:hAnsi="Arial" w:cs="Arial"/>
          <w:noProof/>
          <w:sz w:val="22"/>
        </w:rPr>
        <w:t xml:space="preserve">, </w:t>
      </w:r>
      <w:r w:rsidRPr="00214A19">
        <w:rPr>
          <w:rFonts w:ascii="Arial" w:hAnsi="Arial" w:cs="Arial"/>
          <w:b/>
          <w:bCs/>
          <w:noProof/>
          <w:sz w:val="22"/>
        </w:rPr>
        <w:t>103</w:t>
      </w:r>
      <w:r w:rsidRPr="00214A19">
        <w:rPr>
          <w:rFonts w:ascii="Arial" w:hAnsi="Arial" w:cs="Arial"/>
          <w:noProof/>
          <w:sz w:val="22"/>
        </w:rPr>
        <w:t>, 44–57.</w:t>
      </w:r>
    </w:p>
    <w:p w:rsidR="00214A19" w:rsidRPr="00214A19" w:rsidRDefault="00214A19">
      <w:pPr>
        <w:pStyle w:val="NormalWeb"/>
        <w:ind w:left="480" w:hanging="480"/>
        <w:divId w:val="1503546404"/>
        <w:rPr>
          <w:rFonts w:ascii="Arial" w:hAnsi="Arial" w:cs="Arial"/>
          <w:noProof/>
          <w:sz w:val="22"/>
        </w:rPr>
      </w:pPr>
      <w:r w:rsidRPr="00214A19">
        <w:rPr>
          <w:rFonts w:ascii="Arial" w:hAnsi="Arial" w:cs="Arial"/>
          <w:noProof/>
          <w:sz w:val="22"/>
        </w:rPr>
        <w:t xml:space="preserve">Chao, K.J., Phillips, O.L., Gloor, E., Monteagudo, A., Torres-Lezama, A. &amp; Martínez, R.V. (2008) Growth and wood density predict tree mortality in Amazon forests. </w:t>
      </w:r>
      <w:r w:rsidRPr="00214A19">
        <w:rPr>
          <w:rFonts w:ascii="Arial" w:hAnsi="Arial" w:cs="Arial"/>
          <w:i/>
          <w:iCs/>
          <w:noProof/>
          <w:sz w:val="22"/>
        </w:rPr>
        <w:t>Journal of Ecology</w:t>
      </w:r>
      <w:r w:rsidRPr="00214A19">
        <w:rPr>
          <w:rFonts w:ascii="Arial" w:hAnsi="Arial" w:cs="Arial"/>
          <w:noProof/>
          <w:sz w:val="22"/>
        </w:rPr>
        <w:t xml:space="preserve">, </w:t>
      </w:r>
      <w:r w:rsidRPr="00214A19">
        <w:rPr>
          <w:rFonts w:ascii="Arial" w:hAnsi="Arial" w:cs="Arial"/>
          <w:b/>
          <w:bCs/>
          <w:noProof/>
          <w:sz w:val="22"/>
        </w:rPr>
        <w:t>96</w:t>
      </w:r>
      <w:r w:rsidRPr="00214A19">
        <w:rPr>
          <w:rFonts w:ascii="Arial" w:hAnsi="Arial" w:cs="Arial"/>
          <w:noProof/>
          <w:sz w:val="22"/>
        </w:rPr>
        <w:t>, 281–292.</w:t>
      </w:r>
    </w:p>
    <w:p w:rsidR="00214A19" w:rsidRPr="00214A19" w:rsidRDefault="00214A19">
      <w:pPr>
        <w:pStyle w:val="NormalWeb"/>
        <w:ind w:left="480" w:hanging="480"/>
        <w:divId w:val="1503546404"/>
        <w:rPr>
          <w:rFonts w:ascii="Arial" w:hAnsi="Arial" w:cs="Arial"/>
          <w:noProof/>
          <w:sz w:val="22"/>
        </w:rPr>
      </w:pPr>
      <w:r w:rsidRPr="00214A19">
        <w:rPr>
          <w:rFonts w:ascii="Arial" w:hAnsi="Arial" w:cs="Arial"/>
          <w:noProof/>
          <w:sz w:val="22"/>
        </w:rPr>
        <w:t xml:space="preserve">Coomes, D. a., Duncan, R.P., Allen, R.B. &amp; Truscott, J. (2003) Disturbances prevent stem size-density distributions in natural forests from following scaling relationships. </w:t>
      </w:r>
      <w:r w:rsidRPr="00214A19">
        <w:rPr>
          <w:rFonts w:ascii="Arial" w:hAnsi="Arial" w:cs="Arial"/>
          <w:i/>
          <w:iCs/>
          <w:noProof/>
          <w:sz w:val="22"/>
        </w:rPr>
        <w:t>Ecology Letters</w:t>
      </w:r>
      <w:r w:rsidRPr="00214A19">
        <w:rPr>
          <w:rFonts w:ascii="Arial" w:hAnsi="Arial" w:cs="Arial"/>
          <w:noProof/>
          <w:sz w:val="22"/>
        </w:rPr>
        <w:t xml:space="preserve">, </w:t>
      </w:r>
      <w:r w:rsidRPr="00214A19">
        <w:rPr>
          <w:rFonts w:ascii="Arial" w:hAnsi="Arial" w:cs="Arial"/>
          <w:b/>
          <w:bCs/>
          <w:noProof/>
          <w:sz w:val="22"/>
        </w:rPr>
        <w:t>6</w:t>
      </w:r>
      <w:r w:rsidRPr="00214A19">
        <w:rPr>
          <w:rFonts w:ascii="Arial" w:hAnsi="Arial" w:cs="Arial"/>
          <w:noProof/>
          <w:sz w:val="22"/>
        </w:rPr>
        <w:t>, 980–989.</w:t>
      </w:r>
    </w:p>
    <w:p w:rsidR="00214A19" w:rsidRPr="00214A19" w:rsidRDefault="00214A19">
      <w:pPr>
        <w:pStyle w:val="NormalWeb"/>
        <w:ind w:left="480" w:hanging="480"/>
        <w:divId w:val="1503546404"/>
        <w:rPr>
          <w:rFonts w:ascii="Arial" w:hAnsi="Arial" w:cs="Arial"/>
          <w:noProof/>
          <w:sz w:val="22"/>
        </w:rPr>
      </w:pPr>
      <w:r w:rsidRPr="00214A19">
        <w:rPr>
          <w:rFonts w:ascii="Arial" w:hAnsi="Arial" w:cs="Arial"/>
          <w:noProof/>
          <w:sz w:val="22"/>
        </w:rPr>
        <w:t xml:space="preserve">Greene, D.F. &amp; Johnson, E.A. (1994) Estimating the mean annual seed production of trees. </w:t>
      </w:r>
      <w:r w:rsidRPr="00214A19">
        <w:rPr>
          <w:rFonts w:ascii="Arial" w:hAnsi="Arial" w:cs="Arial"/>
          <w:i/>
          <w:iCs/>
          <w:noProof/>
          <w:sz w:val="22"/>
        </w:rPr>
        <w:t>Ecology</w:t>
      </w:r>
      <w:r w:rsidRPr="00214A19">
        <w:rPr>
          <w:rFonts w:ascii="Arial" w:hAnsi="Arial" w:cs="Arial"/>
          <w:noProof/>
          <w:sz w:val="22"/>
        </w:rPr>
        <w:t>, 642–647.</w:t>
      </w:r>
    </w:p>
    <w:p w:rsidR="00214A19" w:rsidRPr="00214A19" w:rsidRDefault="00214A19">
      <w:pPr>
        <w:pStyle w:val="NormalWeb"/>
        <w:ind w:left="480" w:hanging="480"/>
        <w:divId w:val="1503546404"/>
        <w:rPr>
          <w:rFonts w:ascii="Arial" w:hAnsi="Arial" w:cs="Arial"/>
          <w:noProof/>
          <w:sz w:val="22"/>
        </w:rPr>
      </w:pPr>
      <w:r w:rsidRPr="00214A19">
        <w:rPr>
          <w:rFonts w:ascii="Arial" w:hAnsi="Arial" w:cs="Arial"/>
          <w:noProof/>
          <w:sz w:val="22"/>
        </w:rPr>
        <w:t xml:space="preserve">Holzwarth, F., Kahl, A., Bauhus, J. &amp; Wirth, C. (2013) Many ways to die - partitioning tree mortality dynamics in a near-natural mixed deciduous forest (ed P Zuidema). </w:t>
      </w:r>
      <w:r w:rsidRPr="00214A19">
        <w:rPr>
          <w:rFonts w:ascii="Arial" w:hAnsi="Arial" w:cs="Arial"/>
          <w:i/>
          <w:iCs/>
          <w:noProof/>
          <w:sz w:val="22"/>
        </w:rPr>
        <w:t>Journal of Ecology</w:t>
      </w:r>
      <w:r w:rsidRPr="00214A19">
        <w:rPr>
          <w:rFonts w:ascii="Arial" w:hAnsi="Arial" w:cs="Arial"/>
          <w:noProof/>
          <w:sz w:val="22"/>
        </w:rPr>
        <w:t xml:space="preserve">, </w:t>
      </w:r>
      <w:r w:rsidRPr="00214A19">
        <w:rPr>
          <w:rFonts w:ascii="Arial" w:hAnsi="Arial" w:cs="Arial"/>
          <w:b/>
          <w:bCs/>
          <w:noProof/>
          <w:sz w:val="22"/>
        </w:rPr>
        <w:t>101</w:t>
      </w:r>
      <w:r w:rsidRPr="00214A19">
        <w:rPr>
          <w:rFonts w:ascii="Arial" w:hAnsi="Arial" w:cs="Arial"/>
          <w:noProof/>
          <w:sz w:val="22"/>
        </w:rPr>
        <w:t>, 220–230.</w:t>
      </w:r>
    </w:p>
    <w:p w:rsidR="00214A19" w:rsidRPr="00214A19" w:rsidRDefault="00214A19">
      <w:pPr>
        <w:pStyle w:val="NormalWeb"/>
        <w:ind w:left="480" w:hanging="480"/>
        <w:divId w:val="1503546404"/>
        <w:rPr>
          <w:rFonts w:ascii="Arial" w:hAnsi="Arial" w:cs="Arial"/>
          <w:noProof/>
          <w:sz w:val="22"/>
        </w:rPr>
      </w:pPr>
      <w:r w:rsidRPr="00214A19">
        <w:rPr>
          <w:rFonts w:ascii="Arial" w:hAnsi="Arial" w:cs="Arial"/>
          <w:noProof/>
          <w:sz w:val="22"/>
        </w:rPr>
        <w:t xml:space="preserve">Van Mantgem, P.J., Stephenson, N.L., Byrne, J.C., Daniels, L.D., Franklin, J.F., Fulé, P.Z., Harmon, M.E., Larson, A.J., Smith, J.M., Taylor, A.H. &amp; Veblen, T.T. (2009) Widespread increase of tree mortality rates in the western United States. </w:t>
      </w:r>
      <w:r w:rsidRPr="00214A19">
        <w:rPr>
          <w:rFonts w:ascii="Arial" w:hAnsi="Arial" w:cs="Arial"/>
          <w:i/>
          <w:iCs/>
          <w:noProof/>
          <w:sz w:val="22"/>
        </w:rPr>
        <w:t>Science (New York, N.Y.)</w:t>
      </w:r>
      <w:r w:rsidRPr="00214A19">
        <w:rPr>
          <w:rFonts w:ascii="Arial" w:hAnsi="Arial" w:cs="Arial"/>
          <w:noProof/>
          <w:sz w:val="22"/>
        </w:rPr>
        <w:t xml:space="preserve">, </w:t>
      </w:r>
      <w:r w:rsidRPr="00214A19">
        <w:rPr>
          <w:rFonts w:ascii="Arial" w:hAnsi="Arial" w:cs="Arial"/>
          <w:b/>
          <w:bCs/>
          <w:noProof/>
          <w:sz w:val="22"/>
        </w:rPr>
        <w:t>323</w:t>
      </w:r>
      <w:r w:rsidRPr="00214A19">
        <w:rPr>
          <w:rFonts w:ascii="Arial" w:hAnsi="Arial" w:cs="Arial"/>
          <w:noProof/>
          <w:sz w:val="22"/>
        </w:rPr>
        <w:t>, 521–524.</w:t>
      </w:r>
    </w:p>
    <w:p w:rsidR="00214A19" w:rsidRPr="00214A19" w:rsidRDefault="00214A19">
      <w:pPr>
        <w:pStyle w:val="NormalWeb"/>
        <w:ind w:left="480" w:hanging="480"/>
        <w:divId w:val="1503546404"/>
        <w:rPr>
          <w:rFonts w:ascii="Arial" w:hAnsi="Arial" w:cs="Arial"/>
          <w:noProof/>
          <w:sz w:val="22"/>
        </w:rPr>
      </w:pPr>
      <w:r w:rsidRPr="00214A19">
        <w:rPr>
          <w:rFonts w:ascii="Arial" w:hAnsi="Arial" w:cs="Arial"/>
          <w:noProof/>
          <w:sz w:val="22"/>
        </w:rPr>
        <w:t>Mcintyre, P.J., Thorne, J.H., Dolanc, C.R., Flint, A.L., Flint, L.E., Kelly, M. &amp; Ackerly, D.D. (2014) Twentieth-century shifts in forest structure in California : Denser forests , smaller trees , and increased dominance of oaks. , 1–6.</w:t>
      </w:r>
    </w:p>
    <w:p w:rsidR="00214A19" w:rsidRPr="00214A19" w:rsidRDefault="00214A19">
      <w:pPr>
        <w:pStyle w:val="NormalWeb"/>
        <w:ind w:left="480" w:hanging="480"/>
        <w:divId w:val="1503546404"/>
        <w:rPr>
          <w:rFonts w:ascii="Arial" w:hAnsi="Arial" w:cs="Arial"/>
          <w:noProof/>
          <w:sz w:val="22"/>
        </w:rPr>
      </w:pPr>
      <w:r w:rsidRPr="00214A19">
        <w:rPr>
          <w:rFonts w:ascii="Arial" w:hAnsi="Arial" w:cs="Arial"/>
          <w:noProof/>
          <w:sz w:val="22"/>
        </w:rPr>
        <w:lastRenderedPageBreak/>
        <w:t xml:space="preserve">Monserud, R. a. &amp; Sterba, H. (1999) Modeling individual tree mortality for Austrian forest species. </w:t>
      </w:r>
      <w:r w:rsidRPr="00214A19">
        <w:rPr>
          <w:rFonts w:ascii="Arial" w:hAnsi="Arial" w:cs="Arial"/>
          <w:i/>
          <w:iCs/>
          <w:noProof/>
          <w:sz w:val="22"/>
        </w:rPr>
        <w:t>Forest Ecology and Management</w:t>
      </w:r>
      <w:r w:rsidRPr="00214A19">
        <w:rPr>
          <w:rFonts w:ascii="Arial" w:hAnsi="Arial" w:cs="Arial"/>
          <w:noProof/>
          <w:sz w:val="22"/>
        </w:rPr>
        <w:t xml:space="preserve">, </w:t>
      </w:r>
      <w:r w:rsidRPr="00214A19">
        <w:rPr>
          <w:rFonts w:ascii="Arial" w:hAnsi="Arial" w:cs="Arial"/>
          <w:b/>
          <w:bCs/>
          <w:noProof/>
          <w:sz w:val="22"/>
        </w:rPr>
        <w:t>113</w:t>
      </w:r>
      <w:r w:rsidRPr="00214A19">
        <w:rPr>
          <w:rFonts w:ascii="Arial" w:hAnsi="Arial" w:cs="Arial"/>
          <w:noProof/>
          <w:sz w:val="22"/>
        </w:rPr>
        <w:t>, 109–123.</w:t>
      </w:r>
    </w:p>
    <w:p w:rsidR="00214A19" w:rsidRPr="00214A19" w:rsidRDefault="00214A19">
      <w:pPr>
        <w:pStyle w:val="NormalWeb"/>
        <w:ind w:left="480" w:hanging="480"/>
        <w:divId w:val="1503546404"/>
        <w:rPr>
          <w:rFonts w:ascii="Arial" w:hAnsi="Arial" w:cs="Arial"/>
          <w:noProof/>
          <w:sz w:val="22"/>
        </w:rPr>
      </w:pPr>
      <w:r w:rsidRPr="00214A19">
        <w:rPr>
          <w:rFonts w:ascii="Arial" w:hAnsi="Arial" w:cs="Arial"/>
          <w:noProof/>
          <w:sz w:val="22"/>
        </w:rPr>
        <w:t xml:space="preserve">Mountford, E.P. &amp; Peterken, G.F. (2003) Long-term change and implications for the management of wood-pastures: experience over 40 years from Denny Wood, New Forest. </w:t>
      </w:r>
      <w:r w:rsidRPr="00214A19">
        <w:rPr>
          <w:rFonts w:ascii="Arial" w:hAnsi="Arial" w:cs="Arial"/>
          <w:i/>
          <w:iCs/>
          <w:noProof/>
          <w:sz w:val="22"/>
        </w:rPr>
        <w:t>Forestry</w:t>
      </w:r>
      <w:r w:rsidRPr="00214A19">
        <w:rPr>
          <w:rFonts w:ascii="Arial" w:hAnsi="Arial" w:cs="Arial"/>
          <w:noProof/>
          <w:sz w:val="22"/>
        </w:rPr>
        <w:t xml:space="preserve">, </w:t>
      </w:r>
      <w:r w:rsidRPr="00214A19">
        <w:rPr>
          <w:rFonts w:ascii="Arial" w:hAnsi="Arial" w:cs="Arial"/>
          <w:b/>
          <w:bCs/>
          <w:noProof/>
          <w:sz w:val="22"/>
        </w:rPr>
        <w:t>76</w:t>
      </w:r>
      <w:r w:rsidRPr="00214A19">
        <w:rPr>
          <w:rFonts w:ascii="Arial" w:hAnsi="Arial" w:cs="Arial"/>
          <w:noProof/>
          <w:sz w:val="22"/>
        </w:rPr>
        <w:t>, 19–43.</w:t>
      </w:r>
    </w:p>
    <w:p w:rsidR="00214A19" w:rsidRPr="00214A19" w:rsidRDefault="00214A19">
      <w:pPr>
        <w:pStyle w:val="NormalWeb"/>
        <w:ind w:left="480" w:hanging="480"/>
        <w:divId w:val="1503546404"/>
        <w:rPr>
          <w:rFonts w:ascii="Arial" w:hAnsi="Arial" w:cs="Arial"/>
          <w:noProof/>
          <w:sz w:val="22"/>
        </w:rPr>
      </w:pPr>
      <w:r w:rsidRPr="00214A19">
        <w:rPr>
          <w:rFonts w:ascii="Arial" w:hAnsi="Arial" w:cs="Arial"/>
          <w:noProof/>
          <w:sz w:val="22"/>
        </w:rPr>
        <w:t xml:space="preserve">Peng, C., Ma, Z., Lei, X., Zhu, Q., Chen, H., Wang, W., Liu, S., Li, W., Fang, X. &amp; Zhou, X. (2011) A drought-induced pervasive increase in tree mortality across Canada’s boreal forests. </w:t>
      </w:r>
      <w:r w:rsidRPr="00214A19">
        <w:rPr>
          <w:rFonts w:ascii="Arial" w:hAnsi="Arial" w:cs="Arial"/>
          <w:i/>
          <w:iCs/>
          <w:noProof/>
          <w:sz w:val="22"/>
        </w:rPr>
        <w:t>Nature Climate Change</w:t>
      </w:r>
      <w:r w:rsidRPr="00214A19">
        <w:rPr>
          <w:rFonts w:ascii="Arial" w:hAnsi="Arial" w:cs="Arial"/>
          <w:noProof/>
          <w:sz w:val="22"/>
        </w:rPr>
        <w:t xml:space="preserve">, </w:t>
      </w:r>
      <w:r w:rsidRPr="00214A19">
        <w:rPr>
          <w:rFonts w:ascii="Arial" w:hAnsi="Arial" w:cs="Arial"/>
          <w:b/>
          <w:bCs/>
          <w:noProof/>
          <w:sz w:val="22"/>
        </w:rPr>
        <w:t>1</w:t>
      </w:r>
      <w:r w:rsidRPr="00214A19">
        <w:rPr>
          <w:rFonts w:ascii="Arial" w:hAnsi="Arial" w:cs="Arial"/>
          <w:noProof/>
          <w:sz w:val="22"/>
        </w:rPr>
        <w:t>, 467–471.</w:t>
      </w:r>
    </w:p>
    <w:p w:rsidR="00214A19" w:rsidRPr="00214A19" w:rsidRDefault="00214A19">
      <w:pPr>
        <w:pStyle w:val="NormalWeb"/>
        <w:ind w:left="480" w:hanging="480"/>
        <w:divId w:val="1503546404"/>
        <w:rPr>
          <w:rFonts w:ascii="Arial" w:hAnsi="Arial" w:cs="Arial"/>
          <w:noProof/>
          <w:sz w:val="22"/>
        </w:rPr>
      </w:pPr>
      <w:r w:rsidRPr="00214A19">
        <w:rPr>
          <w:rFonts w:ascii="Arial" w:hAnsi="Arial" w:cs="Arial"/>
          <w:noProof/>
          <w:sz w:val="22"/>
        </w:rPr>
        <w:t xml:space="preserve">Reyer, C.P.O., Brouwers, N., Rammig, A., Brook, B.W., Epila, J., Grant, R.F., Holmgren, M., Langerwisch, F., Leuzinger, S., Lucht, W., Medlyn, B., Pfeifer, M., Steinkamp, J., Vanderwel, M.C., Verbeeck, H. &amp; Villela, D.M. (2015) Forest resilience and tipping points at different spatio-temporal scales: approaches and challenges (ed D Coomes). </w:t>
      </w:r>
      <w:r w:rsidRPr="00214A19">
        <w:rPr>
          <w:rFonts w:ascii="Arial" w:hAnsi="Arial" w:cs="Arial"/>
          <w:i/>
          <w:iCs/>
          <w:noProof/>
          <w:sz w:val="22"/>
        </w:rPr>
        <w:t>Journal of Ecology</w:t>
      </w:r>
      <w:r w:rsidRPr="00214A19">
        <w:rPr>
          <w:rFonts w:ascii="Arial" w:hAnsi="Arial" w:cs="Arial"/>
          <w:noProof/>
          <w:sz w:val="22"/>
        </w:rPr>
        <w:t xml:space="preserve">, </w:t>
      </w:r>
      <w:r w:rsidRPr="00214A19">
        <w:rPr>
          <w:rFonts w:ascii="Arial" w:hAnsi="Arial" w:cs="Arial"/>
          <w:b/>
          <w:bCs/>
          <w:noProof/>
          <w:sz w:val="22"/>
        </w:rPr>
        <w:t>103</w:t>
      </w:r>
      <w:r w:rsidRPr="00214A19">
        <w:rPr>
          <w:rFonts w:ascii="Arial" w:hAnsi="Arial" w:cs="Arial"/>
          <w:noProof/>
          <w:sz w:val="22"/>
        </w:rPr>
        <w:t>, 5–15.</w:t>
      </w:r>
    </w:p>
    <w:p w:rsidR="00210A49" w:rsidRPr="00E94C26" w:rsidRDefault="00F262DF" w:rsidP="00214A19">
      <w:pPr>
        <w:pStyle w:val="NormalWeb"/>
        <w:ind w:left="480" w:hanging="480"/>
        <w:divId w:val="1489709836"/>
        <w:rPr>
          <w:rFonts w:ascii="Arial" w:hAnsi="Arial" w:cs="Arial"/>
        </w:rPr>
      </w:pPr>
      <w:r>
        <w:rPr>
          <w:rFonts w:ascii="Arial" w:hAnsi="Arial" w:cs="Arial"/>
        </w:rPr>
        <w:fldChar w:fldCharType="end"/>
      </w:r>
    </w:p>
    <w:sectPr w:rsidR="00210A49" w:rsidRPr="00E94C26">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Phil Martin" w:date="2015-05-09T10:12:00Z" w:initials="PM">
    <w:p w:rsidR="004A5CBE" w:rsidRDefault="004A5CBE">
      <w:pPr>
        <w:pStyle w:val="CommentText"/>
      </w:pPr>
      <w:r>
        <w:rPr>
          <w:rStyle w:val="CommentReference"/>
        </w:rPr>
        <w:annotationRef/>
      </w:r>
      <w:r>
        <w:t>These are not truly non-forest states. I need to change this later</w:t>
      </w:r>
    </w:p>
  </w:comment>
  <w:comment w:id="1" w:author="Phil Martin" w:date="2015-05-14T16:07:00Z" w:initials="PM">
    <w:p w:rsidR="00DC1C53" w:rsidRDefault="00DC1C53">
      <w:pPr>
        <w:pStyle w:val="CommentText"/>
      </w:pPr>
      <w:r>
        <w:rPr>
          <w:rStyle w:val="CommentReference"/>
        </w:rPr>
        <w:annotationRef/>
      </w:r>
      <w:r>
        <w:t>Need to get detail on what exactly was done here.</w:t>
      </w:r>
    </w:p>
  </w:comment>
  <w:comment w:id="2" w:author="Phil Martin" w:date="2015-05-14T16:37:00Z" w:initials="PM">
    <w:p w:rsidR="00E46DB5" w:rsidRDefault="00E46DB5">
      <w:pPr>
        <w:pStyle w:val="CommentText"/>
      </w:pPr>
      <w:r>
        <w:rPr>
          <w:rStyle w:val="CommentReference"/>
        </w:rPr>
        <w:annotationRef/>
      </w:r>
      <w:r>
        <w:t>We need a reference for this</w:t>
      </w:r>
    </w:p>
  </w:comment>
  <w:comment w:id="3" w:author="Phil Martin" w:date="2015-05-14T16:37:00Z" w:initials="PM">
    <w:p w:rsidR="00E46DB5" w:rsidRDefault="00E46DB5">
      <w:pPr>
        <w:pStyle w:val="CommentText"/>
      </w:pPr>
      <w:r>
        <w:rPr>
          <w:rStyle w:val="CommentReference"/>
        </w:rPr>
        <w:annotationRef/>
      </w:r>
      <w:r>
        <w:t>We need a reference for this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1D621C"/>
    <w:multiLevelType w:val="hybridMultilevel"/>
    <w:tmpl w:val="46AEDF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8F04C7A"/>
    <w:multiLevelType w:val="hybridMultilevel"/>
    <w:tmpl w:val="503437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B2A7B18"/>
    <w:multiLevelType w:val="hybridMultilevel"/>
    <w:tmpl w:val="252665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2F97BAA"/>
    <w:multiLevelType w:val="hybridMultilevel"/>
    <w:tmpl w:val="F5627A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FEF46E0"/>
    <w:multiLevelType w:val="hybridMultilevel"/>
    <w:tmpl w:val="968E59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65E144DB"/>
    <w:multiLevelType w:val="hybridMultilevel"/>
    <w:tmpl w:val="9F642C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751F0568"/>
    <w:multiLevelType w:val="hybridMultilevel"/>
    <w:tmpl w:val="35AEBF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7DAE4EE5"/>
    <w:multiLevelType w:val="hybridMultilevel"/>
    <w:tmpl w:val="003077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4"/>
  </w:num>
  <w:num w:numId="4">
    <w:abstractNumId w:val="5"/>
  </w:num>
  <w:num w:numId="5">
    <w:abstractNumId w:val="7"/>
  </w:num>
  <w:num w:numId="6">
    <w:abstractNumId w:val="3"/>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0A49"/>
    <w:rsid w:val="00012079"/>
    <w:rsid w:val="000547AC"/>
    <w:rsid w:val="0013537F"/>
    <w:rsid w:val="001F0817"/>
    <w:rsid w:val="00210A49"/>
    <w:rsid w:val="00214A19"/>
    <w:rsid w:val="0024119F"/>
    <w:rsid w:val="002E1A3D"/>
    <w:rsid w:val="00343C56"/>
    <w:rsid w:val="003A2B2F"/>
    <w:rsid w:val="003B4207"/>
    <w:rsid w:val="004972E6"/>
    <w:rsid w:val="004A5CBE"/>
    <w:rsid w:val="00560D45"/>
    <w:rsid w:val="005915D6"/>
    <w:rsid w:val="00654F32"/>
    <w:rsid w:val="006F5186"/>
    <w:rsid w:val="00707775"/>
    <w:rsid w:val="007B1610"/>
    <w:rsid w:val="008635F1"/>
    <w:rsid w:val="009578E6"/>
    <w:rsid w:val="00A7669F"/>
    <w:rsid w:val="00AC7BB4"/>
    <w:rsid w:val="00B04394"/>
    <w:rsid w:val="00B46DE7"/>
    <w:rsid w:val="00B93215"/>
    <w:rsid w:val="00D1587D"/>
    <w:rsid w:val="00DB2877"/>
    <w:rsid w:val="00DC1C53"/>
    <w:rsid w:val="00E46DB5"/>
    <w:rsid w:val="00E55003"/>
    <w:rsid w:val="00E94C26"/>
    <w:rsid w:val="00EB1B07"/>
    <w:rsid w:val="00EC3673"/>
    <w:rsid w:val="00EC5CC9"/>
    <w:rsid w:val="00F06791"/>
    <w:rsid w:val="00F262DF"/>
    <w:rsid w:val="00F35515"/>
    <w:rsid w:val="00F41B50"/>
    <w:rsid w:val="00F75EED"/>
    <w:rsid w:val="00FA7178"/>
    <w:rsid w:val="00FE07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0A49"/>
    <w:pPr>
      <w:ind w:left="720"/>
      <w:contextualSpacing/>
    </w:pPr>
  </w:style>
  <w:style w:type="paragraph" w:styleId="NormalWeb">
    <w:name w:val="Normal (Web)"/>
    <w:basedOn w:val="Normal"/>
    <w:uiPriority w:val="99"/>
    <w:unhideWhenUsed/>
    <w:rsid w:val="00F262DF"/>
    <w:pPr>
      <w:spacing w:before="100" w:beforeAutospacing="1" w:after="100" w:afterAutospacing="1" w:line="240" w:lineRule="auto"/>
    </w:pPr>
    <w:rPr>
      <w:rFonts w:ascii="Times New Roman" w:eastAsiaTheme="minorEastAsia" w:hAnsi="Times New Roman" w:cs="Times New Roman"/>
      <w:sz w:val="24"/>
      <w:szCs w:val="24"/>
      <w:lang w:eastAsia="en-GB"/>
    </w:rPr>
  </w:style>
  <w:style w:type="character" w:styleId="PlaceholderText">
    <w:name w:val="Placeholder Text"/>
    <w:basedOn w:val="DefaultParagraphFont"/>
    <w:uiPriority w:val="99"/>
    <w:semiHidden/>
    <w:rsid w:val="00F262DF"/>
    <w:rPr>
      <w:color w:val="808080"/>
    </w:rPr>
  </w:style>
  <w:style w:type="paragraph" w:styleId="BalloonText">
    <w:name w:val="Balloon Text"/>
    <w:basedOn w:val="Normal"/>
    <w:link w:val="BalloonTextChar"/>
    <w:uiPriority w:val="99"/>
    <w:semiHidden/>
    <w:unhideWhenUsed/>
    <w:rsid w:val="00F262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62DF"/>
    <w:rPr>
      <w:rFonts w:ascii="Tahoma" w:hAnsi="Tahoma" w:cs="Tahoma"/>
      <w:sz w:val="16"/>
      <w:szCs w:val="16"/>
    </w:rPr>
  </w:style>
  <w:style w:type="character" w:styleId="CommentReference">
    <w:name w:val="annotation reference"/>
    <w:basedOn w:val="DefaultParagraphFont"/>
    <w:uiPriority w:val="99"/>
    <w:semiHidden/>
    <w:unhideWhenUsed/>
    <w:rsid w:val="004A5CBE"/>
    <w:rPr>
      <w:sz w:val="16"/>
      <w:szCs w:val="16"/>
    </w:rPr>
  </w:style>
  <w:style w:type="paragraph" w:styleId="CommentText">
    <w:name w:val="annotation text"/>
    <w:basedOn w:val="Normal"/>
    <w:link w:val="CommentTextChar"/>
    <w:uiPriority w:val="99"/>
    <w:semiHidden/>
    <w:unhideWhenUsed/>
    <w:rsid w:val="004A5CBE"/>
    <w:pPr>
      <w:spacing w:line="240" w:lineRule="auto"/>
    </w:pPr>
    <w:rPr>
      <w:sz w:val="20"/>
      <w:szCs w:val="20"/>
    </w:rPr>
  </w:style>
  <w:style w:type="character" w:customStyle="1" w:styleId="CommentTextChar">
    <w:name w:val="Comment Text Char"/>
    <w:basedOn w:val="DefaultParagraphFont"/>
    <w:link w:val="CommentText"/>
    <w:uiPriority w:val="99"/>
    <w:semiHidden/>
    <w:rsid w:val="004A5CBE"/>
    <w:rPr>
      <w:sz w:val="20"/>
      <w:szCs w:val="20"/>
    </w:rPr>
  </w:style>
  <w:style w:type="paragraph" w:styleId="CommentSubject">
    <w:name w:val="annotation subject"/>
    <w:basedOn w:val="CommentText"/>
    <w:next w:val="CommentText"/>
    <w:link w:val="CommentSubjectChar"/>
    <w:uiPriority w:val="99"/>
    <w:semiHidden/>
    <w:unhideWhenUsed/>
    <w:rsid w:val="004A5CBE"/>
    <w:rPr>
      <w:b/>
      <w:bCs/>
    </w:rPr>
  </w:style>
  <w:style w:type="character" w:customStyle="1" w:styleId="CommentSubjectChar">
    <w:name w:val="Comment Subject Char"/>
    <w:basedOn w:val="CommentTextChar"/>
    <w:link w:val="CommentSubject"/>
    <w:uiPriority w:val="99"/>
    <w:semiHidden/>
    <w:rsid w:val="004A5CBE"/>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0A49"/>
    <w:pPr>
      <w:ind w:left="720"/>
      <w:contextualSpacing/>
    </w:pPr>
  </w:style>
  <w:style w:type="paragraph" w:styleId="NormalWeb">
    <w:name w:val="Normal (Web)"/>
    <w:basedOn w:val="Normal"/>
    <w:uiPriority w:val="99"/>
    <w:unhideWhenUsed/>
    <w:rsid w:val="00F262DF"/>
    <w:pPr>
      <w:spacing w:before="100" w:beforeAutospacing="1" w:after="100" w:afterAutospacing="1" w:line="240" w:lineRule="auto"/>
    </w:pPr>
    <w:rPr>
      <w:rFonts w:ascii="Times New Roman" w:eastAsiaTheme="minorEastAsia" w:hAnsi="Times New Roman" w:cs="Times New Roman"/>
      <w:sz w:val="24"/>
      <w:szCs w:val="24"/>
      <w:lang w:eastAsia="en-GB"/>
    </w:rPr>
  </w:style>
  <w:style w:type="character" w:styleId="PlaceholderText">
    <w:name w:val="Placeholder Text"/>
    <w:basedOn w:val="DefaultParagraphFont"/>
    <w:uiPriority w:val="99"/>
    <w:semiHidden/>
    <w:rsid w:val="00F262DF"/>
    <w:rPr>
      <w:color w:val="808080"/>
    </w:rPr>
  </w:style>
  <w:style w:type="paragraph" w:styleId="BalloonText">
    <w:name w:val="Balloon Text"/>
    <w:basedOn w:val="Normal"/>
    <w:link w:val="BalloonTextChar"/>
    <w:uiPriority w:val="99"/>
    <w:semiHidden/>
    <w:unhideWhenUsed/>
    <w:rsid w:val="00F262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62DF"/>
    <w:rPr>
      <w:rFonts w:ascii="Tahoma" w:hAnsi="Tahoma" w:cs="Tahoma"/>
      <w:sz w:val="16"/>
      <w:szCs w:val="16"/>
    </w:rPr>
  </w:style>
  <w:style w:type="character" w:styleId="CommentReference">
    <w:name w:val="annotation reference"/>
    <w:basedOn w:val="DefaultParagraphFont"/>
    <w:uiPriority w:val="99"/>
    <w:semiHidden/>
    <w:unhideWhenUsed/>
    <w:rsid w:val="004A5CBE"/>
    <w:rPr>
      <w:sz w:val="16"/>
      <w:szCs w:val="16"/>
    </w:rPr>
  </w:style>
  <w:style w:type="paragraph" w:styleId="CommentText">
    <w:name w:val="annotation text"/>
    <w:basedOn w:val="Normal"/>
    <w:link w:val="CommentTextChar"/>
    <w:uiPriority w:val="99"/>
    <w:semiHidden/>
    <w:unhideWhenUsed/>
    <w:rsid w:val="004A5CBE"/>
    <w:pPr>
      <w:spacing w:line="240" w:lineRule="auto"/>
    </w:pPr>
    <w:rPr>
      <w:sz w:val="20"/>
      <w:szCs w:val="20"/>
    </w:rPr>
  </w:style>
  <w:style w:type="character" w:customStyle="1" w:styleId="CommentTextChar">
    <w:name w:val="Comment Text Char"/>
    <w:basedOn w:val="DefaultParagraphFont"/>
    <w:link w:val="CommentText"/>
    <w:uiPriority w:val="99"/>
    <w:semiHidden/>
    <w:rsid w:val="004A5CBE"/>
    <w:rPr>
      <w:sz w:val="20"/>
      <w:szCs w:val="20"/>
    </w:rPr>
  </w:style>
  <w:style w:type="paragraph" w:styleId="CommentSubject">
    <w:name w:val="annotation subject"/>
    <w:basedOn w:val="CommentText"/>
    <w:next w:val="CommentText"/>
    <w:link w:val="CommentSubjectChar"/>
    <w:uiPriority w:val="99"/>
    <w:semiHidden/>
    <w:unhideWhenUsed/>
    <w:rsid w:val="004A5CBE"/>
    <w:rPr>
      <w:b/>
      <w:bCs/>
    </w:rPr>
  </w:style>
  <w:style w:type="character" w:customStyle="1" w:styleId="CommentSubjectChar">
    <w:name w:val="Comment Subject Char"/>
    <w:basedOn w:val="CommentTextChar"/>
    <w:link w:val="CommentSubject"/>
    <w:uiPriority w:val="99"/>
    <w:semiHidden/>
    <w:rsid w:val="004A5CB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3745020">
      <w:bodyDiv w:val="1"/>
      <w:marLeft w:val="0"/>
      <w:marRight w:val="0"/>
      <w:marTop w:val="0"/>
      <w:marBottom w:val="0"/>
      <w:divBdr>
        <w:top w:val="none" w:sz="0" w:space="0" w:color="auto"/>
        <w:left w:val="none" w:sz="0" w:space="0" w:color="auto"/>
        <w:bottom w:val="none" w:sz="0" w:space="0" w:color="auto"/>
        <w:right w:val="none" w:sz="0" w:space="0" w:color="auto"/>
      </w:divBdr>
      <w:divsChild>
        <w:div w:id="2135635554">
          <w:marLeft w:val="0"/>
          <w:marRight w:val="0"/>
          <w:marTop w:val="0"/>
          <w:marBottom w:val="0"/>
          <w:divBdr>
            <w:top w:val="none" w:sz="0" w:space="0" w:color="auto"/>
            <w:left w:val="none" w:sz="0" w:space="0" w:color="auto"/>
            <w:bottom w:val="none" w:sz="0" w:space="0" w:color="auto"/>
            <w:right w:val="none" w:sz="0" w:space="0" w:color="auto"/>
          </w:divBdr>
          <w:divsChild>
            <w:div w:id="797718683">
              <w:marLeft w:val="0"/>
              <w:marRight w:val="0"/>
              <w:marTop w:val="0"/>
              <w:marBottom w:val="0"/>
              <w:divBdr>
                <w:top w:val="none" w:sz="0" w:space="0" w:color="auto"/>
                <w:left w:val="none" w:sz="0" w:space="0" w:color="auto"/>
                <w:bottom w:val="none" w:sz="0" w:space="0" w:color="auto"/>
                <w:right w:val="none" w:sz="0" w:space="0" w:color="auto"/>
              </w:divBdr>
              <w:divsChild>
                <w:div w:id="870804840">
                  <w:marLeft w:val="0"/>
                  <w:marRight w:val="0"/>
                  <w:marTop w:val="0"/>
                  <w:marBottom w:val="0"/>
                  <w:divBdr>
                    <w:top w:val="none" w:sz="0" w:space="0" w:color="auto"/>
                    <w:left w:val="none" w:sz="0" w:space="0" w:color="auto"/>
                    <w:bottom w:val="none" w:sz="0" w:space="0" w:color="auto"/>
                    <w:right w:val="none" w:sz="0" w:space="0" w:color="auto"/>
                  </w:divBdr>
                  <w:divsChild>
                    <w:div w:id="27798255">
                      <w:marLeft w:val="0"/>
                      <w:marRight w:val="0"/>
                      <w:marTop w:val="0"/>
                      <w:marBottom w:val="0"/>
                      <w:divBdr>
                        <w:top w:val="none" w:sz="0" w:space="0" w:color="auto"/>
                        <w:left w:val="none" w:sz="0" w:space="0" w:color="auto"/>
                        <w:bottom w:val="none" w:sz="0" w:space="0" w:color="auto"/>
                        <w:right w:val="none" w:sz="0" w:space="0" w:color="auto"/>
                      </w:divBdr>
                      <w:divsChild>
                        <w:div w:id="1403064269">
                          <w:marLeft w:val="0"/>
                          <w:marRight w:val="0"/>
                          <w:marTop w:val="0"/>
                          <w:marBottom w:val="0"/>
                          <w:divBdr>
                            <w:top w:val="none" w:sz="0" w:space="0" w:color="auto"/>
                            <w:left w:val="none" w:sz="0" w:space="0" w:color="auto"/>
                            <w:bottom w:val="none" w:sz="0" w:space="0" w:color="auto"/>
                            <w:right w:val="none" w:sz="0" w:space="0" w:color="auto"/>
                          </w:divBdr>
                          <w:divsChild>
                            <w:div w:id="116216272">
                              <w:marLeft w:val="0"/>
                              <w:marRight w:val="0"/>
                              <w:marTop w:val="0"/>
                              <w:marBottom w:val="0"/>
                              <w:divBdr>
                                <w:top w:val="none" w:sz="0" w:space="0" w:color="auto"/>
                                <w:left w:val="none" w:sz="0" w:space="0" w:color="auto"/>
                                <w:bottom w:val="none" w:sz="0" w:space="0" w:color="auto"/>
                                <w:right w:val="none" w:sz="0" w:space="0" w:color="auto"/>
                              </w:divBdr>
                              <w:divsChild>
                                <w:div w:id="1966421268">
                                  <w:marLeft w:val="0"/>
                                  <w:marRight w:val="0"/>
                                  <w:marTop w:val="0"/>
                                  <w:marBottom w:val="0"/>
                                  <w:divBdr>
                                    <w:top w:val="none" w:sz="0" w:space="0" w:color="auto"/>
                                    <w:left w:val="none" w:sz="0" w:space="0" w:color="auto"/>
                                    <w:bottom w:val="none" w:sz="0" w:space="0" w:color="auto"/>
                                    <w:right w:val="none" w:sz="0" w:space="0" w:color="auto"/>
                                  </w:divBdr>
                                  <w:divsChild>
                                    <w:div w:id="265430211">
                                      <w:marLeft w:val="0"/>
                                      <w:marRight w:val="0"/>
                                      <w:marTop w:val="0"/>
                                      <w:marBottom w:val="0"/>
                                      <w:divBdr>
                                        <w:top w:val="none" w:sz="0" w:space="0" w:color="auto"/>
                                        <w:left w:val="none" w:sz="0" w:space="0" w:color="auto"/>
                                        <w:bottom w:val="none" w:sz="0" w:space="0" w:color="auto"/>
                                        <w:right w:val="none" w:sz="0" w:space="0" w:color="auto"/>
                                      </w:divBdr>
                                    </w:div>
                                    <w:div w:id="2030793807">
                                      <w:marLeft w:val="0"/>
                                      <w:marRight w:val="0"/>
                                      <w:marTop w:val="0"/>
                                      <w:marBottom w:val="0"/>
                                      <w:divBdr>
                                        <w:top w:val="none" w:sz="0" w:space="0" w:color="auto"/>
                                        <w:left w:val="none" w:sz="0" w:space="0" w:color="auto"/>
                                        <w:bottom w:val="none" w:sz="0" w:space="0" w:color="auto"/>
                                        <w:right w:val="none" w:sz="0" w:space="0" w:color="auto"/>
                                      </w:divBdr>
                                      <w:divsChild>
                                        <w:div w:id="1238202766">
                                          <w:marLeft w:val="0"/>
                                          <w:marRight w:val="0"/>
                                          <w:marTop w:val="0"/>
                                          <w:marBottom w:val="0"/>
                                          <w:divBdr>
                                            <w:top w:val="none" w:sz="0" w:space="0" w:color="auto"/>
                                            <w:left w:val="none" w:sz="0" w:space="0" w:color="auto"/>
                                            <w:bottom w:val="none" w:sz="0" w:space="0" w:color="auto"/>
                                            <w:right w:val="none" w:sz="0" w:space="0" w:color="auto"/>
                                          </w:divBdr>
                                          <w:divsChild>
                                            <w:div w:id="1300837229">
                                              <w:marLeft w:val="0"/>
                                              <w:marRight w:val="0"/>
                                              <w:marTop w:val="0"/>
                                              <w:marBottom w:val="0"/>
                                              <w:divBdr>
                                                <w:top w:val="none" w:sz="0" w:space="0" w:color="auto"/>
                                                <w:left w:val="none" w:sz="0" w:space="0" w:color="auto"/>
                                                <w:bottom w:val="none" w:sz="0" w:space="0" w:color="auto"/>
                                                <w:right w:val="none" w:sz="0" w:space="0" w:color="auto"/>
                                              </w:divBdr>
                                              <w:divsChild>
                                                <w:div w:id="1846631581">
                                                  <w:marLeft w:val="0"/>
                                                  <w:marRight w:val="0"/>
                                                  <w:marTop w:val="0"/>
                                                  <w:marBottom w:val="0"/>
                                                  <w:divBdr>
                                                    <w:top w:val="none" w:sz="0" w:space="0" w:color="auto"/>
                                                    <w:left w:val="none" w:sz="0" w:space="0" w:color="auto"/>
                                                    <w:bottom w:val="none" w:sz="0" w:space="0" w:color="auto"/>
                                                    <w:right w:val="none" w:sz="0" w:space="0" w:color="auto"/>
                                                  </w:divBdr>
                                                  <w:divsChild>
                                                    <w:div w:id="354501129">
                                                      <w:marLeft w:val="0"/>
                                                      <w:marRight w:val="0"/>
                                                      <w:marTop w:val="0"/>
                                                      <w:marBottom w:val="0"/>
                                                      <w:divBdr>
                                                        <w:top w:val="none" w:sz="0" w:space="0" w:color="auto"/>
                                                        <w:left w:val="none" w:sz="0" w:space="0" w:color="auto"/>
                                                        <w:bottom w:val="none" w:sz="0" w:space="0" w:color="auto"/>
                                                        <w:right w:val="none" w:sz="0" w:space="0" w:color="auto"/>
                                                      </w:divBdr>
                                                      <w:divsChild>
                                                        <w:div w:id="1753773502">
                                                          <w:marLeft w:val="0"/>
                                                          <w:marRight w:val="0"/>
                                                          <w:marTop w:val="0"/>
                                                          <w:marBottom w:val="0"/>
                                                          <w:divBdr>
                                                            <w:top w:val="none" w:sz="0" w:space="0" w:color="auto"/>
                                                            <w:left w:val="none" w:sz="0" w:space="0" w:color="auto"/>
                                                            <w:bottom w:val="none" w:sz="0" w:space="0" w:color="auto"/>
                                                            <w:right w:val="none" w:sz="0" w:space="0" w:color="auto"/>
                                                          </w:divBdr>
                                                          <w:divsChild>
                                                            <w:div w:id="334498152">
                                                              <w:marLeft w:val="0"/>
                                                              <w:marRight w:val="0"/>
                                                              <w:marTop w:val="0"/>
                                                              <w:marBottom w:val="0"/>
                                                              <w:divBdr>
                                                                <w:top w:val="none" w:sz="0" w:space="0" w:color="auto"/>
                                                                <w:left w:val="none" w:sz="0" w:space="0" w:color="auto"/>
                                                                <w:bottom w:val="none" w:sz="0" w:space="0" w:color="auto"/>
                                                                <w:right w:val="none" w:sz="0" w:space="0" w:color="auto"/>
                                                              </w:divBdr>
                                                              <w:divsChild>
                                                                <w:div w:id="1456556157">
                                                                  <w:marLeft w:val="0"/>
                                                                  <w:marRight w:val="0"/>
                                                                  <w:marTop w:val="0"/>
                                                                  <w:marBottom w:val="0"/>
                                                                  <w:divBdr>
                                                                    <w:top w:val="none" w:sz="0" w:space="0" w:color="auto"/>
                                                                    <w:left w:val="none" w:sz="0" w:space="0" w:color="auto"/>
                                                                    <w:bottom w:val="none" w:sz="0" w:space="0" w:color="auto"/>
                                                                    <w:right w:val="none" w:sz="0" w:space="0" w:color="auto"/>
                                                                  </w:divBdr>
                                                                  <w:divsChild>
                                                                    <w:div w:id="1795126863">
                                                                      <w:marLeft w:val="0"/>
                                                                      <w:marRight w:val="0"/>
                                                                      <w:marTop w:val="0"/>
                                                                      <w:marBottom w:val="0"/>
                                                                      <w:divBdr>
                                                                        <w:top w:val="none" w:sz="0" w:space="0" w:color="auto"/>
                                                                        <w:left w:val="none" w:sz="0" w:space="0" w:color="auto"/>
                                                                        <w:bottom w:val="none" w:sz="0" w:space="0" w:color="auto"/>
                                                                        <w:right w:val="none" w:sz="0" w:space="0" w:color="auto"/>
                                                                      </w:divBdr>
                                                                      <w:divsChild>
                                                                        <w:div w:id="422998894">
                                                                          <w:marLeft w:val="0"/>
                                                                          <w:marRight w:val="0"/>
                                                                          <w:marTop w:val="0"/>
                                                                          <w:marBottom w:val="0"/>
                                                                          <w:divBdr>
                                                                            <w:top w:val="none" w:sz="0" w:space="0" w:color="auto"/>
                                                                            <w:left w:val="none" w:sz="0" w:space="0" w:color="auto"/>
                                                                            <w:bottom w:val="none" w:sz="0" w:space="0" w:color="auto"/>
                                                                            <w:right w:val="none" w:sz="0" w:space="0" w:color="auto"/>
                                                                          </w:divBdr>
                                                                          <w:divsChild>
                                                                            <w:div w:id="582422868">
                                                                              <w:marLeft w:val="0"/>
                                                                              <w:marRight w:val="0"/>
                                                                              <w:marTop w:val="0"/>
                                                                              <w:marBottom w:val="0"/>
                                                                              <w:divBdr>
                                                                                <w:top w:val="none" w:sz="0" w:space="0" w:color="auto"/>
                                                                                <w:left w:val="none" w:sz="0" w:space="0" w:color="auto"/>
                                                                                <w:bottom w:val="none" w:sz="0" w:space="0" w:color="auto"/>
                                                                                <w:right w:val="none" w:sz="0" w:space="0" w:color="auto"/>
                                                                              </w:divBdr>
                                                                              <w:divsChild>
                                                                                <w:div w:id="1773740130">
                                                                                  <w:marLeft w:val="0"/>
                                                                                  <w:marRight w:val="0"/>
                                                                                  <w:marTop w:val="0"/>
                                                                                  <w:marBottom w:val="0"/>
                                                                                  <w:divBdr>
                                                                                    <w:top w:val="none" w:sz="0" w:space="0" w:color="auto"/>
                                                                                    <w:left w:val="none" w:sz="0" w:space="0" w:color="auto"/>
                                                                                    <w:bottom w:val="none" w:sz="0" w:space="0" w:color="auto"/>
                                                                                    <w:right w:val="none" w:sz="0" w:space="0" w:color="auto"/>
                                                                                  </w:divBdr>
                                                                                  <w:divsChild>
                                                                                    <w:div w:id="2115979693">
                                                                                      <w:marLeft w:val="0"/>
                                                                                      <w:marRight w:val="0"/>
                                                                                      <w:marTop w:val="0"/>
                                                                                      <w:marBottom w:val="0"/>
                                                                                      <w:divBdr>
                                                                                        <w:top w:val="none" w:sz="0" w:space="0" w:color="auto"/>
                                                                                        <w:left w:val="none" w:sz="0" w:space="0" w:color="auto"/>
                                                                                        <w:bottom w:val="none" w:sz="0" w:space="0" w:color="auto"/>
                                                                                        <w:right w:val="none" w:sz="0" w:space="0" w:color="auto"/>
                                                                                      </w:divBdr>
                                                                                      <w:divsChild>
                                                                                        <w:div w:id="1489709836">
                                                                                          <w:marLeft w:val="0"/>
                                                                                          <w:marRight w:val="0"/>
                                                                                          <w:marTop w:val="0"/>
                                                                                          <w:marBottom w:val="0"/>
                                                                                          <w:divBdr>
                                                                                            <w:top w:val="none" w:sz="0" w:space="0" w:color="auto"/>
                                                                                            <w:left w:val="none" w:sz="0" w:space="0" w:color="auto"/>
                                                                                            <w:bottom w:val="none" w:sz="0" w:space="0" w:color="auto"/>
                                                                                            <w:right w:val="none" w:sz="0" w:space="0" w:color="auto"/>
                                                                                          </w:divBdr>
                                                                                          <w:divsChild>
                                                                                            <w:div w:id="150354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10BE87-E559-4BA3-ABCC-DB1DA85040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9447</Words>
  <Characters>53848</Characters>
  <Application>Microsoft Office Word</Application>
  <DocSecurity>0</DocSecurity>
  <Lines>448</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 Martin</dc:creator>
  <cp:lastModifiedBy>Phil Martin</cp:lastModifiedBy>
  <cp:revision>2</cp:revision>
  <dcterms:created xsi:type="dcterms:W3CDTF">2015-05-14T15:50:00Z</dcterms:created>
  <dcterms:modified xsi:type="dcterms:W3CDTF">2015-05-14T15:50:00Z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philip.martin.1981@gmail.com@www.mendeley.com</vt:lpwstr>
  </property>
  <property fmtid="{D5CDD505-2E9C-101B-9397-08002B2CF9AE}" pid="4" name="Mendeley Citation Style_1">
    <vt:lpwstr>http://csl.mendeley.com/styles/4604571/british-ecological-society</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http://csl.mendeley.com/styles/4604571/british-ecological-society</vt:lpwstr>
  </property>
  <property fmtid="{D5CDD505-2E9C-101B-9397-08002B2CF9AE}" pid="10" name="Mendeley Recent Style Name 2_1">
    <vt:lpwstr>British Ecological Society - Philip Martin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http://csl.mendeley.com/styles/4604571/elsevier-harvard</vt:lpwstr>
  </property>
  <property fmtid="{D5CDD505-2E9C-101B-9397-08002B2CF9AE}" pid="14" name="Mendeley Recent Style Name 4_1">
    <vt:lpwstr>Elsevier Harvard (with titles) - Philip Martin</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