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A7669F">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210A49" w:rsidRPr="00E94C26" w:rsidRDefault="00210A49" w:rsidP="00A7669F">
      <w:pPr>
        <w:spacing w:line="360" w:lineRule="auto"/>
        <w:contextualSpacing/>
        <w:rPr>
          <w:rFonts w:ascii="Arial" w:hAnsi="Arial" w:cs="Arial"/>
        </w:rPr>
      </w:pPr>
    </w:p>
    <w:p w:rsidR="00210A49" w:rsidRDefault="00210A49" w:rsidP="00A7669F">
      <w:pPr>
        <w:spacing w:line="360" w:lineRule="auto"/>
        <w:contextualSpacing/>
        <w:rPr>
          <w:rFonts w:ascii="Arial" w:hAnsi="Arial" w:cs="Arial"/>
          <w:b/>
        </w:rPr>
      </w:pPr>
      <w:r w:rsidRPr="00E94C26">
        <w:rPr>
          <w:rFonts w:ascii="Arial" w:hAnsi="Arial" w:cs="Arial"/>
          <w:b/>
        </w:rPr>
        <w:t>Introduction</w:t>
      </w:r>
    </w:p>
    <w:p w:rsidR="00654F32" w:rsidRDefault="00654F32" w:rsidP="00A7669F">
      <w:pPr>
        <w:pStyle w:val="ListParagraph"/>
        <w:numPr>
          <w:ilvl w:val="0"/>
          <w:numId w:val="8"/>
        </w:numPr>
        <w:spacing w:line="360" w:lineRule="auto"/>
        <w:rPr>
          <w:rFonts w:ascii="Arial" w:hAnsi="Arial" w:cs="Arial"/>
        </w:rPr>
      </w:pPr>
      <w:r w:rsidRPr="00654F32">
        <w:rPr>
          <w:rFonts w:ascii="Arial" w:hAnsi="Arial" w:cs="Arial"/>
        </w:rPr>
        <w:t xml:space="preserve">Mortality </w:t>
      </w:r>
      <w:r>
        <w:rPr>
          <w:rFonts w:ascii="Arial" w:hAnsi="Arial" w:cs="Arial"/>
        </w:rPr>
        <w:t>and recruitment are vital for understanding forest dynamics and recent studies have suggested alteration of both</w:t>
      </w:r>
    </w:p>
    <w:p w:rsidR="00F75EED" w:rsidRPr="00F75EED" w:rsidRDefault="000547AC" w:rsidP="00A7669F">
      <w:pPr>
        <w:spacing w:line="360" w:lineRule="auto"/>
        <w:ind w:left="360"/>
        <w:contextualSpacing/>
        <w:rPr>
          <w:rFonts w:ascii="Arial" w:hAnsi="Arial" w:cs="Arial"/>
        </w:rPr>
      </w:pPr>
      <w:r>
        <w:rPr>
          <w:rFonts w:ascii="Arial" w:hAnsi="Arial" w:cs="Arial"/>
        </w:rPr>
        <w:t>An understanding of what influences t</w:t>
      </w:r>
      <w:r w:rsidR="00F75EED" w:rsidRPr="00F75EED">
        <w:rPr>
          <w:rFonts w:ascii="Arial" w:hAnsi="Arial" w:cs="Arial"/>
        </w:rPr>
        <w:t xml:space="preserve">ree mortality and recruitment </w:t>
      </w:r>
      <w:r>
        <w:rPr>
          <w:rFonts w:ascii="Arial" w:hAnsi="Arial" w:cs="Arial"/>
        </w:rPr>
        <w:t>is</w:t>
      </w:r>
      <w:r w:rsidR="00F75EED" w:rsidRPr="00F75EED">
        <w:rPr>
          <w:rFonts w:ascii="Arial" w:hAnsi="Arial" w:cs="Arial"/>
        </w:rPr>
        <w:t xml:space="preserve"> </w:t>
      </w:r>
      <w:r>
        <w:rPr>
          <w:rFonts w:ascii="Arial" w:hAnsi="Arial" w:cs="Arial"/>
        </w:rPr>
        <w:t>vital</w:t>
      </w:r>
      <w:r w:rsidR="00F75EED" w:rsidRPr="00F75EED">
        <w:rPr>
          <w:rFonts w:ascii="Arial" w:hAnsi="Arial" w:cs="Arial"/>
        </w:rPr>
        <w:t xml:space="preserve"> to </w:t>
      </w:r>
      <w:r>
        <w:rPr>
          <w:rFonts w:ascii="Arial" w:hAnsi="Arial" w:cs="Arial"/>
        </w:rPr>
        <w:t>understanding</w:t>
      </w:r>
      <w:r w:rsidR="00F75EED">
        <w:rPr>
          <w:rFonts w:ascii="Arial" w:hAnsi="Arial" w:cs="Arial"/>
        </w:rPr>
        <w:t xml:space="preserve"> forest dynamics. </w:t>
      </w:r>
      <w:r w:rsidR="00343C56">
        <w:rPr>
          <w:rFonts w:ascii="Arial" w:hAnsi="Arial" w:cs="Arial"/>
        </w:rPr>
        <w:t>As a result of changes in fire regimes, increases in water deficit</w:t>
      </w:r>
      <w:r>
        <w:rPr>
          <w:rFonts w:ascii="Arial" w:hAnsi="Arial" w:cs="Arial"/>
        </w:rPr>
        <w:t xml:space="preserve"> and nov</w:t>
      </w:r>
      <w:r w:rsidR="00343C56">
        <w:rPr>
          <w:rFonts w:ascii="Arial" w:hAnsi="Arial" w:cs="Arial"/>
        </w:rPr>
        <w:t>el pests and pathogens numerous r</w:t>
      </w:r>
      <w:r w:rsidR="006F5186">
        <w:rPr>
          <w:rFonts w:ascii="Arial" w:hAnsi="Arial" w:cs="Arial"/>
        </w:rPr>
        <w:t xml:space="preserve">ecent </w:t>
      </w:r>
      <w:r w:rsidR="00343C56">
        <w:rPr>
          <w:rFonts w:ascii="Arial" w:hAnsi="Arial" w:cs="Arial"/>
        </w:rPr>
        <w:t>studies</w:t>
      </w:r>
      <w:r w:rsidR="006F5186">
        <w:rPr>
          <w:rFonts w:ascii="Arial" w:hAnsi="Arial" w:cs="Arial"/>
        </w:rPr>
        <w:t xml:space="preserve"> </w:t>
      </w:r>
      <w:r w:rsidR="00343C56">
        <w:rPr>
          <w:rFonts w:ascii="Arial" w:hAnsi="Arial" w:cs="Arial"/>
        </w:rPr>
        <w:t>have shown</w:t>
      </w:r>
      <w:r w:rsidR="006F5186">
        <w:rPr>
          <w:rFonts w:ascii="Arial" w:hAnsi="Arial" w:cs="Arial"/>
        </w:rPr>
        <w:t xml:space="preserve"> increases in </w:t>
      </w:r>
      <w:r w:rsidR="001F0817">
        <w:rPr>
          <w:rFonts w:ascii="Arial" w:hAnsi="Arial" w:cs="Arial"/>
        </w:rPr>
        <w:t>tree</w:t>
      </w:r>
      <w:r w:rsidR="00343C56">
        <w:rPr>
          <w:rFonts w:ascii="Arial" w:hAnsi="Arial" w:cs="Arial"/>
        </w:rPr>
        <w:t xml:space="preserve"> mortality</w:t>
      </w:r>
      <w:r w:rsidR="001F0817">
        <w:rPr>
          <w:rFonts w:ascii="Arial" w:hAnsi="Arial" w:cs="Arial"/>
        </w:rPr>
        <w:t xml:space="preserve"> </w:t>
      </w:r>
      <w:r w:rsidR="006F5186">
        <w:rPr>
          <w:rFonts w:ascii="Arial" w:hAnsi="Arial" w:cs="Arial"/>
        </w:rPr>
        <w:t xml:space="preserve">and </w:t>
      </w:r>
      <w:r w:rsidR="00343C56">
        <w:rPr>
          <w:rFonts w:ascii="Arial" w:hAnsi="Arial" w:cs="Arial"/>
        </w:rPr>
        <w:t>reductions</w:t>
      </w:r>
      <w:r w:rsidR="006F5186">
        <w:rPr>
          <w:rFonts w:ascii="Arial" w:hAnsi="Arial" w:cs="Arial"/>
        </w:rPr>
        <w:t xml:space="preserve"> in recruitment </w:t>
      </w:r>
      <w:r w:rsidR="001F0817">
        <w:rPr>
          <w:rFonts w:ascii="Arial" w:hAnsi="Arial" w:cs="Arial"/>
        </w:rPr>
        <w:fldChar w:fldCharType="begin" w:fldLock="1"/>
      </w:r>
      <w:r w:rsidR="003A2B2F">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"id" : "ITEM-3",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w:instrText>
      </w:r>
      <w:r w:rsidR="003A2B2F" w:rsidRPr="00D644F8">
        <w:rPr>
          <w:rFonts w:ascii="Arial" w:hAnsi="Arial" w:cs="Arial"/>
          <w:lang w:val="es-ES_tradnl"/>
        </w:rPr>
        <w:instrText>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"ITEM-3",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"(van Mantgem &lt;i&gt;et al.&lt;/i&gt; 2009; Peng &lt;i&gt;et al.&lt;/i&gt; 2011; Mcintyre &lt;i&gt;et al.&lt;/i&gt; 2014)", "plainTextFormattedCitation" : "(van Mantgem et al. 2009; Peng et al. 2011; Mcintyre et al. 2014)", "previouslyFormattedCitation" : "(van Mantgem &lt;i&gt;et al.&lt;/i&gt; 2009; Peng &lt;i&gt;et al.&lt;/i&gt; 2011; Mcintyre &lt;i&gt;et al.&lt;/i&gt; 2014)" }, "properties" : { "noteIndex" : 0 }, "schema" : "https://github.com/citation-style-language/schema/raw/master/csl-citation.json" }</w:instrText>
      </w:r>
      <w:r w:rsidR="001F0817">
        <w:rPr>
          <w:rFonts w:ascii="Arial" w:hAnsi="Arial" w:cs="Arial"/>
        </w:rPr>
        <w:fldChar w:fldCharType="separate"/>
      </w:r>
      <w:r w:rsidR="00343C56" w:rsidRPr="00343C56">
        <w:rPr>
          <w:rFonts w:ascii="Arial" w:hAnsi="Arial" w:cs="Arial"/>
          <w:noProof/>
          <w:lang w:val="es-ES_tradnl"/>
        </w:rPr>
        <w:t xml:space="preserve">(van Mantgem </w:t>
      </w:r>
      <w:r w:rsidR="00343C56" w:rsidRPr="00343C56">
        <w:rPr>
          <w:rFonts w:ascii="Arial" w:hAnsi="Arial" w:cs="Arial"/>
          <w:i/>
          <w:noProof/>
          <w:lang w:val="es-ES_tradnl"/>
        </w:rPr>
        <w:t>et al.</w:t>
      </w:r>
      <w:r w:rsidR="00343C56" w:rsidRPr="00343C56">
        <w:rPr>
          <w:rFonts w:ascii="Arial" w:hAnsi="Arial" w:cs="Arial"/>
          <w:noProof/>
          <w:lang w:val="es-ES_tradnl"/>
        </w:rPr>
        <w:t xml:space="preserve"> 2009; Peng </w:t>
      </w:r>
      <w:r w:rsidR="00343C56" w:rsidRPr="00343C56">
        <w:rPr>
          <w:rFonts w:ascii="Arial" w:hAnsi="Arial" w:cs="Arial"/>
          <w:i/>
          <w:noProof/>
          <w:lang w:val="es-ES_tradnl"/>
        </w:rPr>
        <w:t>et al.</w:t>
      </w:r>
      <w:r w:rsidR="00343C56" w:rsidRPr="00343C56">
        <w:rPr>
          <w:rFonts w:ascii="Arial" w:hAnsi="Arial" w:cs="Arial"/>
          <w:noProof/>
          <w:lang w:val="es-ES_tradnl"/>
        </w:rPr>
        <w:t xml:space="preserve"> 2011; Mcintyre </w:t>
      </w:r>
      <w:r w:rsidR="00343C56" w:rsidRPr="00343C56">
        <w:rPr>
          <w:rFonts w:ascii="Arial" w:hAnsi="Arial" w:cs="Arial"/>
          <w:i/>
          <w:noProof/>
          <w:lang w:val="es-ES_tradnl"/>
        </w:rPr>
        <w:t>et al.</w:t>
      </w:r>
      <w:r w:rsidR="00343C56" w:rsidRPr="00343C56">
        <w:rPr>
          <w:rFonts w:ascii="Arial" w:hAnsi="Arial" w:cs="Arial"/>
          <w:noProof/>
          <w:lang w:val="es-ES_tradnl"/>
        </w:rPr>
        <w:t xml:space="preserve"> 2014)</w:t>
      </w:r>
      <w:r w:rsidR="001F0817">
        <w:rPr>
          <w:rFonts w:ascii="Arial" w:hAnsi="Arial" w:cs="Arial"/>
        </w:rPr>
        <w:fldChar w:fldCharType="end"/>
      </w:r>
      <w:r w:rsidR="006F5186" w:rsidRPr="00343C56">
        <w:rPr>
          <w:rFonts w:ascii="Arial" w:hAnsi="Arial" w:cs="Arial"/>
          <w:lang w:val="es-ES_tradnl"/>
        </w:rPr>
        <w:t xml:space="preserve">. </w:t>
      </w:r>
      <w:r w:rsidR="00F41B50">
        <w:rPr>
          <w:rFonts w:ascii="Arial" w:hAnsi="Arial" w:cs="Arial"/>
        </w:rPr>
        <w:t xml:space="preserve">In </w:t>
      </w:r>
      <w:r w:rsidR="006F5186">
        <w:rPr>
          <w:rFonts w:ascii="Arial" w:hAnsi="Arial" w:cs="Arial"/>
        </w:rPr>
        <w:t>forests</w:t>
      </w:r>
      <w:r w:rsidR="00F41B50">
        <w:rPr>
          <w:rFonts w:ascii="Arial" w:hAnsi="Arial" w:cs="Arial"/>
        </w:rPr>
        <w:t xml:space="preserve"> where individual species recruitment has not kept </w:t>
      </w:r>
      <w:r w:rsidR="001F0817">
        <w:rPr>
          <w:rFonts w:ascii="Arial" w:hAnsi="Arial" w:cs="Arial"/>
        </w:rPr>
        <w:t xml:space="preserve">pace with mortality, </w:t>
      </w:r>
      <w:r w:rsidR="006F5186">
        <w:rPr>
          <w:rFonts w:ascii="Arial" w:hAnsi="Arial" w:cs="Arial"/>
        </w:rPr>
        <w:t>such as in the Western USA</w:t>
      </w:r>
      <w:r w:rsidR="001F0817">
        <w:rPr>
          <w:rFonts w:ascii="Arial" w:hAnsi="Arial" w:cs="Arial"/>
        </w:rPr>
        <w:t>, this can lead to alteration of forest composition</w:t>
      </w:r>
      <w:r w:rsidR="00343C56">
        <w:rPr>
          <w:rFonts w:ascii="Arial" w:hAnsi="Arial" w:cs="Arial"/>
        </w:rPr>
        <w:t xml:space="preserve">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sidR="00F41B50">
        <w:rPr>
          <w:rFonts w:ascii="Arial" w:hAnsi="Arial" w:cs="Arial"/>
        </w:rPr>
        <w:t xml:space="preserve"> </w:t>
      </w:r>
      <w:r w:rsidR="006F5186">
        <w:rPr>
          <w:rFonts w:ascii="Arial" w:hAnsi="Arial" w:cs="Arial"/>
        </w:rPr>
        <w:t>Where mortality is particularly high</w:t>
      </w:r>
      <w:r w:rsidR="001F0817">
        <w:rPr>
          <w:rFonts w:ascii="Arial" w:hAnsi="Arial" w:cs="Arial"/>
        </w:rPr>
        <w:t>,</w:t>
      </w:r>
      <w:r w:rsidR="006F5186">
        <w:rPr>
          <w:rFonts w:ascii="Arial" w:hAnsi="Arial" w:cs="Arial"/>
        </w:rPr>
        <w:t xml:space="preserve"> as seen in </w:t>
      </w:r>
      <w:r w:rsidR="001F0817">
        <w:rPr>
          <w:rFonts w:ascii="Arial" w:hAnsi="Arial" w:cs="Arial"/>
        </w:rPr>
        <w:t>Eastern Amazonian forests where repeated fires have taken place</w:t>
      </w:r>
      <w:r w:rsidR="00343C56">
        <w:rPr>
          <w:rFonts w:ascii="Arial" w:hAnsi="Arial" w:cs="Arial"/>
        </w:rPr>
        <w:t>, this can result in shifts to relatively treeless states</w:t>
      </w:r>
      <w:r w:rsidR="001F0817">
        <w:rPr>
          <w:rFonts w:ascii="Arial" w:hAnsi="Arial" w:cs="Arial"/>
        </w:rPr>
        <w:t xml:space="preserve"> </w:t>
      </w:r>
      <w:r w:rsidR="001F0817">
        <w:rPr>
          <w:rFonts w:ascii="Arial" w:hAnsi="Arial" w:cs="Arial"/>
        </w:rPr>
        <w:fldChar w:fldCharType="begin" w:fldLock="1"/>
      </w:r>
      <w:r w:rsidR="005915D6">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343C56" w:rsidRPr="00343C56">
        <w:rPr>
          <w:rFonts w:ascii="Arial" w:hAnsi="Arial" w:cs="Arial"/>
          <w:noProof/>
        </w:rPr>
        <w:t xml:space="preserve">(Barlow &amp; Peres 2008; Brando </w:t>
      </w:r>
      <w:r w:rsidR="00343C56" w:rsidRPr="00343C56">
        <w:rPr>
          <w:rFonts w:ascii="Arial" w:hAnsi="Arial" w:cs="Arial"/>
          <w:i/>
          <w:noProof/>
        </w:rPr>
        <w:t>et al.</w:t>
      </w:r>
      <w:r w:rsidR="00343C56" w:rsidRPr="00343C56">
        <w:rPr>
          <w:rFonts w:ascii="Arial" w:hAnsi="Arial" w:cs="Arial"/>
          <w:noProof/>
        </w:rPr>
        <w:t xml:space="preserve"> 2014)</w:t>
      </w:r>
      <w:r w:rsidR="001F0817">
        <w:rPr>
          <w:rFonts w:ascii="Arial" w:hAnsi="Arial" w:cs="Arial"/>
        </w:rPr>
        <w:fldChar w:fldCharType="end"/>
      </w:r>
      <w:r w:rsidR="00F41B50">
        <w:rPr>
          <w:rFonts w:ascii="Arial" w:hAnsi="Arial" w:cs="Arial"/>
        </w:rPr>
        <w:t xml:space="preserve">. </w:t>
      </w:r>
      <w:r w:rsidR="006F5186">
        <w:rPr>
          <w:rFonts w:ascii="Arial" w:hAnsi="Arial" w:cs="Arial"/>
        </w:rPr>
        <w:t>Any such transition</w:t>
      </w:r>
      <w:r w:rsidR="00343C56">
        <w:rPr>
          <w:rFonts w:ascii="Arial" w:hAnsi="Arial" w:cs="Arial"/>
        </w:rPr>
        <w:t>s</w:t>
      </w:r>
      <w:r w:rsidR="006F5186">
        <w:rPr>
          <w:rFonts w:ascii="Arial" w:hAnsi="Arial" w:cs="Arial"/>
        </w:rPr>
        <w:t xml:space="preserve"> from forest to a non-forest ecosystem would </w:t>
      </w:r>
      <w:r w:rsidR="003B4207">
        <w:rPr>
          <w:rFonts w:ascii="Arial" w:hAnsi="Arial" w:cs="Arial"/>
        </w:rPr>
        <w:t xml:space="preserve">inevitably </w:t>
      </w:r>
      <w:r w:rsidR="006F5186">
        <w:rPr>
          <w:rFonts w:ascii="Arial" w:hAnsi="Arial" w:cs="Arial"/>
        </w:rPr>
        <w:t xml:space="preserve">result </w:t>
      </w:r>
      <w:r w:rsidR="003B4207">
        <w:rPr>
          <w:rFonts w:ascii="Arial" w:hAnsi="Arial" w:cs="Arial"/>
        </w:rPr>
        <w:t>in</w:t>
      </w:r>
      <w:r w:rsidR="006F5186">
        <w:rPr>
          <w:rFonts w:ascii="Arial" w:hAnsi="Arial" w:cs="Arial"/>
        </w:rPr>
        <w:t xml:space="preserve"> large </w:t>
      </w:r>
      <w:r w:rsidR="003B4207">
        <w:rPr>
          <w:rFonts w:ascii="Arial" w:hAnsi="Arial" w:cs="Arial"/>
        </w:rPr>
        <w:t xml:space="preserve">emissions of </w:t>
      </w:r>
      <w:r w:rsidR="006F5186">
        <w:rPr>
          <w:rFonts w:ascii="Arial" w:hAnsi="Arial" w:cs="Arial"/>
        </w:rPr>
        <w:t xml:space="preserve">carbon as well as potentially </w:t>
      </w:r>
      <w:r w:rsidR="003B4207">
        <w:rPr>
          <w:rFonts w:ascii="Arial" w:hAnsi="Arial" w:cs="Arial"/>
        </w:rPr>
        <w:t>negative</w:t>
      </w:r>
      <w:r w:rsidR="006F5186">
        <w:rPr>
          <w:rFonts w:ascii="Arial" w:hAnsi="Arial" w:cs="Arial"/>
        </w:rPr>
        <w:t xml:space="preserve"> </w:t>
      </w:r>
      <w:r w:rsidR="003B4207">
        <w:rPr>
          <w:rFonts w:ascii="Arial" w:hAnsi="Arial" w:cs="Arial"/>
        </w:rPr>
        <w:t>impacts</w:t>
      </w:r>
      <w:r w:rsidR="006F5186">
        <w:rPr>
          <w:rFonts w:ascii="Arial" w:hAnsi="Arial" w:cs="Arial"/>
        </w:rPr>
        <w:t xml:space="preserve"> </w:t>
      </w:r>
      <w:r w:rsidR="003B4207">
        <w:rPr>
          <w:rFonts w:ascii="Arial" w:hAnsi="Arial" w:cs="Arial"/>
        </w:rPr>
        <w:t xml:space="preserve">on </w:t>
      </w:r>
      <w:r w:rsidR="006F5186">
        <w:rPr>
          <w:rFonts w:ascii="Arial" w:hAnsi="Arial" w:cs="Arial"/>
        </w:rPr>
        <w:t>other ecosystem services and conservation priorities.</w:t>
      </w:r>
    </w:p>
    <w:p w:rsidR="00F75EED" w:rsidRDefault="00F75EED" w:rsidP="00A7669F">
      <w:pPr>
        <w:pStyle w:val="ListParagraph"/>
        <w:numPr>
          <w:ilvl w:val="0"/>
          <w:numId w:val="8"/>
        </w:numPr>
        <w:spacing w:line="360" w:lineRule="auto"/>
        <w:rPr>
          <w:rFonts w:ascii="Arial" w:hAnsi="Arial" w:cs="Arial"/>
        </w:rPr>
      </w:pPr>
      <w:r>
        <w:rPr>
          <w:rFonts w:ascii="Arial" w:hAnsi="Arial" w:cs="Arial"/>
        </w:rPr>
        <w:t>Identification of what drives tree recruitment and mortality could aid production of indicators of resilience</w:t>
      </w:r>
    </w:p>
    <w:p w:rsidR="003B4207" w:rsidRDefault="00343C56" w:rsidP="00A7669F">
      <w:pPr>
        <w:spacing w:line="360" w:lineRule="auto"/>
        <w:ind w:left="360"/>
        <w:contextualSpacing/>
        <w:rPr>
          <w:rFonts w:ascii="Arial" w:hAnsi="Arial" w:cs="Arial"/>
        </w:rPr>
      </w:pPr>
      <w:r>
        <w:rPr>
          <w:rFonts w:ascii="Arial" w:hAnsi="Arial" w:cs="Arial"/>
        </w:rPr>
        <w:t xml:space="preserve">While numerous studies </w:t>
      </w:r>
      <w:r w:rsidR="000547AC">
        <w:rPr>
          <w:rFonts w:ascii="Arial" w:hAnsi="Arial" w:cs="Arial"/>
        </w:rPr>
        <w:t>have</w:t>
      </w:r>
      <w:r>
        <w:rPr>
          <w:rFonts w:ascii="Arial" w:hAnsi="Arial" w:cs="Arial"/>
        </w:rPr>
        <w:t xml:space="preserve"> details of increases in mortality over recent decades relatively few </w:t>
      </w:r>
      <w:r w:rsidR="005915D6">
        <w:rPr>
          <w:rFonts w:ascii="Arial" w:hAnsi="Arial" w:cs="Arial"/>
        </w:rPr>
        <w:t xml:space="preserve">identify what factors determine the likelihood of tree death when a transition is occurring. </w:t>
      </w:r>
      <w:r w:rsidR="005915D6">
        <w:rPr>
          <w:rFonts w:ascii="Arial" w:hAnsi="Arial" w:cs="Arial"/>
        </w:rPr>
        <w:fldChar w:fldCharType="begin" w:fldLock="1"/>
      </w:r>
      <w:r w:rsidR="005915D6">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"manualFormatting" : "Coomes et al. (2003)", "plainTextFormattedCitation" : "(Coomes et al. 2003)", "previouslyFormattedCitation" : "(Coomes &lt;i&gt;et al.&lt;/i&gt; 2003)"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Coomes </w:t>
      </w:r>
      <w:r w:rsidR="005915D6" w:rsidRPr="005915D6">
        <w:rPr>
          <w:rFonts w:ascii="Arial" w:hAnsi="Arial" w:cs="Arial"/>
          <w:i/>
          <w:noProof/>
        </w:rPr>
        <w:t>et al.</w:t>
      </w:r>
      <w:r w:rsidR="005915D6" w:rsidRPr="005915D6">
        <w:rPr>
          <w:rFonts w:ascii="Arial" w:hAnsi="Arial" w:cs="Arial"/>
          <w:noProof/>
        </w:rPr>
        <w:t xml:space="preserve"> </w:t>
      </w:r>
      <w:r w:rsidR="005915D6">
        <w:rPr>
          <w:rFonts w:ascii="Arial" w:hAnsi="Arial" w:cs="Arial"/>
          <w:noProof/>
        </w:rPr>
        <w:t>(</w:t>
      </w:r>
      <w:r w:rsidR="005915D6" w:rsidRPr="005915D6">
        <w:rPr>
          <w:rFonts w:ascii="Arial" w:hAnsi="Arial" w:cs="Arial"/>
          <w:noProof/>
        </w:rPr>
        <w:t>2003)</w:t>
      </w:r>
      <w:r w:rsidR="005915D6">
        <w:rPr>
          <w:rFonts w:ascii="Arial" w:hAnsi="Arial" w:cs="Arial"/>
        </w:rPr>
        <w:fldChar w:fldCharType="end"/>
      </w:r>
      <w:r w:rsidR="005915D6">
        <w:rPr>
          <w:rFonts w:ascii="Arial" w:hAnsi="Arial" w:cs="Arial"/>
        </w:rPr>
        <w:t xml:space="preserve"> suggest that in the event of disturbance larger trees are likely to be more prone to death than small or intermediate trees and this </w:t>
      </w:r>
      <w:commentRangeStart w:id="0"/>
      <w:r w:rsidR="005915D6">
        <w:rPr>
          <w:rFonts w:ascii="Arial" w:hAnsi="Arial" w:cs="Arial"/>
        </w:rPr>
        <w:t xml:space="preserve">appears to be true in many cases where transitions to non-forest states are occurring </w:t>
      </w:r>
      <w:r w:rsidR="005915D6">
        <w:rPr>
          <w:rFonts w:ascii="Arial" w:hAnsi="Arial" w:cs="Arial"/>
        </w:rPr>
        <w:fldChar w:fldCharType="begin" w:fldLock="1"/>
      </w:r>
      <w:r w:rsidR="00E55003">
        <w:rPr>
          <w:rFonts w:ascii="Arial" w:hAnsi="Arial" w:cs="Arial"/>
        </w:rPr>
        <w:instrText>ADDIN CSL_CITATION { "citationItems" : [ { "id" : "ITEM-1", "itemData" : { "author" : [ { "dropping-particle" : "", "family" : "Barlow", "given" : "J", "non-dropping-particle" : "", "parse-names" : false, "suffix" : "" }, { "dropping-particle" : "", "family" : "Peres", "given" : "CA", "non-dropping-particle" : "", "parse-names" : false, "suffix" : "" }, { "dropping-particle" : "", "family" : "Lagan", "given" : "BO", "non-dropping-particle" : "", "parse-names" : false, "suffix" : "" }, { "dropping-particle" : "", "family" : "Haugaasen", "given" : "T", "non-dropping-particle" : "", "parse-names" : false, "suffix" : "" } ], "container-title" : "Ecology letters", "id" : "ITEM-1", "issued" : { "date-parts" : [ [ "2002" ] ] }, "page" : "6-8", "title" : "Large tree mortality and the decline of forest biomass following Amazonian wildfires", "type" : "article-journal" }, "uris" : [ "http://www.mendeley.com/documents/?uuid=f5f38b47-59a0-443c-87a0-94ce94cb44ed" ] }, { "id" : "ITEM-2",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"ITEM-2",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"(Barlow &lt;i&gt;et al.&lt;/i&gt; 2002; Mcintyre &lt;i&gt;et al.&lt;/i&gt; 2014)", "plainTextFormattedCitation" : "(Barlow et al. 2002; Mcintyre et al. 2014)", "previouslyFormattedCitation" : "(Barlow &lt;i&gt;et al.&lt;/i&gt; 2002; Mcintyre &lt;i&gt;et al.&lt;/i&gt; 2014)"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(Barlow </w:t>
      </w:r>
      <w:r w:rsidR="005915D6" w:rsidRPr="005915D6">
        <w:rPr>
          <w:rFonts w:ascii="Arial" w:hAnsi="Arial" w:cs="Arial"/>
          <w:i/>
          <w:noProof/>
        </w:rPr>
        <w:t>et al.</w:t>
      </w:r>
      <w:r w:rsidR="005915D6" w:rsidRPr="005915D6">
        <w:rPr>
          <w:rFonts w:ascii="Arial" w:hAnsi="Arial" w:cs="Arial"/>
          <w:noProof/>
        </w:rPr>
        <w:t xml:space="preserve"> 2002; Mcintyre </w:t>
      </w:r>
      <w:r w:rsidR="005915D6" w:rsidRPr="005915D6">
        <w:rPr>
          <w:rFonts w:ascii="Arial" w:hAnsi="Arial" w:cs="Arial"/>
          <w:i/>
          <w:noProof/>
        </w:rPr>
        <w:t>et al.</w:t>
      </w:r>
      <w:r w:rsidR="005915D6" w:rsidRPr="005915D6">
        <w:rPr>
          <w:rFonts w:ascii="Arial" w:hAnsi="Arial" w:cs="Arial"/>
          <w:noProof/>
        </w:rPr>
        <w:t xml:space="preserve"> 2014)</w:t>
      </w:r>
      <w:r w:rsidR="005915D6">
        <w:rPr>
          <w:rFonts w:ascii="Arial" w:hAnsi="Arial" w:cs="Arial"/>
        </w:rPr>
        <w:fldChar w:fldCharType="end"/>
      </w:r>
      <w:r w:rsidR="004A5CBE">
        <w:rPr>
          <w:rFonts w:ascii="Arial" w:hAnsi="Arial" w:cs="Arial"/>
        </w:rPr>
        <w:t>.</w:t>
      </w:r>
      <w:commentRangeEnd w:id="0"/>
      <w:r w:rsidR="004A5CBE">
        <w:rPr>
          <w:rStyle w:val="CommentReference"/>
        </w:rPr>
        <w:commentReference w:id="0"/>
      </w:r>
      <w:r w:rsidR="004A5CBE">
        <w:rPr>
          <w:rFonts w:ascii="Arial" w:hAnsi="Arial" w:cs="Arial"/>
        </w:rPr>
        <w:t xml:space="preserve"> </w:t>
      </w:r>
      <w:r w:rsidR="00E55003">
        <w:rPr>
          <w:rFonts w:ascii="Arial" w:hAnsi="Arial" w:cs="Arial"/>
        </w:rPr>
        <w:t xml:space="preserve">Given that large trees produce large amounts of seeds </w:t>
      </w:r>
      <w:r w:rsidR="00E55003">
        <w:rPr>
          <w:rFonts w:ascii="Arial" w:hAnsi="Arial" w:cs="Arial"/>
        </w:rPr>
        <w:fldChar w:fldCharType="begin" w:fldLock="1"/>
      </w:r>
      <w:r w:rsidR="00B93215">
        <w:rPr>
          <w:rFonts w:ascii="Arial" w:hAnsi="Arial" w:cs="Arial"/>
        </w:rPr>
        <w:instrText>ADDIN CSL_CITATION { "citationItems" : [ { "id" : "ITEM-1", "itemData" : { "ISSN" : "0012-9658", "author" : [ { "dropping-particle" : "", "family" : "Greene", "given" : "D F", "non-dropping-particle" : "", "parse-names" : false, "suffix" : "" }, { "dropping-particle" : "", "family" : "Johnson", "given" : "E A", "non-dropping-particle" : "", "parse-names" : false, "suffix" : "" } ], "container-title" : "Ecology", "id" : "ITEM-1", "issued" : { "date-parts" : [ [ "1994" ] ] }, "page" : "642-647", "publisher" : "JSTOR", "title" : "Estimating the mean annual seed production of trees", "type" : "article-journal" }, "uris" : [ "http://www.mendeley.com/documents/?uuid=53648053-1afe-40db-9908-d44d84e8ff49" ] } ], "mendeley" : { "formattedCitation" : "(Greene &amp; Johnson 1994)", "plainTextFormattedCitation" : "(Greene &amp; Johnson 1994)", "previouslyFormattedCitation" : "(Greene &amp; Johnson 1994)" }, "properties" : { "noteIndex" : 0 }, "schema" : "https://github.com/citation-style-language/schema/raw/master/csl-citation.json" }</w:instrText>
      </w:r>
      <w:r w:rsidR="00E55003">
        <w:rPr>
          <w:rFonts w:ascii="Arial" w:hAnsi="Arial" w:cs="Arial"/>
        </w:rPr>
        <w:fldChar w:fldCharType="separate"/>
      </w:r>
      <w:r w:rsidR="00E55003" w:rsidRPr="00E55003">
        <w:rPr>
          <w:rFonts w:ascii="Arial" w:hAnsi="Arial" w:cs="Arial"/>
          <w:noProof/>
        </w:rPr>
        <w:t>(Greene &amp; Johnson 1994)</w:t>
      </w:r>
      <w:r w:rsidR="00E55003">
        <w:rPr>
          <w:rFonts w:ascii="Arial" w:hAnsi="Arial" w:cs="Arial"/>
        </w:rPr>
        <w:fldChar w:fldCharType="end"/>
      </w:r>
      <w:r w:rsidR="00E55003">
        <w:rPr>
          <w:rFonts w:ascii="Arial" w:hAnsi="Arial" w:cs="Arial"/>
        </w:rPr>
        <w:t xml:space="preserve"> and </w:t>
      </w:r>
      <w:r w:rsidR="004A5CBE">
        <w:rPr>
          <w:rFonts w:ascii="Arial" w:hAnsi="Arial" w:cs="Arial"/>
        </w:rPr>
        <w:t xml:space="preserve">play a vital role in maintaining the microclimatic conditions of forests by limiting </w:t>
      </w:r>
      <w:r w:rsidR="00E55003">
        <w:rPr>
          <w:rFonts w:ascii="Arial" w:hAnsi="Arial" w:cs="Arial"/>
        </w:rPr>
        <w:t xml:space="preserve">the </w:t>
      </w:r>
      <w:r w:rsidR="004A5CBE">
        <w:rPr>
          <w:rFonts w:ascii="Arial" w:hAnsi="Arial" w:cs="Arial"/>
        </w:rPr>
        <w:t xml:space="preserve">light reaching the forest floor their loss may have important consequences for </w:t>
      </w:r>
      <w:r w:rsidR="00E55003">
        <w:rPr>
          <w:rFonts w:ascii="Arial" w:hAnsi="Arial" w:cs="Arial"/>
        </w:rPr>
        <w:t xml:space="preserve">recruitment. In addition to tree size it has been widely seen that </w:t>
      </w:r>
      <w:r w:rsidR="00B93215">
        <w:rPr>
          <w:rFonts w:ascii="Arial" w:hAnsi="Arial" w:cs="Arial"/>
        </w:rPr>
        <w:t xml:space="preserve">slow growing trees tend to have increased risk of mortality. This observation may be particularly useful in the context of forests at risk of transitions to non-forest states since it may serve as an early warning indicator of low resilience </w:t>
      </w:r>
      <w:r w:rsidR="00B93215">
        <w:rPr>
          <w:rFonts w:ascii="Arial" w:hAnsi="Arial" w:cs="Arial"/>
        </w:rPr>
        <w:fldChar w:fldCharType="begin" w:fldLock="1"/>
      </w:r>
      <w:r w:rsidR="009578E6">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00B93215">
        <w:rPr>
          <w:rFonts w:ascii="Arial" w:hAnsi="Arial" w:cs="Arial"/>
        </w:rPr>
        <w:fldChar w:fldCharType="separate"/>
      </w:r>
      <w:r w:rsidR="00B93215" w:rsidRPr="00B93215">
        <w:rPr>
          <w:rFonts w:ascii="Arial" w:hAnsi="Arial" w:cs="Arial"/>
          <w:noProof/>
        </w:rPr>
        <w:t xml:space="preserve">(Camarero </w:t>
      </w:r>
      <w:r w:rsidR="00B93215" w:rsidRPr="00B93215">
        <w:rPr>
          <w:rFonts w:ascii="Arial" w:hAnsi="Arial" w:cs="Arial"/>
          <w:i/>
          <w:noProof/>
        </w:rPr>
        <w:t>et al.</w:t>
      </w:r>
      <w:r w:rsidR="00B93215" w:rsidRPr="00B93215">
        <w:rPr>
          <w:rFonts w:ascii="Arial" w:hAnsi="Arial" w:cs="Arial"/>
          <w:noProof/>
        </w:rPr>
        <w:t xml:space="preserve"> 2015)</w:t>
      </w:r>
      <w:r w:rsidR="00B93215">
        <w:rPr>
          <w:rFonts w:ascii="Arial" w:hAnsi="Arial" w:cs="Arial"/>
        </w:rPr>
        <w:fldChar w:fldCharType="end"/>
      </w:r>
      <w:r w:rsidR="00B93215">
        <w:rPr>
          <w:rFonts w:ascii="Arial" w:hAnsi="Arial" w:cs="Arial"/>
        </w:rPr>
        <w:t>.</w:t>
      </w:r>
    </w:p>
    <w:p w:rsidR="00F75EED" w:rsidRDefault="00F75EED" w:rsidP="00A7669F">
      <w:pPr>
        <w:pStyle w:val="ListParagraph"/>
        <w:numPr>
          <w:ilvl w:val="0"/>
          <w:numId w:val="8"/>
        </w:numPr>
        <w:spacing w:line="360" w:lineRule="auto"/>
        <w:rPr>
          <w:rFonts w:ascii="Arial" w:hAnsi="Arial" w:cs="Arial"/>
        </w:rPr>
      </w:pPr>
      <w:r>
        <w:rPr>
          <w:rFonts w:ascii="Arial" w:hAnsi="Arial" w:cs="Arial"/>
        </w:rPr>
        <w:t>In addition there is a potential in systems that positive feedbacks can drive system transitions</w:t>
      </w:r>
    </w:p>
    <w:p w:rsidR="007B1610" w:rsidRDefault="00B93215" w:rsidP="00A7669F">
      <w:pPr>
        <w:spacing w:line="360" w:lineRule="auto"/>
        <w:contextualSpacing/>
        <w:rPr>
          <w:rFonts w:ascii="Arial" w:hAnsi="Arial" w:cs="Arial"/>
        </w:rPr>
      </w:pPr>
      <w:r>
        <w:rPr>
          <w:rFonts w:ascii="Arial" w:hAnsi="Arial" w:cs="Arial"/>
        </w:rPr>
        <w:lastRenderedPageBreak/>
        <w:t>Positive feedbacks are important for maintaining ecosystems in their state. For example</w:t>
      </w:r>
      <w:r w:rsidR="009578E6">
        <w:rPr>
          <w:rFonts w:ascii="Arial" w:hAnsi="Arial" w:cs="Arial"/>
        </w:rPr>
        <w:t>,</w:t>
      </w:r>
      <w:r>
        <w:rPr>
          <w:rFonts w:ascii="Arial" w:hAnsi="Arial" w:cs="Arial"/>
        </w:rPr>
        <w:t xml:space="preserve"> in forests the presence of a canopy maintains relatively moist, dark conditions on the forest floor</w:t>
      </w:r>
      <w:r w:rsidR="0013537F">
        <w:rPr>
          <w:rFonts w:ascii="Arial" w:hAnsi="Arial" w:cs="Arial"/>
        </w:rPr>
        <w:t xml:space="preserve"> which results in relatively low ground flora biomass. However, </w:t>
      </w:r>
      <w:r w:rsidR="007B1610">
        <w:rPr>
          <w:rFonts w:ascii="Arial" w:hAnsi="Arial" w:cs="Arial"/>
        </w:rPr>
        <w:t xml:space="preserve">unfavourable positive feedbacks </w:t>
      </w:r>
      <w:r w:rsidR="0013537F">
        <w:rPr>
          <w:rFonts w:ascii="Arial" w:hAnsi="Arial" w:cs="Arial"/>
        </w:rPr>
        <w:t xml:space="preserve">ecosystems </w:t>
      </w:r>
      <w:r w:rsidR="007B1610">
        <w:rPr>
          <w:rFonts w:ascii="Arial" w:hAnsi="Arial" w:cs="Arial"/>
        </w:rPr>
        <w:t xml:space="preserve">can cause </w:t>
      </w:r>
      <w:r w:rsidR="0013537F">
        <w:rPr>
          <w:rFonts w:ascii="Arial" w:hAnsi="Arial" w:cs="Arial"/>
        </w:rPr>
        <w:t>transition from one state to another</w:t>
      </w:r>
      <w:r w:rsidR="007B1610">
        <w:rPr>
          <w:rFonts w:ascii="Arial" w:hAnsi="Arial" w:cs="Arial"/>
        </w:rPr>
        <w:t xml:space="preserve"> </w:t>
      </w:r>
      <w:r w:rsidR="009578E6">
        <w:rPr>
          <w:rFonts w:ascii="Arial" w:hAnsi="Arial" w:cs="Arial"/>
        </w:rPr>
        <w:t>such as when forest canopies</w:t>
      </w:r>
      <w:r w:rsidR="007B1610" w:rsidRPr="007B1610">
        <w:rPr>
          <w:rFonts w:ascii="Arial" w:hAnsi="Arial" w:cs="Arial"/>
        </w:rPr>
        <w:t xml:space="preserve"> </w:t>
      </w:r>
      <w:r w:rsidR="009578E6">
        <w:rPr>
          <w:rFonts w:ascii="Arial" w:hAnsi="Arial" w:cs="Arial"/>
        </w:rPr>
        <w:t>are</w:t>
      </w:r>
      <w:r w:rsidR="007B1610" w:rsidRPr="007B1610">
        <w:rPr>
          <w:rFonts w:ascii="Arial" w:hAnsi="Arial" w:cs="Arial"/>
        </w:rPr>
        <w:t xml:space="preserve"> disturbed lead</w:t>
      </w:r>
      <w:r w:rsidR="009578E6">
        <w:rPr>
          <w:rFonts w:ascii="Arial" w:hAnsi="Arial" w:cs="Arial"/>
        </w:rPr>
        <w:t>ing</w:t>
      </w:r>
      <w:r w:rsidR="007B1610" w:rsidRPr="007B1610">
        <w:rPr>
          <w:rFonts w:ascii="Arial" w:hAnsi="Arial" w:cs="Arial"/>
        </w:rPr>
        <w:t xml:space="preserve"> to </w:t>
      </w:r>
      <w:r w:rsidR="009578E6">
        <w:rPr>
          <w:rFonts w:ascii="Arial" w:hAnsi="Arial" w:cs="Arial"/>
        </w:rPr>
        <w:t>reduced</w:t>
      </w:r>
      <w:r w:rsidR="007B1610" w:rsidRPr="007B1610">
        <w:rPr>
          <w:rFonts w:ascii="Arial" w:hAnsi="Arial" w:cs="Arial"/>
        </w:rPr>
        <w:t xml:space="preserve"> seedling recruitment </w:t>
      </w:r>
      <w:r w:rsidR="009578E6">
        <w:rPr>
          <w:rFonts w:ascii="Arial" w:hAnsi="Arial" w:cs="Arial"/>
        </w:rPr>
        <w:t xml:space="preserve">and invasion by grasses and shrubs in Mediterranean climates </w:t>
      </w:r>
      <w:r w:rsidR="009578E6">
        <w:rPr>
          <w:rFonts w:ascii="Arial" w:hAnsi="Arial" w:cs="Arial"/>
        </w:rPr>
        <w:fldChar w:fldCharType="begin" w:fldLock="1"/>
      </w:r>
      <w:r w:rsidR="000547AC">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9578E6">
        <w:rPr>
          <w:rFonts w:ascii="Arial" w:hAnsi="Arial" w:cs="Arial"/>
        </w:rPr>
        <w:fldChar w:fldCharType="separate"/>
      </w:r>
      <w:r w:rsidR="009578E6" w:rsidRPr="009578E6">
        <w:rPr>
          <w:rFonts w:ascii="Arial" w:hAnsi="Arial" w:cs="Arial"/>
          <w:noProof/>
        </w:rPr>
        <w:t xml:space="preserve">(Acácio </w:t>
      </w:r>
      <w:r w:rsidR="009578E6" w:rsidRPr="009578E6">
        <w:rPr>
          <w:rFonts w:ascii="Arial" w:hAnsi="Arial" w:cs="Arial"/>
          <w:i/>
          <w:noProof/>
        </w:rPr>
        <w:t>et al.</w:t>
      </w:r>
      <w:r w:rsidR="009578E6" w:rsidRPr="009578E6">
        <w:rPr>
          <w:rFonts w:ascii="Arial" w:hAnsi="Arial" w:cs="Arial"/>
          <w:noProof/>
        </w:rPr>
        <w:t xml:space="preserve"> 2007)</w:t>
      </w:r>
      <w:r w:rsidR="009578E6">
        <w:rPr>
          <w:rFonts w:ascii="Arial" w:hAnsi="Arial" w:cs="Arial"/>
        </w:rPr>
        <w:fldChar w:fldCharType="end"/>
      </w:r>
      <w:r w:rsidR="009578E6">
        <w:rPr>
          <w:rFonts w:ascii="Arial" w:hAnsi="Arial" w:cs="Arial"/>
        </w:rPr>
        <w:t>. Positive feedback can also occur between different drivers such as when degradation and fragmentation increase</w:t>
      </w:r>
      <w:r w:rsidR="000547AC">
        <w:rPr>
          <w:rFonts w:ascii="Arial" w:hAnsi="Arial" w:cs="Arial"/>
        </w:rPr>
        <w:t xml:space="preserve"> fire risk in forest </w:t>
      </w:r>
      <w:r w:rsidR="000547AC">
        <w:rPr>
          <w:rFonts w:ascii="Arial" w:hAnsi="Arial" w:cs="Arial"/>
        </w:rPr>
        <w:fldChar w:fldCharType="begin" w:fldLock="1"/>
      </w:r>
      <w:r w:rsidR="000547AC">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(Benchimol &amp; Peres 2015)</w:t>
      </w:r>
      <w:r w:rsidR="000547AC">
        <w:rPr>
          <w:rFonts w:ascii="Arial" w:hAnsi="Arial" w:cs="Arial"/>
        </w:rPr>
        <w:fldChar w:fldCharType="end"/>
      </w:r>
      <w:r w:rsidR="000547AC">
        <w:rPr>
          <w:rFonts w:ascii="Arial" w:hAnsi="Arial" w:cs="Arial"/>
        </w:rPr>
        <w:t xml:space="preserve">. However, feedbacks such as these can occur at multiple different scales and thus can be difficult to identify </w:t>
      </w:r>
      <w:r w:rsidR="000547AC">
        <w:rPr>
          <w:rFonts w:ascii="Arial" w:hAnsi="Arial" w:cs="Arial"/>
        </w:rPr>
        <w:fldChar w:fldCharType="begin" w:fldLock="1"/>
      </w:r>
      <w:r w:rsidR="003A2B2F">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 xml:space="preserve">(Reyer </w:t>
      </w:r>
      <w:r w:rsidR="000547AC" w:rsidRPr="000547AC">
        <w:rPr>
          <w:rFonts w:ascii="Arial" w:hAnsi="Arial" w:cs="Arial"/>
          <w:i/>
          <w:noProof/>
        </w:rPr>
        <w:t>et al.</w:t>
      </w:r>
      <w:r w:rsidR="000547AC" w:rsidRPr="000547AC">
        <w:rPr>
          <w:rFonts w:ascii="Arial" w:hAnsi="Arial" w:cs="Arial"/>
          <w:noProof/>
        </w:rPr>
        <w:t xml:space="preserve"> 2015)</w:t>
      </w:r>
      <w:r w:rsidR="000547AC">
        <w:rPr>
          <w:rFonts w:ascii="Arial" w:hAnsi="Arial" w:cs="Arial"/>
        </w:rPr>
        <w:fldChar w:fldCharType="end"/>
      </w:r>
      <w:r w:rsidR="000547AC">
        <w:rPr>
          <w:rFonts w:ascii="Arial" w:hAnsi="Arial" w:cs="Arial"/>
        </w:rPr>
        <w:t>.</w:t>
      </w:r>
    </w:p>
    <w:p w:rsidR="00F75EED" w:rsidRDefault="00F75EED" w:rsidP="00A7669F">
      <w:pPr>
        <w:pStyle w:val="ListParagraph"/>
        <w:numPr>
          <w:ilvl w:val="0"/>
          <w:numId w:val="8"/>
        </w:numPr>
        <w:spacing w:line="360" w:lineRule="auto"/>
        <w:rPr>
          <w:rFonts w:ascii="Arial" w:hAnsi="Arial" w:cs="Arial"/>
        </w:rPr>
      </w:pPr>
      <w:r>
        <w:rPr>
          <w:rFonts w:ascii="Arial" w:hAnsi="Arial" w:cs="Arial"/>
        </w:rPr>
        <w:t>Though there are numerous studies on forests in a state of transition to relatively treeless states few investigate the processes that affect individual trees to cause such changes.</w:t>
      </w:r>
    </w:p>
    <w:p w:rsidR="00E94C26" w:rsidRPr="00E94C26" w:rsidRDefault="002E1A3D" w:rsidP="00A7669F">
      <w:pPr>
        <w:spacing w:line="360" w:lineRule="auto"/>
        <w:contextualSpacing/>
        <w:rPr>
          <w:rFonts w:ascii="Arial" w:hAnsi="Arial" w:cs="Arial"/>
          <w:b/>
        </w:rPr>
      </w:pPr>
      <w:r>
        <w:rPr>
          <w:rFonts w:ascii="Arial" w:hAnsi="Arial" w:cs="Arial"/>
          <w:b/>
        </w:rPr>
        <w:t>Statement of aims</w:t>
      </w:r>
    </w:p>
    <w:p w:rsidR="002E1A3D" w:rsidRDefault="002E1A3D" w:rsidP="00A7669F">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A7669F">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A7669F">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A7669F">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A7669F">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A7669F">
      <w:pPr>
        <w:pStyle w:val="ListParagraph"/>
        <w:numPr>
          <w:ilvl w:val="1"/>
          <w:numId w:val="7"/>
        </w:numPr>
        <w:spacing w:line="360" w:lineRule="auto"/>
        <w:rPr>
          <w:rFonts w:ascii="Arial" w:hAnsi="Arial" w:cs="Arial"/>
        </w:rPr>
      </w:pPr>
    </w:p>
    <w:p w:rsidR="00E94C26" w:rsidRPr="00E94C26" w:rsidRDefault="00E94C26" w:rsidP="00A7669F">
      <w:pPr>
        <w:spacing w:line="360" w:lineRule="auto"/>
        <w:contextualSpacing/>
        <w:rPr>
          <w:rFonts w:ascii="Arial" w:hAnsi="Arial" w:cs="Arial"/>
          <w:b/>
        </w:rPr>
      </w:pPr>
      <w:r w:rsidRPr="00E94C26">
        <w:rPr>
          <w:rFonts w:ascii="Arial" w:hAnsi="Arial" w:cs="Arial"/>
          <w:b/>
        </w:rPr>
        <w:t>Hypotheses</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Recruitment did not keep pace with mortality for any species during any of the survey periods</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A7669F">
      <w:pPr>
        <w:spacing w:line="360" w:lineRule="auto"/>
        <w:contextualSpacing/>
        <w:rPr>
          <w:rFonts w:ascii="Arial" w:hAnsi="Arial" w:cs="Arial"/>
        </w:rPr>
      </w:pPr>
    </w:p>
    <w:p w:rsidR="00210A49" w:rsidRDefault="00210A49" w:rsidP="00A7669F">
      <w:pPr>
        <w:spacing w:line="360" w:lineRule="auto"/>
        <w:contextualSpacing/>
        <w:rPr>
          <w:rFonts w:ascii="Arial" w:hAnsi="Arial" w:cs="Arial"/>
          <w:b/>
        </w:rPr>
      </w:pPr>
      <w:r w:rsidRPr="00E94C26">
        <w:rPr>
          <w:rFonts w:ascii="Arial" w:hAnsi="Arial" w:cs="Arial"/>
          <w:b/>
        </w:rPr>
        <w:lastRenderedPageBreak/>
        <w:t>Methods</w:t>
      </w:r>
    </w:p>
    <w:p w:rsidR="00FA7178" w:rsidRPr="00FA7178" w:rsidRDefault="00FA7178" w:rsidP="00A7669F">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A7669F">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 xml:space="preserve">are also locally abundant. There are large populations of deer, ponies and cattle </w:t>
      </w:r>
      <w:proofErr w:type="spellStart"/>
      <w:r w:rsidR="003A2B2F">
        <w:rPr>
          <w:rFonts w:ascii="Arial" w:hAnsi="Arial" w:cs="Arial"/>
          <w:lang w:eastAsia="en-GB"/>
        </w:rPr>
        <w:t>int</w:t>
      </w:r>
      <w:proofErr w:type="spellEnd"/>
      <w:r w:rsidR="003A2B2F">
        <w:rPr>
          <w:rFonts w:ascii="Arial" w:hAnsi="Arial" w:cs="Arial"/>
          <w:lang w:eastAsia="en-GB"/>
        </w:rPr>
        <w:t xml:space="preserve"> eh New Forest, resulting in high herbivore pressure. The portion of the site which we use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A7669F">
      <w:pPr>
        <w:spacing w:line="360" w:lineRule="auto"/>
        <w:contextualSpacing/>
        <w:rPr>
          <w:rFonts w:ascii="Arial" w:hAnsi="Arial" w:cs="Arial"/>
          <w:lang w:eastAsia="en-GB"/>
        </w:rPr>
      </w:pPr>
    </w:p>
    <w:p w:rsidR="00A7669F" w:rsidRPr="00A7669F" w:rsidRDefault="00A7669F" w:rsidP="00A7669F">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A7669F">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 and surveyed in 1964, 1984, 1988, 1996 and 2014</w:t>
      </w:r>
      <w:r w:rsidRPr="0024119F">
        <w:rPr>
          <w:rFonts w:ascii="Arial" w:hAnsi="Arial" w:cs="Arial"/>
        </w:rPr>
        <w:t xml:space="preserve">. Details of earlier measurements are presented by </w:t>
      </w:r>
      <w:proofErr w:type="spellStart"/>
      <w:r w:rsidRPr="0024119F">
        <w:rPr>
          <w:rFonts w:ascii="Arial" w:hAnsi="Arial" w:cs="Arial"/>
        </w:rPr>
        <w:t>Mountford</w:t>
      </w:r>
      <w:proofErr w:type="spellEnd"/>
      <w:r w:rsidRPr="0024119F">
        <w:rPr>
          <w:rFonts w:ascii="Arial" w:hAnsi="Arial" w:cs="Arial"/>
        </w:rPr>
        <w:t xml:space="preserve"> et al. (1999) 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 Martin et al. (2015)</w:t>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changes in individual trees to be tracked. </w:t>
      </w:r>
    </w:p>
    <w:p w:rsidR="00AC7BB4" w:rsidRDefault="00A7669F" w:rsidP="00A7669F">
      <w:pPr>
        <w:spacing w:line="360" w:lineRule="auto"/>
        <w:contextualSpacing/>
        <w:rPr>
          <w:rFonts w:ascii="Arial" w:hAnsi="Arial" w:cs="Arial"/>
        </w:rPr>
      </w:pPr>
      <w:r>
        <w:rPr>
          <w:rFonts w:ascii="Arial" w:hAnsi="Arial" w:cs="Arial"/>
        </w:rPr>
        <w:tab/>
        <w:t xml:space="preserve">In 2014 </w:t>
      </w:r>
      <w:r w:rsidR="00DC1C53">
        <w:rPr>
          <w:rFonts w:ascii="Arial" w:hAnsi="Arial" w:cs="Arial"/>
        </w:rPr>
        <w:t xml:space="preserve">a number of variables were not recorded in previous surveys were also collected: seedling density, canopy openness, soil </w:t>
      </w:r>
      <w:r w:rsidR="00D644F8">
        <w:rPr>
          <w:rFonts w:ascii="Arial" w:hAnsi="Arial" w:cs="Arial"/>
        </w:rPr>
        <w:t>characteristics</w:t>
      </w:r>
      <w:r w:rsidR="00DC1C53">
        <w:rPr>
          <w:rFonts w:ascii="Arial" w:hAnsi="Arial" w:cs="Arial"/>
        </w:rPr>
        <w:t xml:space="preserve"> and, proxies of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and calculating the mean of these values. </w:t>
      </w:r>
      <w:r w:rsidR="008B325C">
        <w:rPr>
          <w:rFonts w:ascii="Arial" w:hAnsi="Arial" w:cs="Arial"/>
        </w:rPr>
        <w:t>T</w:t>
      </w:r>
      <w:r w:rsidR="00DC1C53">
        <w:rPr>
          <w:rFonts w:ascii="Arial" w:hAnsi="Arial" w:cs="Arial"/>
        </w:rPr>
        <w:t xml:space="preserve">he soil types in each plot were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m within each 20 x 20m plot</w:t>
      </w:r>
      <w:r w:rsidR="008B325C">
        <w:rPr>
          <w:rFonts w:ascii="Arial" w:hAnsi="Arial" w:cs="Arial"/>
        </w:rPr>
        <w:t xml:space="preserve"> using a 5 cm diameter soil corer</w:t>
      </w:r>
      <w:r w:rsidR="00D644F8">
        <w:rPr>
          <w:rFonts w:ascii="Arial" w:hAnsi="Arial" w:cs="Arial"/>
        </w:rPr>
        <w:t xml:space="preserve">. </w:t>
      </w:r>
      <w:r w:rsidR="008B325C">
        <w:rPr>
          <w:rFonts w:ascii="Arial" w:hAnsi="Arial" w:cs="Arial"/>
        </w:rPr>
        <w:t xml:space="preserve">Only the </w:t>
      </w:r>
      <w:proofErr w:type="spellStart"/>
      <w:r w:rsidR="008B325C">
        <w:rPr>
          <w:rFonts w:ascii="Arial" w:hAnsi="Arial" w:cs="Arial"/>
        </w:rPr>
        <w:t>fist</w:t>
      </w:r>
      <w:proofErr w:type="spellEnd"/>
      <w:r w:rsidR="008B325C">
        <w:rPr>
          <w:rFonts w:ascii="Arial" w:hAnsi="Arial" w:cs="Arial"/>
        </w:rPr>
        <w:t xml:space="preserve"> 20 cm of the mineral layer was retained and s</w:t>
      </w:r>
      <w:r w:rsidR="00D644F8">
        <w:rPr>
          <w:rFonts w:ascii="Arial" w:hAnsi="Arial" w:cs="Arial"/>
        </w:rPr>
        <w:t xml:space="preserve">ubsequently soil samples were sent to the Forest Research laboratories where particle size distribution of the soil was determined by suspending 30 g of soil in water which was then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w:t>
      </w:r>
      <w:r w:rsidR="00D644F8">
        <w:rPr>
          <w:rFonts w:ascii="Arial" w:hAnsi="Arial" w:cs="Arial"/>
        </w:rPr>
        <w:lastRenderedPageBreak/>
        <w:t xml:space="preserve">the herbivore abundance a manual dung count was carried out in each sub-plot during which the amount </w:t>
      </w:r>
      <w:r w:rsidR="005F05BA">
        <w:rPr>
          <w:rFonts w:ascii="Arial" w:hAnsi="Arial" w:cs="Arial"/>
        </w:rPr>
        <w:t xml:space="preserve">and </w:t>
      </w:r>
      <w:r w:rsidR="00D644F8">
        <w:rPr>
          <w:rFonts w:ascii="Arial" w:hAnsi="Arial" w:cs="Arial"/>
        </w:rPr>
        <w:t>condition were recorded</w:t>
      </w:r>
      <w:r w:rsidR="005F05BA">
        <w:rPr>
          <w:rFonts w:ascii="Arial" w:hAnsi="Arial" w:cs="Arial"/>
        </w:rPr>
        <w:t xml:space="preserve"> 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5F05BA" w:rsidRPr="00D644F8">
        <w:rPr>
          <w:rFonts w:ascii="Arial" w:hAnsi="Arial" w:cs="Arial"/>
        </w:rPr>
        <w:t>, the individual pellets/ 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5F05BA">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5F05BA">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5F05BA">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A7669F">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A7669F">
      <w:pPr>
        <w:spacing w:line="360" w:lineRule="auto"/>
        <w:contextualSpacing/>
        <w:rPr>
          <w:rFonts w:ascii="Arial" w:hAnsi="Arial" w:cs="Arial"/>
        </w:rPr>
      </w:pPr>
    </w:p>
    <w:p w:rsidR="00AC7BB4" w:rsidRPr="00AC7BB4" w:rsidRDefault="00AC7BB4" w:rsidP="00A7669F">
      <w:pPr>
        <w:spacing w:line="360" w:lineRule="auto"/>
        <w:contextualSpacing/>
        <w:rPr>
          <w:rFonts w:ascii="Arial" w:hAnsi="Arial" w:cs="Arial"/>
          <w:b/>
        </w:rPr>
      </w:pPr>
      <w:r w:rsidRPr="00AC7BB4">
        <w:rPr>
          <w:rFonts w:ascii="Arial" w:hAnsi="Arial" w:cs="Arial"/>
          <w:b/>
        </w:rPr>
        <w:t>Statistical analysis</w:t>
      </w:r>
    </w:p>
    <w:p w:rsidR="00214A19" w:rsidRDefault="00214A19" w:rsidP="00A7669F">
      <w:pPr>
        <w:spacing w:line="360" w:lineRule="auto"/>
        <w:contextualSpacing/>
        <w:rPr>
          <w:rFonts w:ascii="Arial" w:hAnsi="Arial" w:cs="Arial"/>
        </w:rPr>
      </w:pPr>
    </w:p>
    <w:p w:rsidR="00214A19" w:rsidRPr="00214A19" w:rsidRDefault="00214A19" w:rsidP="00A7669F">
      <w:pPr>
        <w:spacing w:line="360" w:lineRule="auto"/>
        <w:contextualSpacing/>
        <w:rPr>
          <w:rFonts w:ascii="Arial" w:hAnsi="Arial" w:cs="Arial"/>
          <w:b/>
        </w:rPr>
      </w:pPr>
      <w:r w:rsidRPr="00214A19">
        <w:rPr>
          <w:rFonts w:ascii="Arial" w:hAnsi="Arial" w:cs="Arial"/>
          <w:b/>
        </w:rPr>
        <w:t>Individual tree mortality</w:t>
      </w:r>
    </w:p>
    <w:p w:rsidR="00214A19" w:rsidRDefault="00F35515" w:rsidP="00E46DB5">
      <w:pPr>
        <w:spacing w:line="360" w:lineRule="auto"/>
        <w:ind w:firstLine="720"/>
        <w:contextualSpacing/>
        <w:rPr>
          <w:rFonts w:ascii="Arial" w:hAnsi="Arial" w:cs="Arial"/>
        </w:rPr>
      </w:pPr>
      <w:r>
        <w:rPr>
          <w:rFonts w:ascii="Arial" w:hAnsi="Arial" w:cs="Arial"/>
        </w:rPr>
        <w:t>Statistical models of individual tree mortality were developed using logistic mixed effects models, which describe the probability that a tree dies in a given period of time.</w:t>
      </w:r>
      <w:r w:rsidR="00E46DB5">
        <w:rPr>
          <w:rFonts w:ascii="Arial" w:hAnsi="Arial" w:cs="Arial"/>
        </w:rPr>
        <w:t xml:space="preserve"> </w:t>
      </w:r>
      <w:r>
        <w:rPr>
          <w:rFonts w:ascii="Arial" w:hAnsi="Arial" w:cs="Arial"/>
        </w:rPr>
        <w:t xml:space="preserve">For this model we tested </w:t>
      </w:r>
      <w:r w:rsidR="00214A19">
        <w:rPr>
          <w:rFonts w:ascii="Arial" w:hAnsi="Arial" w:cs="Arial"/>
        </w:rPr>
        <w:t>largely</w:t>
      </w:r>
      <w:r w:rsidR="00F06791">
        <w:rPr>
          <w:rFonts w:ascii="Arial" w:hAnsi="Arial" w:cs="Arial"/>
        </w:rPr>
        <w:t xml:space="preserve"> </w:t>
      </w:r>
      <w:r>
        <w:rPr>
          <w:rFonts w:ascii="Arial" w:hAnsi="Arial" w:cs="Arial"/>
        </w:rPr>
        <w:t xml:space="preserve">individual-level predictors of mortality. 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xml:space="preserve">. In step 1 we prepared predictors classified into 3 groups: (i) tree size, (ii) tree growth, </w:t>
      </w:r>
      <w:r w:rsidR="00F06791">
        <w:rPr>
          <w:rFonts w:ascii="Arial" w:hAnsi="Arial" w:cs="Arial"/>
        </w:rPr>
        <w:t>(iii) proximity to dead trees. Tree size represented diameter based measurement</w:t>
      </w:r>
      <w:r w:rsidR="00214A19">
        <w:rPr>
          <w:rFonts w:ascii="Arial" w:hAnsi="Arial" w:cs="Arial"/>
        </w:rPr>
        <w:t>s</w:t>
      </w:r>
      <w:r w:rsidR="00F06791">
        <w:rPr>
          <w:rFonts w:ascii="Arial" w:hAnsi="Arial" w:cs="Arial"/>
        </w:rPr>
        <w:t xml:space="preserve"> prior to death, specifically diameter at breast height, basal area and relative size. Tree growth was based on measurements of diameter at two separate time periods prior to death and represented both relative and absolute growth rates. </w:t>
      </w:r>
      <w:r w:rsidR="00F262DF">
        <w:rPr>
          <w:rFonts w:ascii="Arial" w:hAnsi="Arial" w:cs="Arial"/>
        </w:rPr>
        <w:t>Proximity to dead trees related to the prior to death distance of an individual tree to a dead tree or the abundance</w:t>
      </w:r>
      <w:r w:rsidR="00E46DB5">
        <w:rPr>
          <w:rFonts w:ascii="Arial" w:hAnsi="Arial" w:cs="Arial"/>
        </w:rPr>
        <w:t xml:space="preserve"> of dead trees in a 10m buffer.</w:t>
      </w:r>
    </w:p>
    <w:p w:rsidR="00F35515" w:rsidRDefault="00F06791" w:rsidP="00214A19">
      <w:pPr>
        <w:spacing w:line="360" w:lineRule="auto"/>
        <w:ind w:firstLine="720"/>
        <w:contextualSpacing/>
        <w:rPr>
          <w:rFonts w:ascii="Arial" w:hAnsi="Arial" w:cs="Arial"/>
        </w:rPr>
      </w:pPr>
      <w:r>
        <w:rPr>
          <w:rFonts w:ascii="Arial" w:hAnsi="Arial" w:cs="Arial"/>
        </w:rPr>
        <w:t xml:space="preserve">In step 2 we selected </w:t>
      </w:r>
      <w:r w:rsidR="00214A19">
        <w:rPr>
          <w:rFonts w:ascii="Arial" w:hAnsi="Arial" w:cs="Arial"/>
        </w:rPr>
        <w:t>we selected the</w:t>
      </w:r>
      <w:r>
        <w:rPr>
          <w:rFonts w:ascii="Arial" w:hAnsi="Arial" w:cs="Arial"/>
        </w:rPr>
        <w:t xml:space="preserve"> best predictor for each group </w:t>
      </w:r>
      <w:r w:rsidR="00214A19">
        <w:rPr>
          <w:rFonts w:ascii="Arial" w:hAnsi="Arial" w:cs="Arial"/>
        </w:rPr>
        <w:t xml:space="preserve">by choosing the </w:t>
      </w:r>
      <w:proofErr w:type="spellStart"/>
      <w:r>
        <w:rPr>
          <w:rFonts w:ascii="Arial" w:hAnsi="Arial" w:cs="Arial"/>
        </w:rPr>
        <w:t>u</w:t>
      </w:r>
      <w:r w:rsidR="00214A19">
        <w:rPr>
          <w:rFonts w:ascii="Arial" w:hAnsi="Arial" w:cs="Arial"/>
        </w:rPr>
        <w:t>nivariate</w:t>
      </w:r>
      <w:proofErr w:type="spellEnd"/>
      <w:r w:rsidR="00214A19">
        <w:rPr>
          <w:rFonts w:ascii="Arial" w:hAnsi="Arial" w:cs="Arial"/>
        </w:rPr>
        <w:t xml:space="preserve"> logistic mixed effect</w:t>
      </w:r>
      <w:r>
        <w:rPr>
          <w:rFonts w:ascii="Arial" w:hAnsi="Arial" w:cs="Arial"/>
        </w:rPr>
        <w:t xml:space="preserve"> models </w:t>
      </w:r>
      <w:r w:rsidR="00214A19">
        <w:rPr>
          <w:rFonts w:ascii="Arial" w:hAnsi="Arial" w:cs="Arial"/>
        </w:rPr>
        <w:t xml:space="preserve">which had the lowest </w:t>
      </w:r>
      <w:proofErr w:type="spellStart"/>
      <w:r w:rsidR="00214A19">
        <w:rPr>
          <w:rFonts w:ascii="Arial" w:hAnsi="Arial" w:cs="Arial"/>
        </w:rPr>
        <w:t>AICc</w:t>
      </w:r>
      <w:proofErr w:type="spellEnd"/>
      <w:r>
        <w:rPr>
          <w:rFonts w:ascii="Arial" w:hAnsi="Arial" w:cs="Arial"/>
        </w:rPr>
        <w:t xml:space="preserve"> </w:t>
      </w:r>
      <w:r w:rsidR="00214A19">
        <w:rPr>
          <w:rFonts w:ascii="Arial" w:hAnsi="Arial" w:cs="Arial"/>
        </w:rPr>
        <w:fldChar w:fldCharType="begin" w:fldLock="1"/>
      </w:r>
      <w:r w:rsidR="005F05BA">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214A19">
        <w:rPr>
          <w:rFonts w:ascii="Arial" w:hAnsi="Arial" w:cs="Arial"/>
        </w:rPr>
        <w:fldChar w:fldCharType="separate"/>
      </w:r>
      <w:r w:rsidR="00214A19" w:rsidRPr="00214A19">
        <w:rPr>
          <w:rFonts w:ascii="Arial" w:hAnsi="Arial" w:cs="Arial"/>
          <w:noProof/>
        </w:rPr>
        <w:t xml:space="preserve">(Burnham &amp; Anderson 2002; Chao </w:t>
      </w:r>
      <w:r w:rsidR="00214A19" w:rsidRPr="00214A19">
        <w:rPr>
          <w:rFonts w:ascii="Arial" w:hAnsi="Arial" w:cs="Arial"/>
          <w:i/>
          <w:noProof/>
        </w:rPr>
        <w:t>et al.</w:t>
      </w:r>
      <w:r w:rsidR="00214A19" w:rsidRPr="00214A19">
        <w:rPr>
          <w:rFonts w:ascii="Arial" w:hAnsi="Arial" w:cs="Arial"/>
          <w:noProof/>
        </w:rPr>
        <w:t xml:space="preserve"> 2008)</w:t>
      </w:r>
      <w:r w:rsidR="00214A19">
        <w:rPr>
          <w:rFonts w:ascii="Arial" w:hAnsi="Arial" w:cs="Arial"/>
        </w:rPr>
        <w:fldChar w:fldCharType="end"/>
      </w:r>
      <w:r w:rsidR="00E46DB5">
        <w:rPr>
          <w:rFonts w:ascii="Arial" w:hAnsi="Arial" w:cs="Arial"/>
        </w:rPr>
        <w:t xml:space="preserve">. This step reduces </w:t>
      </w:r>
      <w:proofErr w:type="spellStart"/>
      <w:r w:rsidR="00E46DB5">
        <w:rPr>
          <w:rFonts w:ascii="Arial" w:hAnsi="Arial" w:cs="Arial"/>
        </w:rPr>
        <w:t>intercorrelation</w:t>
      </w:r>
      <w:proofErr w:type="spellEnd"/>
      <w:r w:rsidR="00E46DB5">
        <w:rPr>
          <w:rFonts w:ascii="Arial" w:hAnsi="Arial" w:cs="Arial"/>
        </w:rPr>
        <w:t xml:space="preserve"> of variables which can lead to difficulty in interpreting effects. </w:t>
      </w:r>
      <w:r>
        <w:rPr>
          <w:rFonts w:ascii="Arial" w:hAnsi="Arial" w:cs="Arial"/>
        </w:rPr>
        <w:t>In step 3 a full multivariate model was developed using these selected variables. In step 4 model averaging was used to produce parameter estimates usin</w:t>
      </w:r>
      <w:r w:rsidR="00F262DF">
        <w:rPr>
          <w:rFonts w:ascii="Arial" w:hAnsi="Arial" w:cs="Arial"/>
        </w:rPr>
        <w:t>g the most parsimonious models. Each of these steps is described in more detail below.</w:t>
      </w:r>
    </w:p>
    <w:p w:rsidR="00F262DF" w:rsidRDefault="00F262DF" w:rsidP="00E46DB5">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w:t>
      </w:r>
      <w:r w:rsidR="00EC5CC9">
        <w:rPr>
          <w:rFonts w:ascii="Arial" w:eastAsiaTheme="minorEastAsia" w:hAnsi="Arial" w:cs="Arial"/>
        </w:rPr>
        <w:t>a</w:t>
      </w:r>
      <w:r>
        <w:rPr>
          <w:rFonts w:ascii="Arial" w:eastAsiaTheme="minorEastAsia" w:hAnsi="Arial" w:cs="Arial"/>
        </w:rPr>
        <w:t xml:space="preserve">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w:t>
      </w:r>
      <w:r w:rsidR="00EC5CC9">
        <w:rPr>
          <w:rFonts w:ascii="Arial" w:eastAsiaTheme="minorEastAsia" w:hAnsi="Arial" w:cs="Arial"/>
        </w:rPr>
        <w:t xml:space="preserve">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t>
      </w:r>
      <w:r>
        <w:rPr>
          <w:rFonts w:ascii="Arial" w:eastAsiaTheme="minorEastAsia" w:hAnsi="Arial" w:cs="Arial"/>
        </w:rPr>
        <w:t>were included in analyses.</w:t>
      </w:r>
      <w:r w:rsidR="00EC5CC9">
        <w:rPr>
          <w:rFonts w:ascii="Arial" w:eastAsiaTheme="minorEastAsia" w:hAnsi="Arial" w:cs="Arial"/>
        </w:rPr>
        <w:t xml:space="preserve"> Censuses on </w:t>
      </w:r>
      <w:proofErr w:type="gramStart"/>
      <w:r w:rsidR="00EC5CC9">
        <w:rPr>
          <w:rFonts w:ascii="Arial" w:eastAsiaTheme="minorEastAsia" w:hAnsi="Arial" w:cs="Arial"/>
        </w:rPr>
        <w:t>the transect</w:t>
      </w:r>
      <w:proofErr w:type="gramEnd"/>
      <w:r w:rsidR="00EC5CC9">
        <w:rPr>
          <w:rFonts w:ascii="Arial" w:eastAsiaTheme="minorEastAsia" w:hAnsi="Arial" w:cs="Arial"/>
        </w:rPr>
        <w:t xml:space="preserve"> were u</w:t>
      </w:r>
      <w:r w:rsidR="00E46DB5">
        <w:rPr>
          <w:rFonts w:ascii="Arial" w:eastAsiaTheme="minorEastAsia" w:hAnsi="Arial" w:cs="Arial"/>
        </w:rPr>
        <w:t>ndertaken 5 times from 1964-2014</w:t>
      </w:r>
      <w:r w:rsidR="00EC5CC9">
        <w:rPr>
          <w:rFonts w:ascii="Arial" w:eastAsiaTheme="minorEastAsia" w:hAnsi="Arial" w:cs="Arial"/>
        </w:rPr>
        <w:t xml:space="preserve"> with a mean (± SD) census interval period of 12.5 ± 6.7 years</w:t>
      </w:r>
      <w:r w:rsidR="00E46DB5">
        <w:rPr>
          <w:rFonts w:ascii="Arial" w:eastAsiaTheme="minorEastAsia" w:hAnsi="Arial" w:cs="Arial"/>
        </w:rPr>
        <w:t xml:space="preserve"> (range 4-20 years)</w:t>
      </w:r>
      <w:r w:rsidR="00EC5CC9">
        <w:rPr>
          <w:rFonts w:ascii="Arial" w:eastAsiaTheme="minorEastAsia" w:hAnsi="Arial" w:cs="Arial"/>
        </w:rPr>
        <w:t xml:space="preserve">. Since trees used in 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EC5CC9">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EC5CC9">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we selected three non-</w:t>
      </w:r>
      <w:r w:rsidR="00EC5CC9">
        <w:rPr>
          <w:rFonts w:ascii="Arial" w:eastAsiaTheme="minorEastAsia" w:hAnsi="Arial" w:cs="Arial"/>
        </w:rPr>
        <w:lastRenderedPageBreak/>
        <w:t xml:space="preserve">overlapping census periods: 1984-1988, 1988-1996 and 1996-2014 (mean census period 10 ± 5.9 years). </w:t>
      </w:r>
      <w:r w:rsidR="00707775">
        <w:rPr>
          <w:rFonts w:ascii="Arial" w:eastAsiaTheme="minorEastAsia" w:hAnsi="Arial" w:cs="Arial"/>
        </w:rPr>
        <w:t xml:space="preserve">To correct for the variation in census interval </w:t>
      </w:r>
      <w:r w:rsidR="00E46DB5">
        <w:rPr>
          <w:rFonts w:ascii="Arial" w:eastAsiaTheme="minorEastAsia" w:hAnsi="Arial" w:cs="Arial"/>
        </w:rPr>
        <w:t>w</w:t>
      </w:r>
      <w:r w:rsidR="00E46DB5" w:rsidRPr="00E46DB5">
        <w:rPr>
          <w:rFonts w:ascii="Arial" w:eastAsiaTheme="minorEastAsia" w:hAnsi="Arial" w:cs="Arial"/>
        </w:rPr>
        <w:t xml:space="preserve">e used a complementary log-log link with an offset </w:t>
      </w:r>
      <w:r w:rsidR="00E46DB5">
        <w:rPr>
          <w:rFonts w:ascii="Arial" w:eastAsiaTheme="minorEastAsia" w:hAnsi="Arial" w:cs="Arial"/>
        </w:rPr>
        <w:t>equal to the census interval</w:t>
      </w:r>
      <w:r w:rsidR="008B325C">
        <w:rPr>
          <w:rFonts w:ascii="Arial" w:eastAsiaTheme="minorEastAsia" w:hAnsi="Arial" w:cs="Arial"/>
        </w:rPr>
        <w:t xml:space="preserve"> </w:t>
      </w:r>
      <w:r w:rsidR="008B325C">
        <w:rPr>
          <w:rFonts w:ascii="Arial" w:eastAsiaTheme="minorEastAsia" w:hAnsi="Arial" w:cs="Arial"/>
        </w:rPr>
        <w:fldChar w:fldCharType="begin" w:fldLock="1"/>
      </w:r>
      <w:r w:rsidR="008B325C">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sidR="008B325C">
        <w:rPr>
          <w:rFonts w:ascii="Arial" w:eastAsiaTheme="minorEastAsia" w:hAnsi="Arial" w:cs="Arial"/>
        </w:rPr>
        <w:fldChar w:fldCharType="separate"/>
      </w:r>
      <w:r w:rsidR="008B325C" w:rsidRPr="008B325C">
        <w:rPr>
          <w:rFonts w:ascii="Arial" w:eastAsiaTheme="minorEastAsia" w:hAnsi="Arial" w:cs="Arial"/>
          <w:noProof/>
        </w:rPr>
        <w:t xml:space="preserve">(Fortin </w:t>
      </w:r>
      <w:r w:rsidR="008B325C" w:rsidRPr="008B325C">
        <w:rPr>
          <w:rFonts w:ascii="Arial" w:eastAsiaTheme="minorEastAsia" w:hAnsi="Arial" w:cs="Arial"/>
          <w:i/>
          <w:noProof/>
        </w:rPr>
        <w:t>et al.</w:t>
      </w:r>
      <w:r w:rsidR="008B325C" w:rsidRPr="008B325C">
        <w:rPr>
          <w:rFonts w:ascii="Arial" w:eastAsiaTheme="minorEastAsia" w:hAnsi="Arial" w:cs="Arial"/>
          <w:noProof/>
        </w:rPr>
        <w:t xml:space="preserve"> 2008)</w:t>
      </w:r>
      <w:r w:rsidR="008B325C">
        <w:rPr>
          <w:rFonts w:ascii="Arial" w:eastAsiaTheme="minorEastAsia" w:hAnsi="Arial" w:cs="Arial"/>
        </w:rPr>
        <w:fldChar w:fldCharType="end"/>
      </w:r>
      <w:r w:rsidR="00E46DB5" w:rsidRPr="00E46DB5">
        <w:rPr>
          <w:rFonts w:ascii="Arial" w:eastAsiaTheme="minorEastAsia" w:hAnsi="Arial" w:cs="Arial"/>
        </w:rPr>
        <w:t>. Plot ID was used as a random effect to account for repeated sampling of the same plots</w:t>
      </w:r>
      <w:r w:rsidR="008B325C">
        <w:rPr>
          <w:rFonts w:ascii="Arial" w:eastAsiaTheme="minorEastAsia" w:hAnsi="Arial" w:cs="Arial"/>
        </w:rPr>
        <w:t xml:space="preserve"> </w:t>
      </w:r>
      <w:r w:rsidR="008B325C">
        <w:rPr>
          <w:rFonts w:ascii="Arial" w:eastAsiaTheme="minorEastAsia" w:hAnsi="Arial" w:cs="Arial"/>
        </w:rPr>
        <w:fldChar w:fldCharType="begin" w:fldLock="1"/>
      </w:r>
      <w:r w:rsidR="00550B96">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sidR="008B325C">
        <w:rPr>
          <w:rFonts w:ascii="Arial" w:eastAsiaTheme="minorEastAsia" w:hAnsi="Arial" w:cs="Arial"/>
        </w:rPr>
        <w:fldChar w:fldCharType="separate"/>
      </w:r>
      <w:r w:rsidR="008B325C" w:rsidRPr="008B325C">
        <w:rPr>
          <w:rFonts w:ascii="Arial" w:eastAsiaTheme="minorEastAsia" w:hAnsi="Arial" w:cs="Arial"/>
          <w:noProof/>
        </w:rPr>
        <w:t xml:space="preserve">(Fortin </w:t>
      </w:r>
      <w:r w:rsidR="008B325C" w:rsidRPr="008B325C">
        <w:rPr>
          <w:rFonts w:ascii="Arial" w:eastAsiaTheme="minorEastAsia" w:hAnsi="Arial" w:cs="Arial"/>
          <w:i/>
          <w:noProof/>
        </w:rPr>
        <w:t>et al.</w:t>
      </w:r>
      <w:r w:rsidR="008B325C" w:rsidRPr="008B325C">
        <w:rPr>
          <w:rFonts w:ascii="Arial" w:eastAsiaTheme="minorEastAsia" w:hAnsi="Arial" w:cs="Arial"/>
          <w:noProof/>
        </w:rPr>
        <w:t xml:space="preserve"> 2008)</w:t>
      </w:r>
      <w:r w:rsidR="008B325C">
        <w:rPr>
          <w:rFonts w:ascii="Arial" w:eastAsiaTheme="minorEastAsia" w:hAnsi="Arial" w:cs="Arial"/>
        </w:rPr>
        <w:fldChar w:fldCharType="end"/>
      </w:r>
      <w:r w:rsidR="00E46DB5" w:rsidRPr="00E46DB5">
        <w:rPr>
          <w:rFonts w:ascii="Arial" w:eastAsiaTheme="minorEastAsia" w:hAnsi="Arial" w:cs="Arial"/>
        </w:rPr>
        <w:t>.</w:t>
      </w:r>
    </w:p>
    <w:p w:rsidR="00560D45" w:rsidRDefault="00707775" w:rsidP="00E46DB5">
      <w:pPr>
        <w:spacing w:line="360" w:lineRule="auto"/>
        <w:ind w:firstLine="720"/>
        <w:contextualSpacing/>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sidR="00560D45">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w:t>
      </w:r>
      <w:r w:rsidR="00560D45">
        <w:rPr>
          <w:rFonts w:ascii="Arial" w:eastAsiaTheme="minorEastAsia" w:hAnsi="Arial" w:cs="Arial"/>
        </w:rPr>
        <w:t xml:space="preserve">The relative size of tree </w:t>
      </w:r>
      <m:oMath>
        <m:r>
          <w:rPr>
            <w:rFonts w:ascii="Cambria Math" w:eastAsiaTheme="minorEastAsia" w:hAnsi="Cambria Math" w:cs="Arial"/>
          </w:rPr>
          <m:t>i</m:t>
        </m:r>
      </m:oMath>
      <w:r w:rsidR="00560D45">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560D45">
        <w:rPr>
          <w:rFonts w:ascii="Arial" w:eastAsiaTheme="minorEastAsia" w:hAnsi="Arial" w:cs="Arial"/>
        </w:rPr>
        <w:t xml:space="preserve"> given with the equation:</w:t>
      </w:r>
    </w:p>
    <w:p w:rsidR="008C0FB7" w:rsidRDefault="008C0FB7" w:rsidP="00E46DB5">
      <w:pPr>
        <w:spacing w:line="360" w:lineRule="auto"/>
        <w:ind w:firstLine="720"/>
        <w:contextualSpacing/>
        <w:rPr>
          <w:rFonts w:ascii="Arial" w:eastAsiaTheme="minorEastAsia" w:hAnsi="Arial" w:cs="Arial"/>
        </w:rPr>
      </w:pPr>
    </w:p>
    <w:p w:rsidR="00707775" w:rsidRPr="008C0FB7" w:rsidRDefault="00707775"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8C0FB7" w:rsidRPr="00012079" w:rsidRDefault="008C0FB7" w:rsidP="00A7669F">
      <w:pPr>
        <w:spacing w:line="360" w:lineRule="auto"/>
        <w:contextualSpacing/>
        <w:rPr>
          <w:rFonts w:ascii="Arial" w:eastAsiaTheme="minorEastAsia" w:hAnsi="Arial" w:cs="Arial"/>
        </w:rPr>
      </w:pPr>
    </w:p>
    <w:p w:rsidR="00707775" w:rsidRDefault="00560D45" w:rsidP="00A7669F">
      <w:pPr>
        <w:spacing w:line="360" w:lineRule="auto"/>
        <w:contextualSpacing/>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sidR="001F0817">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707775" w:rsidRDefault="00560D45" w:rsidP="00A7669F">
      <w:pPr>
        <w:spacing w:line="360" w:lineRule="auto"/>
        <w:contextualSpacing/>
        <w:rPr>
          <w:rFonts w:ascii="Arial" w:eastAsiaTheme="minorEastAsia" w:hAnsi="Arial" w:cs="Arial"/>
        </w:rPr>
      </w:pPr>
      <w:r>
        <w:rPr>
          <w:rFonts w:ascii="Arial" w:eastAsiaTheme="minorEastAsia" w:hAnsi="Arial" w:cs="Arial"/>
        </w:rPr>
        <w:t xml:space="preserve">Tree growth rate metrics used were: (i) </w:t>
      </w:r>
      <w:r w:rsidR="00EB1B07">
        <w:rPr>
          <w:rFonts w:ascii="Arial" w:eastAsiaTheme="minorEastAsia" w:hAnsi="Arial" w:cs="Arial"/>
        </w:rPr>
        <w:t>Annual diameter growth rate (mm year</w:t>
      </w:r>
      <w:r w:rsidR="00EB1B07">
        <w:rPr>
          <w:rFonts w:ascii="Arial" w:eastAsiaTheme="minorEastAsia" w:hAnsi="Arial" w:cs="Arial"/>
          <w:vertAlign w:val="superscript"/>
        </w:rPr>
        <w:t>-1</w:t>
      </w:r>
      <w:r w:rsidR="00EB1B07">
        <w:rPr>
          <w:rFonts w:ascii="Arial" w:eastAsiaTheme="minorEastAsia" w:hAnsi="Arial" w:cs="Arial"/>
        </w:rPr>
        <w:t>) calculated as:</w:t>
      </w:r>
    </w:p>
    <w:p w:rsidR="00EB1B07" w:rsidRPr="008C0FB7" w:rsidRDefault="00EB1B07"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8C0FB7" w:rsidRPr="00012079" w:rsidRDefault="008C0FB7" w:rsidP="00A7669F">
      <w:pPr>
        <w:spacing w:line="360" w:lineRule="auto"/>
        <w:contextualSpacing/>
        <w:rPr>
          <w:rFonts w:ascii="Arial" w:eastAsiaTheme="minorEastAsia" w:hAnsi="Arial" w:cs="Arial"/>
        </w:rPr>
      </w:pPr>
    </w:p>
    <w:p w:rsidR="00EB1B07" w:rsidRDefault="00EB1B07" w:rsidP="00A7669F">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8C0FB7" w:rsidRDefault="008C0FB7" w:rsidP="00A7669F">
      <w:pPr>
        <w:spacing w:line="360" w:lineRule="auto"/>
        <w:contextualSpacing/>
        <w:rPr>
          <w:rFonts w:ascii="Arial" w:eastAsiaTheme="minorEastAsia" w:hAnsi="Arial" w:cs="Arial"/>
        </w:rPr>
      </w:pPr>
    </w:p>
    <w:p w:rsidR="00EB1B07" w:rsidRPr="008C0FB7" w:rsidRDefault="00EB1B07"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8C0FB7" w:rsidRPr="00012079" w:rsidRDefault="008C0FB7" w:rsidP="00A7669F">
      <w:pPr>
        <w:spacing w:line="360" w:lineRule="auto"/>
        <w:contextualSpacing/>
        <w:rPr>
          <w:rFonts w:ascii="Arial" w:eastAsiaTheme="minorEastAsia" w:hAnsi="Arial" w:cs="Arial"/>
        </w:rPr>
      </w:pPr>
    </w:p>
    <w:p w:rsidR="00EB1B07" w:rsidRDefault="00EB1B07" w:rsidP="00A7669F">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sidR="00012079">
        <w:rPr>
          <w:rFonts w:ascii="Arial" w:eastAsiaTheme="minorEastAsia" w:hAnsi="Arial" w:cs="Arial"/>
          <w:vertAlign w:val="superscript"/>
        </w:rPr>
        <w:t>-1</w:t>
      </w:r>
      <w:r>
        <w:rPr>
          <w:rFonts w:ascii="Arial" w:eastAsiaTheme="minorEastAsia" w:hAnsi="Arial" w:cs="Arial"/>
        </w:rPr>
        <w:t>) calculated as:</w:t>
      </w:r>
    </w:p>
    <w:p w:rsidR="008C0FB7" w:rsidRDefault="008C0FB7" w:rsidP="00A7669F">
      <w:pPr>
        <w:spacing w:line="360" w:lineRule="auto"/>
        <w:contextualSpacing/>
        <w:rPr>
          <w:rFonts w:ascii="Arial" w:eastAsiaTheme="minorEastAsia" w:hAnsi="Arial" w:cs="Arial"/>
        </w:rPr>
      </w:pPr>
    </w:p>
    <w:p w:rsidR="00EB1B07" w:rsidRPr="008C0FB7" w:rsidRDefault="00EB1B07"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8C0FB7" w:rsidRPr="00012079" w:rsidRDefault="008C0FB7" w:rsidP="00A7669F">
      <w:pPr>
        <w:spacing w:line="360" w:lineRule="auto"/>
        <w:contextualSpacing/>
        <w:rPr>
          <w:rFonts w:ascii="Arial" w:eastAsiaTheme="minorEastAsia" w:hAnsi="Arial" w:cs="Arial"/>
        </w:rPr>
      </w:pPr>
    </w:p>
    <w:p w:rsidR="00EB1B07" w:rsidRDefault="00EB1B07" w:rsidP="00A7669F">
      <w:pPr>
        <w:spacing w:line="360" w:lineRule="auto"/>
        <w:contextualSpacing/>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xml:space="preserve">; (iv) relative </w:t>
      </w:r>
      <w:r w:rsidR="00012079">
        <w:rPr>
          <w:rFonts w:ascii="Arial" w:eastAsiaTheme="minorEastAsia" w:hAnsi="Arial" w:cs="Arial"/>
        </w:rPr>
        <w:t>BA growth rate (% BA increase year</w:t>
      </w:r>
      <w:r w:rsidR="00012079">
        <w:rPr>
          <w:rFonts w:ascii="Arial" w:eastAsiaTheme="minorEastAsia" w:hAnsi="Arial" w:cs="Arial"/>
          <w:vertAlign w:val="superscript"/>
        </w:rPr>
        <w:t>-1</w:t>
      </w:r>
      <w:r w:rsidR="00012079">
        <w:rPr>
          <w:rFonts w:ascii="Arial" w:eastAsiaTheme="minorEastAsia" w:hAnsi="Arial" w:cs="Arial"/>
        </w:rPr>
        <w:t>) calculated as:</w:t>
      </w:r>
    </w:p>
    <w:p w:rsidR="008C0FB7" w:rsidRDefault="008C0FB7" w:rsidP="00A7669F">
      <w:pPr>
        <w:spacing w:line="360" w:lineRule="auto"/>
        <w:contextualSpacing/>
        <w:rPr>
          <w:rFonts w:ascii="Arial" w:eastAsiaTheme="minorEastAsia" w:hAnsi="Arial" w:cs="Arial"/>
        </w:rPr>
      </w:pPr>
    </w:p>
    <w:p w:rsidR="00012079" w:rsidRPr="00012079" w:rsidRDefault="00012079"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707775" w:rsidRDefault="00707775" w:rsidP="00A7669F">
      <w:pPr>
        <w:spacing w:line="360" w:lineRule="auto"/>
        <w:contextualSpacing/>
        <w:rPr>
          <w:rFonts w:ascii="Arial" w:eastAsiaTheme="minorEastAsia" w:hAnsi="Arial" w:cs="Arial"/>
        </w:rPr>
      </w:pPr>
    </w:p>
    <w:p w:rsidR="00E46DB5" w:rsidRDefault="00012079" w:rsidP="00E46DB5">
      <w:pPr>
        <w:spacing w:line="360" w:lineRule="auto"/>
        <w:ind w:firstLine="360"/>
        <w:contextualSpacing/>
        <w:rPr>
          <w:rFonts w:ascii="Arial" w:eastAsiaTheme="minorEastAsia" w:hAnsi="Arial" w:cs="Arial"/>
        </w:rPr>
      </w:pPr>
      <w:r>
        <w:rPr>
          <w:rFonts w:ascii="Arial" w:eastAsiaTheme="minorEastAsia" w:hAnsi="Arial" w:cs="Arial"/>
        </w:rPr>
        <w:lastRenderedPageBreak/>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xml:space="preserve">. Our rationale for focussing on dead trees ≥45cm DBH </w:t>
      </w:r>
      <w:r w:rsidR="00DB2877">
        <w:rPr>
          <w:rFonts w:ascii="Arial" w:eastAsiaTheme="minorEastAsia" w:hAnsi="Arial" w:cs="Arial"/>
        </w:rPr>
        <w:t xml:space="preserve">was </w:t>
      </w:r>
      <w:r>
        <w:rPr>
          <w:rFonts w:ascii="Arial" w:eastAsiaTheme="minorEastAsia" w:hAnsi="Arial" w:cs="Arial"/>
        </w:rPr>
        <w:t>that this represents the upper quartile of tree diameters in the woodland and we hypothesise</w:t>
      </w:r>
      <w:r w:rsidR="00DB2877">
        <w:rPr>
          <w:rFonts w:ascii="Arial" w:eastAsiaTheme="minorEastAsia" w:hAnsi="Arial" w:cs="Arial"/>
        </w:rPr>
        <w:t>d</w:t>
      </w:r>
      <w:r>
        <w:rPr>
          <w:rFonts w:ascii="Arial" w:eastAsiaTheme="minorEastAsia" w:hAnsi="Arial" w:cs="Arial"/>
        </w:rPr>
        <w:t xml:space="preserve"> that the death of larger trees plays a stronger role in altering local </w:t>
      </w:r>
      <w:r w:rsidR="00DB2877">
        <w:rPr>
          <w:rFonts w:ascii="Arial" w:eastAsiaTheme="minorEastAsia" w:hAnsi="Arial" w:cs="Arial"/>
        </w:rPr>
        <w:t>microclimate conditions.</w:t>
      </w:r>
    </w:p>
    <w:p w:rsidR="00E46DB5" w:rsidRPr="00E46DB5" w:rsidRDefault="00E46DB5" w:rsidP="00E46DB5">
      <w:pPr>
        <w:spacing w:line="360" w:lineRule="auto"/>
        <w:ind w:firstLine="360"/>
        <w:contextualSpacing/>
        <w:rPr>
          <w:rFonts w:ascii="Arial" w:eastAsiaTheme="minorEastAsia" w:hAnsi="Arial" w:cs="Arial"/>
        </w:rPr>
      </w:pPr>
      <w:r>
        <w:rPr>
          <w:rFonts w:ascii="Arial" w:eastAsiaTheme="minorEastAsia" w:hAnsi="Arial" w:cs="Arial"/>
        </w:rPr>
        <w:t xml:space="preserve">As well as individual based variables that may affect tree mortality we assessed the importance of soil properties as well, given that finer soils may be prone to water logging in the winter, which impedes root growth and consequently reduces the ability of trees to </w:t>
      </w:r>
      <w:r w:rsidR="004972E6">
        <w:rPr>
          <w:rFonts w:ascii="Arial" w:eastAsiaTheme="minorEastAsia" w:hAnsi="Arial" w:cs="Arial"/>
        </w:rPr>
        <w:t>take advantage of water deeper in the soil in dry summers.</w:t>
      </w:r>
    </w:p>
    <w:p w:rsidR="00E94C26" w:rsidRDefault="00E94C26" w:rsidP="00A7669F">
      <w:pPr>
        <w:pStyle w:val="ListParagraph"/>
        <w:numPr>
          <w:ilvl w:val="0"/>
          <w:numId w:val="5"/>
        </w:numPr>
        <w:spacing w:line="360" w:lineRule="auto"/>
        <w:rPr>
          <w:rFonts w:ascii="Arial" w:hAnsi="Arial" w:cs="Arial"/>
        </w:rPr>
      </w:pPr>
      <w:r>
        <w:rPr>
          <w:rFonts w:ascii="Arial" w:hAnsi="Arial" w:cs="Arial"/>
        </w:rPr>
        <w:t>Poisson mixed models were used to assess how density of saplings and seedlings changed over time and with density of mature trees</w:t>
      </w:r>
    </w:p>
    <w:p w:rsidR="008C0FB7" w:rsidRPr="008C0FB7" w:rsidRDefault="008C0FB7" w:rsidP="008C0FB7">
      <w:pPr>
        <w:spacing w:line="360" w:lineRule="auto"/>
        <w:rPr>
          <w:rFonts w:ascii="Arial" w:hAnsi="Arial" w:cs="Arial"/>
          <w:b/>
        </w:rPr>
      </w:pPr>
      <w:r w:rsidRPr="008C0FB7">
        <w:rPr>
          <w:rFonts w:ascii="Arial" w:hAnsi="Arial" w:cs="Arial"/>
          <w:b/>
        </w:rPr>
        <w:t>Recruitment</w:t>
      </w:r>
    </w:p>
    <w:p w:rsidR="008C0FB7" w:rsidRDefault="008C0FB7" w:rsidP="008C0FB7">
      <w:pPr>
        <w:spacing w:line="360" w:lineRule="auto"/>
        <w:rPr>
          <w:rFonts w:ascii="Arial" w:hAnsi="Arial" w:cs="Arial"/>
        </w:rPr>
      </w:pPr>
      <w:r>
        <w:rPr>
          <w:rFonts w:ascii="Arial" w:hAnsi="Arial" w:cs="Arial"/>
        </w:rPr>
        <w:tab/>
        <w:t xml:space="preserve">To assess recruitment of trees we focussed on saplings and seedlings. To test the relationship between mature tree (&gt;10 cm DBH) density and seedlings and saplings we produced generalised mixed models of seedling or sapling density and stem density of mature trees for the three major woody species present in Denny, beech, holly and oak. These models had </w:t>
      </w:r>
      <w:proofErr w:type="spellStart"/>
      <w:r>
        <w:rPr>
          <w:rFonts w:ascii="Arial" w:hAnsi="Arial" w:cs="Arial"/>
        </w:rPr>
        <w:t>poisson</w:t>
      </w:r>
      <w:proofErr w:type="spellEnd"/>
      <w:r>
        <w:rPr>
          <w:rFonts w:ascii="Arial" w:hAnsi="Arial" w:cs="Arial"/>
        </w:rPr>
        <w:t xml:space="preserve"> error str</w:t>
      </w:r>
      <w:r w:rsidR="00550B96">
        <w:rPr>
          <w:rFonts w:ascii="Arial" w:hAnsi="Arial" w:cs="Arial"/>
        </w:rPr>
        <w:t>uctures since density data constitutes a type of count data.</w:t>
      </w:r>
    </w:p>
    <w:p w:rsidR="00550B96" w:rsidRDefault="00550B96" w:rsidP="008C0FB7">
      <w:pPr>
        <w:spacing w:line="360" w:lineRule="auto"/>
        <w:rPr>
          <w:rFonts w:ascii="Arial" w:hAnsi="Arial" w:cs="Arial"/>
        </w:rPr>
      </w:pPr>
      <w:r>
        <w:rPr>
          <w:rFonts w:ascii="Arial" w:hAnsi="Arial" w:cs="Arial"/>
        </w:rPr>
        <w:tab/>
        <w:t xml:space="preserve">In addition we tracked the fate of each sapling recorded to determine whether the widespread loss of smaller stems seen in a previous study was largely attributable to growth of individuals into other size classes or mortality.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8C0FB7">
      <w:pPr>
        <w:spacing w:line="360" w:lineRule="auto"/>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8C0FB7">
      <w:pPr>
        <w:spacing w:line="360" w:lineRule="auto"/>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550B96" w:rsidRPr="008C0FB7" w:rsidRDefault="00550B96" w:rsidP="008C0FB7">
      <w:pPr>
        <w:spacing w:line="360" w:lineRule="auto"/>
        <w:rPr>
          <w:rFonts w:ascii="Arial" w:hAnsi="Arial" w:cs="Arial"/>
        </w:rPr>
      </w:pPr>
    </w:p>
    <w:p w:rsidR="00F262DF" w:rsidRPr="00F262DF" w:rsidRDefault="00F262DF" w:rsidP="00A7669F">
      <w:pPr>
        <w:spacing w:line="360" w:lineRule="auto"/>
        <w:contextualSpacing/>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A7669F">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parameterised using values from these analyses to investigate the potential changes in the woodland</w:t>
      </w:r>
    </w:p>
    <w:p w:rsidR="00210A49" w:rsidRDefault="00210A49" w:rsidP="00A7669F">
      <w:pPr>
        <w:spacing w:line="360" w:lineRule="auto"/>
        <w:contextualSpacing/>
        <w:rPr>
          <w:rFonts w:ascii="Arial" w:hAnsi="Arial" w:cs="Arial"/>
          <w:b/>
        </w:rPr>
      </w:pPr>
      <w:r w:rsidRPr="00E94C26">
        <w:rPr>
          <w:rFonts w:ascii="Arial" w:hAnsi="Arial" w:cs="Arial"/>
          <w:b/>
        </w:rPr>
        <w:lastRenderedPageBreak/>
        <w:t>Results</w:t>
      </w:r>
    </w:p>
    <w:p w:rsidR="00C46459" w:rsidRDefault="00C46459" w:rsidP="00A7669F">
      <w:pPr>
        <w:spacing w:line="360" w:lineRule="auto"/>
        <w:contextualSpacing/>
        <w:rPr>
          <w:rFonts w:ascii="Arial" w:hAnsi="Arial" w:cs="Arial"/>
        </w:rPr>
      </w:pPr>
    </w:p>
    <w:p w:rsidR="00C46459" w:rsidRDefault="00C46459" w:rsidP="00A7669F">
      <w:pPr>
        <w:spacing w:line="360" w:lineRule="auto"/>
        <w:contextualSpacing/>
        <w:rPr>
          <w:rFonts w:ascii="Arial" w:hAnsi="Arial" w:cs="Arial"/>
        </w:rPr>
      </w:pPr>
      <w:r>
        <w:rPr>
          <w:rFonts w:ascii="Arial" w:hAnsi="Arial" w:cs="Arial"/>
        </w:rPr>
        <w:t>Figures</w:t>
      </w:r>
    </w:p>
    <w:p w:rsidR="00C46459" w:rsidRDefault="00C46459" w:rsidP="00C46459">
      <w:pPr>
        <w:pStyle w:val="ListParagraph"/>
        <w:numPr>
          <w:ilvl w:val="0"/>
          <w:numId w:val="5"/>
        </w:numPr>
        <w:spacing w:line="360" w:lineRule="auto"/>
        <w:rPr>
          <w:rFonts w:ascii="Arial" w:hAnsi="Arial" w:cs="Arial"/>
        </w:rPr>
      </w:pPr>
      <w:commentRangeStart w:id="1"/>
      <w:r>
        <w:rPr>
          <w:rFonts w:ascii="Arial" w:hAnsi="Arial" w:cs="Arial"/>
        </w:rPr>
        <w:t>Self-thinning relationships for all species</w:t>
      </w:r>
      <w:commentRangeEnd w:id="1"/>
      <w:r w:rsidR="00A365D6">
        <w:rPr>
          <w:rStyle w:val="CommentReference"/>
        </w:rPr>
        <w:commentReference w:id="1"/>
      </w:r>
    </w:p>
    <w:p w:rsidR="007F1451" w:rsidRDefault="007F1451" w:rsidP="007F1451">
      <w:pPr>
        <w:spacing w:line="360" w:lineRule="auto"/>
        <w:ind w:left="360"/>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35pt;height:322.4pt">
            <v:imagedata r:id="rId8" o:title="Self_thinning_all"/>
          </v:shape>
        </w:pict>
      </w:r>
    </w:p>
    <w:p w:rsidR="007F1451" w:rsidRPr="007F1451" w:rsidRDefault="007F1451" w:rsidP="007F1451">
      <w:pPr>
        <w:spacing w:line="360" w:lineRule="auto"/>
        <w:ind w:left="360"/>
        <w:rPr>
          <w:rFonts w:ascii="Arial" w:hAnsi="Arial" w:cs="Arial"/>
        </w:rPr>
      </w:pPr>
      <w:proofErr w:type="gramStart"/>
      <w:r>
        <w:rPr>
          <w:rFonts w:ascii="Arial" w:hAnsi="Arial" w:cs="Arial"/>
        </w:rPr>
        <w:t>Figure ?</w:t>
      </w:r>
      <w:proofErr w:type="gramEnd"/>
      <w:r>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w:t>
      </w:r>
      <w:r w:rsidR="004810E6">
        <w:rPr>
          <w:rFonts w:ascii="Arial" w:hAnsi="Arial" w:cs="Arial"/>
        </w:rPr>
        <w:t>Note that that both x and y axes are log transformed.</w:t>
      </w:r>
    </w:p>
    <w:p w:rsidR="00C46459" w:rsidRDefault="00C46459" w:rsidP="00C46459">
      <w:pPr>
        <w:pStyle w:val="ListParagraph"/>
        <w:numPr>
          <w:ilvl w:val="0"/>
          <w:numId w:val="5"/>
        </w:numPr>
        <w:spacing w:line="360" w:lineRule="auto"/>
        <w:rPr>
          <w:rFonts w:ascii="Arial" w:hAnsi="Arial" w:cs="Arial"/>
        </w:rPr>
      </w:pPr>
      <w:commentRangeStart w:id="2"/>
      <w:r>
        <w:rPr>
          <w:rFonts w:ascii="Arial" w:hAnsi="Arial" w:cs="Arial"/>
        </w:rPr>
        <w:t>Plots of the important variables for determining mortality of (i) beech, (ii) oak and (iii) holly</w:t>
      </w:r>
      <w:commentRangeEnd w:id="2"/>
      <w:r w:rsidR="00A365D6">
        <w:rPr>
          <w:rStyle w:val="CommentReference"/>
        </w:rPr>
        <w:commentReference w:id="2"/>
      </w:r>
    </w:p>
    <w:p w:rsidR="004810E6" w:rsidRPr="004810E6" w:rsidRDefault="004810E6" w:rsidP="004810E6">
      <w:pPr>
        <w:spacing w:line="360" w:lineRule="auto"/>
        <w:ind w:left="360"/>
        <w:rPr>
          <w:rFonts w:ascii="Arial" w:hAnsi="Arial" w:cs="Arial"/>
        </w:rPr>
      </w:pPr>
      <w:r>
        <w:rPr>
          <w:rFonts w:ascii="Arial" w:hAnsi="Arial" w:cs="Arial"/>
        </w:rPr>
        <w:lastRenderedPageBreak/>
        <w:pict>
          <v:shape id="_x0000_i1027" type="#_x0000_t75" style="width:450.8pt;height:150.45pt">
            <v:imagedata r:id="rId9" o:title="Tree_death"/>
          </v:shape>
        </w:pict>
      </w:r>
    </w:p>
    <w:p w:rsidR="00C46459" w:rsidRDefault="00C46459" w:rsidP="00C46459">
      <w:pPr>
        <w:pStyle w:val="ListParagraph"/>
        <w:numPr>
          <w:ilvl w:val="0"/>
          <w:numId w:val="5"/>
        </w:numPr>
        <w:spacing w:line="360" w:lineRule="auto"/>
        <w:rPr>
          <w:rFonts w:ascii="Arial" w:hAnsi="Arial" w:cs="Arial"/>
        </w:rPr>
      </w:pPr>
      <w:commentRangeStart w:id="3"/>
      <w:r>
        <w:rPr>
          <w:rFonts w:ascii="Arial" w:hAnsi="Arial" w:cs="Arial"/>
        </w:rPr>
        <w:t>Plots of the relationship between Beech sapling density and Beech mature tree density</w:t>
      </w:r>
      <w:commentRangeEnd w:id="3"/>
      <w:r w:rsidR="00A365D6">
        <w:rPr>
          <w:rStyle w:val="CommentReference"/>
        </w:rPr>
        <w:commentReference w:id="3"/>
      </w:r>
    </w:p>
    <w:p w:rsidR="007F1451" w:rsidRDefault="007F1451" w:rsidP="007F1451">
      <w:pPr>
        <w:spacing w:line="360" w:lineRule="auto"/>
        <w:rPr>
          <w:rFonts w:ascii="Arial" w:hAnsi="Arial" w:cs="Arial"/>
        </w:rPr>
      </w:pPr>
      <w:r>
        <w:rPr>
          <w:rFonts w:ascii="Arial" w:hAnsi="Arial" w:cs="Arial"/>
        </w:rPr>
        <w:pict>
          <v:shape id="_x0000_i1025" type="#_x0000_t75" style="width:450.8pt;height:338.5pt">
            <v:imagedata r:id="rId10" o:title="Beech_saplings"/>
          </v:shape>
        </w:pict>
      </w:r>
    </w:p>
    <w:p w:rsidR="007F1451" w:rsidRPr="007F1451" w:rsidRDefault="007F1451" w:rsidP="007F1451">
      <w:pPr>
        <w:spacing w:line="360" w:lineRule="auto"/>
        <w:rPr>
          <w:rFonts w:ascii="Arial" w:hAnsi="Arial" w:cs="Arial"/>
        </w:rPr>
      </w:pPr>
      <w:proofErr w:type="gramStart"/>
      <w:r>
        <w:rPr>
          <w:rFonts w:ascii="Arial" w:hAnsi="Arial" w:cs="Arial"/>
        </w:rPr>
        <w:t>Figure ?</w:t>
      </w:r>
      <w:proofErr w:type="gramEnd"/>
      <w:r>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9A75A7" w:rsidRDefault="009A75A7" w:rsidP="00C46459">
      <w:pPr>
        <w:pStyle w:val="ListParagraph"/>
        <w:numPr>
          <w:ilvl w:val="0"/>
          <w:numId w:val="5"/>
        </w:numPr>
        <w:spacing w:line="360" w:lineRule="auto"/>
        <w:rPr>
          <w:rFonts w:ascii="Arial" w:hAnsi="Arial" w:cs="Arial"/>
        </w:rPr>
      </w:pPr>
      <w:r>
        <w:rPr>
          <w:rFonts w:ascii="Arial" w:hAnsi="Arial" w:cs="Arial"/>
        </w:rPr>
        <w:lastRenderedPageBreak/>
        <w:t>Table showing the fate of sapling for each species</w:t>
      </w:r>
    </w:p>
    <w:p w:rsidR="009A75A7" w:rsidRDefault="009A75A7" w:rsidP="009A75A7">
      <w:pPr>
        <w:spacing w:line="360" w:lineRule="auto"/>
        <w:rPr>
          <w:rFonts w:ascii="Arial" w:hAnsi="Arial" w:cs="Arial"/>
        </w:rPr>
      </w:pPr>
    </w:p>
    <w:tbl>
      <w:tblPr>
        <w:tblStyle w:val="TableGrid"/>
        <w:tblW w:w="0" w:type="auto"/>
        <w:tblLook w:val="04A0" w:firstRow="1" w:lastRow="0" w:firstColumn="1" w:lastColumn="0" w:noHBand="0" w:noVBand="1"/>
      </w:tblPr>
      <w:tblGrid>
        <w:gridCol w:w="2310"/>
        <w:gridCol w:w="2310"/>
        <w:gridCol w:w="2311"/>
        <w:gridCol w:w="2311"/>
      </w:tblGrid>
      <w:tr w:rsidR="009A75A7" w:rsidTr="009A75A7">
        <w:tc>
          <w:tcPr>
            <w:tcW w:w="2310" w:type="dxa"/>
          </w:tcPr>
          <w:p w:rsidR="009A75A7" w:rsidRDefault="009A75A7" w:rsidP="009A75A7">
            <w:pPr>
              <w:spacing w:line="360" w:lineRule="auto"/>
              <w:rPr>
                <w:rFonts w:ascii="Arial" w:hAnsi="Arial" w:cs="Arial"/>
              </w:rPr>
            </w:pPr>
            <w:r>
              <w:rPr>
                <w:rFonts w:ascii="Arial" w:hAnsi="Arial" w:cs="Arial"/>
              </w:rPr>
              <w:t>Census period</w:t>
            </w:r>
          </w:p>
        </w:tc>
        <w:tc>
          <w:tcPr>
            <w:tcW w:w="2310" w:type="dxa"/>
          </w:tcPr>
          <w:p w:rsidR="009A75A7" w:rsidRDefault="009A75A7" w:rsidP="009A75A7">
            <w:pPr>
              <w:spacing w:line="360" w:lineRule="auto"/>
              <w:jc w:val="center"/>
              <w:rPr>
                <w:rFonts w:ascii="Arial" w:hAnsi="Arial" w:cs="Arial"/>
              </w:rPr>
            </w:pPr>
            <w:r>
              <w:rPr>
                <w:rFonts w:ascii="Arial" w:hAnsi="Arial" w:cs="Arial"/>
              </w:rPr>
              <w:t>Proportion died</w:t>
            </w:r>
          </w:p>
        </w:tc>
        <w:tc>
          <w:tcPr>
            <w:tcW w:w="2311" w:type="dxa"/>
          </w:tcPr>
          <w:p w:rsidR="009A75A7" w:rsidRDefault="009A75A7" w:rsidP="009A75A7">
            <w:pPr>
              <w:spacing w:line="360" w:lineRule="auto"/>
              <w:jc w:val="center"/>
              <w:rPr>
                <w:rFonts w:ascii="Arial" w:hAnsi="Arial" w:cs="Arial"/>
              </w:rPr>
            </w:pPr>
            <w:r>
              <w:rPr>
                <w:rFonts w:ascii="Arial" w:hAnsi="Arial" w:cs="Arial"/>
              </w:rPr>
              <w:t>Proportion increased</w:t>
            </w:r>
            <w:r w:rsidR="00A365D6">
              <w:rPr>
                <w:rFonts w:ascii="Arial" w:hAnsi="Arial" w:cs="Arial"/>
              </w:rPr>
              <w:t xml:space="preserve"> to &gt;10 cm DBH</w:t>
            </w:r>
          </w:p>
        </w:tc>
        <w:tc>
          <w:tcPr>
            <w:tcW w:w="2311" w:type="dxa"/>
          </w:tcPr>
          <w:p w:rsidR="009A75A7" w:rsidRDefault="009A75A7" w:rsidP="009A75A7">
            <w:pPr>
              <w:spacing w:line="360" w:lineRule="auto"/>
              <w:rPr>
                <w:rFonts w:ascii="Arial" w:hAnsi="Arial" w:cs="Arial"/>
              </w:rPr>
            </w:pPr>
            <w:r>
              <w:rPr>
                <w:rFonts w:ascii="Arial" w:hAnsi="Arial" w:cs="Arial"/>
              </w:rPr>
              <w:t>Annual mortality rate</w:t>
            </w:r>
          </w:p>
        </w:tc>
      </w:tr>
      <w:tr w:rsidR="009A75A7" w:rsidTr="001A43A2">
        <w:tc>
          <w:tcPr>
            <w:tcW w:w="2310" w:type="dxa"/>
          </w:tcPr>
          <w:p w:rsidR="009A75A7" w:rsidRDefault="009A75A7" w:rsidP="009A75A7">
            <w:pPr>
              <w:spacing w:line="360" w:lineRule="auto"/>
              <w:rPr>
                <w:rFonts w:ascii="Arial" w:hAnsi="Arial" w:cs="Arial"/>
              </w:rPr>
            </w:pPr>
            <w:r>
              <w:rPr>
                <w:rFonts w:ascii="Arial" w:hAnsi="Arial" w:cs="Arial"/>
              </w:rPr>
              <w:t>1964-1984</w:t>
            </w:r>
          </w:p>
        </w:tc>
        <w:tc>
          <w:tcPr>
            <w:tcW w:w="2310" w:type="dxa"/>
            <w:vAlign w:val="bottom"/>
          </w:tcPr>
          <w:p w:rsidR="009A75A7" w:rsidRDefault="009A75A7" w:rsidP="009A75A7">
            <w:pPr>
              <w:jc w:val="center"/>
              <w:rPr>
                <w:rFonts w:ascii="Calibri" w:hAnsi="Calibri"/>
                <w:color w:val="000000"/>
              </w:rPr>
            </w:pPr>
            <w:r>
              <w:rPr>
                <w:rFonts w:ascii="Calibri" w:hAnsi="Calibri"/>
                <w:color w:val="000000"/>
              </w:rPr>
              <w:t>0.56</w:t>
            </w:r>
          </w:p>
        </w:tc>
        <w:tc>
          <w:tcPr>
            <w:tcW w:w="2311" w:type="dxa"/>
            <w:vAlign w:val="bottom"/>
          </w:tcPr>
          <w:p w:rsidR="009A75A7" w:rsidRDefault="009A75A7" w:rsidP="009A75A7">
            <w:pPr>
              <w:jc w:val="center"/>
              <w:rPr>
                <w:rFonts w:ascii="Calibri" w:hAnsi="Calibri"/>
                <w:color w:val="000000"/>
              </w:rPr>
            </w:pPr>
            <w:r>
              <w:rPr>
                <w:rFonts w:ascii="Calibri" w:hAnsi="Calibri"/>
                <w:color w:val="000000"/>
              </w:rPr>
              <w:t>0.14</w:t>
            </w:r>
          </w:p>
        </w:tc>
        <w:tc>
          <w:tcPr>
            <w:tcW w:w="2311" w:type="dxa"/>
            <w:vAlign w:val="bottom"/>
          </w:tcPr>
          <w:p w:rsidR="009A75A7" w:rsidRDefault="009A75A7" w:rsidP="009A75A7">
            <w:pPr>
              <w:jc w:val="right"/>
              <w:rPr>
                <w:rFonts w:ascii="Calibri" w:hAnsi="Calibri"/>
                <w:color w:val="000000"/>
              </w:rPr>
            </w:pPr>
            <w:r>
              <w:rPr>
                <w:rFonts w:ascii="Calibri" w:hAnsi="Calibri"/>
                <w:color w:val="000000"/>
              </w:rPr>
              <w:t>4.07%</w:t>
            </w:r>
          </w:p>
        </w:tc>
      </w:tr>
      <w:tr w:rsidR="009A75A7" w:rsidTr="001A43A2">
        <w:tc>
          <w:tcPr>
            <w:tcW w:w="2310" w:type="dxa"/>
          </w:tcPr>
          <w:p w:rsidR="009A75A7" w:rsidRDefault="009A75A7" w:rsidP="009A75A7">
            <w:pPr>
              <w:spacing w:line="360" w:lineRule="auto"/>
              <w:rPr>
                <w:rFonts w:ascii="Arial" w:hAnsi="Arial" w:cs="Arial"/>
              </w:rPr>
            </w:pPr>
            <w:r>
              <w:rPr>
                <w:rFonts w:ascii="Arial" w:hAnsi="Arial" w:cs="Arial"/>
              </w:rPr>
              <w:t>1984-1988</w:t>
            </w:r>
          </w:p>
        </w:tc>
        <w:tc>
          <w:tcPr>
            <w:tcW w:w="2310" w:type="dxa"/>
            <w:vAlign w:val="bottom"/>
          </w:tcPr>
          <w:p w:rsidR="009A75A7" w:rsidRDefault="009A75A7" w:rsidP="009A75A7">
            <w:pPr>
              <w:jc w:val="center"/>
              <w:rPr>
                <w:rFonts w:ascii="Calibri" w:hAnsi="Calibri"/>
                <w:color w:val="000000"/>
              </w:rPr>
            </w:pPr>
            <w:r>
              <w:rPr>
                <w:rFonts w:ascii="Calibri" w:hAnsi="Calibri"/>
                <w:color w:val="000000"/>
              </w:rPr>
              <w:t>0.11</w:t>
            </w:r>
          </w:p>
        </w:tc>
        <w:tc>
          <w:tcPr>
            <w:tcW w:w="2311" w:type="dxa"/>
            <w:vAlign w:val="bottom"/>
          </w:tcPr>
          <w:p w:rsidR="009A75A7" w:rsidRDefault="009A75A7" w:rsidP="009A75A7">
            <w:pPr>
              <w:jc w:val="center"/>
              <w:rPr>
                <w:rFonts w:ascii="Calibri" w:hAnsi="Calibri"/>
                <w:color w:val="000000"/>
              </w:rPr>
            </w:pPr>
            <w:r>
              <w:rPr>
                <w:rFonts w:ascii="Calibri" w:hAnsi="Calibri"/>
                <w:color w:val="000000"/>
              </w:rPr>
              <w:t>0.2</w:t>
            </w:r>
          </w:p>
        </w:tc>
        <w:tc>
          <w:tcPr>
            <w:tcW w:w="2311" w:type="dxa"/>
            <w:vAlign w:val="bottom"/>
          </w:tcPr>
          <w:p w:rsidR="009A75A7" w:rsidRDefault="009A75A7" w:rsidP="009A75A7">
            <w:pPr>
              <w:jc w:val="right"/>
              <w:rPr>
                <w:rFonts w:ascii="Calibri" w:hAnsi="Calibri"/>
                <w:color w:val="000000"/>
              </w:rPr>
            </w:pPr>
            <w:r>
              <w:rPr>
                <w:rFonts w:ascii="Calibri" w:hAnsi="Calibri"/>
                <w:color w:val="000000"/>
              </w:rPr>
              <w:t>2.79%</w:t>
            </w:r>
          </w:p>
        </w:tc>
      </w:tr>
      <w:tr w:rsidR="009A75A7" w:rsidTr="001A43A2">
        <w:tc>
          <w:tcPr>
            <w:tcW w:w="2310" w:type="dxa"/>
          </w:tcPr>
          <w:p w:rsidR="009A75A7" w:rsidRDefault="009A75A7" w:rsidP="009A75A7">
            <w:pPr>
              <w:spacing w:line="360" w:lineRule="auto"/>
              <w:rPr>
                <w:rFonts w:ascii="Arial" w:hAnsi="Arial" w:cs="Arial"/>
              </w:rPr>
            </w:pPr>
            <w:r>
              <w:rPr>
                <w:rFonts w:ascii="Arial" w:hAnsi="Arial" w:cs="Arial"/>
              </w:rPr>
              <w:t>1988-1996</w:t>
            </w:r>
          </w:p>
        </w:tc>
        <w:tc>
          <w:tcPr>
            <w:tcW w:w="2310" w:type="dxa"/>
            <w:vAlign w:val="bottom"/>
          </w:tcPr>
          <w:p w:rsidR="009A75A7" w:rsidRDefault="009A75A7" w:rsidP="009A75A7">
            <w:pPr>
              <w:jc w:val="center"/>
              <w:rPr>
                <w:rFonts w:ascii="Calibri" w:hAnsi="Calibri"/>
                <w:color w:val="000000"/>
              </w:rPr>
            </w:pPr>
            <w:r>
              <w:rPr>
                <w:rFonts w:ascii="Calibri" w:hAnsi="Calibri"/>
                <w:color w:val="000000"/>
              </w:rPr>
              <w:t>0.15</w:t>
            </w:r>
          </w:p>
        </w:tc>
        <w:tc>
          <w:tcPr>
            <w:tcW w:w="2311" w:type="dxa"/>
            <w:vAlign w:val="bottom"/>
          </w:tcPr>
          <w:p w:rsidR="009A75A7" w:rsidRDefault="009A75A7" w:rsidP="009A75A7">
            <w:pPr>
              <w:jc w:val="center"/>
              <w:rPr>
                <w:rFonts w:ascii="Calibri" w:hAnsi="Calibri"/>
                <w:color w:val="000000"/>
              </w:rPr>
            </w:pPr>
            <w:r>
              <w:rPr>
                <w:rFonts w:ascii="Calibri" w:hAnsi="Calibri"/>
                <w:color w:val="000000"/>
              </w:rPr>
              <w:t>0.32</w:t>
            </w:r>
          </w:p>
        </w:tc>
        <w:tc>
          <w:tcPr>
            <w:tcW w:w="2311" w:type="dxa"/>
            <w:vAlign w:val="bottom"/>
          </w:tcPr>
          <w:p w:rsidR="009A75A7" w:rsidRDefault="009A75A7" w:rsidP="009A75A7">
            <w:pPr>
              <w:jc w:val="right"/>
              <w:rPr>
                <w:rFonts w:ascii="Calibri" w:hAnsi="Calibri"/>
                <w:color w:val="000000"/>
              </w:rPr>
            </w:pPr>
            <w:r>
              <w:rPr>
                <w:rFonts w:ascii="Calibri" w:hAnsi="Calibri"/>
                <w:color w:val="000000"/>
              </w:rPr>
              <w:t>2.01%</w:t>
            </w:r>
          </w:p>
        </w:tc>
      </w:tr>
      <w:tr w:rsidR="009A75A7" w:rsidTr="001A43A2">
        <w:tc>
          <w:tcPr>
            <w:tcW w:w="2310" w:type="dxa"/>
          </w:tcPr>
          <w:p w:rsidR="009A75A7" w:rsidRDefault="009A75A7" w:rsidP="009A75A7">
            <w:pPr>
              <w:spacing w:line="360" w:lineRule="auto"/>
              <w:rPr>
                <w:rFonts w:ascii="Arial" w:hAnsi="Arial" w:cs="Arial"/>
              </w:rPr>
            </w:pPr>
            <w:r>
              <w:rPr>
                <w:rFonts w:ascii="Arial" w:hAnsi="Arial" w:cs="Arial"/>
              </w:rPr>
              <w:t>1996-2014</w:t>
            </w:r>
          </w:p>
        </w:tc>
        <w:tc>
          <w:tcPr>
            <w:tcW w:w="2310" w:type="dxa"/>
            <w:vAlign w:val="bottom"/>
          </w:tcPr>
          <w:p w:rsidR="009A75A7" w:rsidRDefault="009A75A7" w:rsidP="009A75A7">
            <w:pPr>
              <w:jc w:val="center"/>
              <w:rPr>
                <w:rFonts w:ascii="Calibri" w:hAnsi="Calibri"/>
                <w:color w:val="000000"/>
              </w:rPr>
            </w:pPr>
            <w:r>
              <w:rPr>
                <w:rFonts w:ascii="Calibri" w:hAnsi="Calibri"/>
                <w:color w:val="000000"/>
              </w:rPr>
              <w:t>0.09</w:t>
            </w:r>
          </w:p>
        </w:tc>
        <w:tc>
          <w:tcPr>
            <w:tcW w:w="2311" w:type="dxa"/>
            <w:vAlign w:val="bottom"/>
          </w:tcPr>
          <w:p w:rsidR="009A75A7" w:rsidRDefault="009A75A7" w:rsidP="009A75A7">
            <w:pPr>
              <w:jc w:val="center"/>
              <w:rPr>
                <w:rFonts w:ascii="Calibri" w:hAnsi="Calibri"/>
                <w:color w:val="000000"/>
              </w:rPr>
            </w:pPr>
            <w:r>
              <w:rPr>
                <w:rFonts w:ascii="Calibri" w:hAnsi="Calibri"/>
                <w:color w:val="000000"/>
              </w:rPr>
              <w:t>0.61</w:t>
            </w:r>
          </w:p>
        </w:tc>
        <w:tc>
          <w:tcPr>
            <w:tcW w:w="2311" w:type="dxa"/>
            <w:vAlign w:val="bottom"/>
          </w:tcPr>
          <w:p w:rsidR="009A75A7" w:rsidRDefault="009A75A7" w:rsidP="009A75A7">
            <w:pPr>
              <w:jc w:val="right"/>
              <w:rPr>
                <w:rFonts w:ascii="Calibri" w:hAnsi="Calibri"/>
                <w:color w:val="000000"/>
              </w:rPr>
            </w:pPr>
            <w:r>
              <w:rPr>
                <w:rFonts w:ascii="Calibri" w:hAnsi="Calibri"/>
                <w:color w:val="000000"/>
              </w:rPr>
              <w:t>0.50%</w:t>
            </w:r>
          </w:p>
        </w:tc>
      </w:tr>
    </w:tbl>
    <w:p w:rsidR="009A75A7" w:rsidRPr="009A75A7" w:rsidRDefault="009A75A7" w:rsidP="009A75A7">
      <w:pPr>
        <w:spacing w:line="360" w:lineRule="auto"/>
        <w:rPr>
          <w:rFonts w:ascii="Arial" w:hAnsi="Arial" w:cs="Arial"/>
        </w:rPr>
      </w:pPr>
    </w:p>
    <w:p w:rsidR="00C46459" w:rsidRDefault="00C46459" w:rsidP="00C46459">
      <w:pPr>
        <w:pStyle w:val="ListParagraph"/>
        <w:numPr>
          <w:ilvl w:val="0"/>
          <w:numId w:val="5"/>
        </w:numPr>
        <w:spacing w:line="360" w:lineRule="auto"/>
        <w:rPr>
          <w:rFonts w:ascii="Arial" w:hAnsi="Arial" w:cs="Arial"/>
        </w:rPr>
      </w:pPr>
      <w:commentRangeStart w:id="4"/>
      <w:r>
        <w:rPr>
          <w:rFonts w:ascii="Arial" w:hAnsi="Arial" w:cs="Arial"/>
        </w:rPr>
        <w:t>Plots of the relationship between canopy openness and seedling density</w:t>
      </w:r>
      <w:commentRangeEnd w:id="4"/>
      <w:r w:rsidR="00A365D6">
        <w:rPr>
          <w:rStyle w:val="CommentReference"/>
        </w:rPr>
        <w:commentReference w:id="4"/>
      </w:r>
    </w:p>
    <w:p w:rsidR="004810E6" w:rsidRPr="004810E6" w:rsidRDefault="004810E6" w:rsidP="004810E6">
      <w:pPr>
        <w:spacing w:line="360" w:lineRule="auto"/>
        <w:rPr>
          <w:rFonts w:ascii="Arial" w:hAnsi="Arial" w:cs="Arial"/>
        </w:rPr>
      </w:pPr>
    </w:p>
    <w:p w:rsidR="00C46459" w:rsidRPr="00E94C26" w:rsidRDefault="00C46459" w:rsidP="00A7669F">
      <w:pPr>
        <w:spacing w:line="360" w:lineRule="auto"/>
        <w:contextualSpacing/>
        <w:rPr>
          <w:rFonts w:ascii="Arial" w:hAnsi="Arial" w:cs="Arial"/>
        </w:rPr>
      </w:pPr>
    </w:p>
    <w:p w:rsidR="00210A49" w:rsidRPr="00E94C26" w:rsidRDefault="00210A49" w:rsidP="00A7669F">
      <w:pPr>
        <w:spacing w:line="360" w:lineRule="auto"/>
        <w:contextualSpacing/>
        <w:rPr>
          <w:rFonts w:ascii="Arial" w:hAnsi="Arial" w:cs="Arial"/>
          <w:b/>
        </w:rPr>
      </w:pPr>
      <w:r w:rsidRPr="00E94C26">
        <w:rPr>
          <w:rFonts w:ascii="Arial" w:hAnsi="Arial" w:cs="Arial"/>
          <w:b/>
        </w:rPr>
        <w:t>Discussion</w:t>
      </w:r>
    </w:p>
    <w:p w:rsidR="00210A49" w:rsidRPr="00F262DF" w:rsidRDefault="00210A49" w:rsidP="00A7669F">
      <w:pPr>
        <w:spacing w:line="360" w:lineRule="auto"/>
        <w:contextualSpacing/>
        <w:rPr>
          <w:rFonts w:ascii="Arial" w:hAnsi="Arial" w:cs="Arial"/>
          <w:b/>
        </w:rPr>
      </w:pPr>
      <w:r w:rsidRPr="00F262DF">
        <w:rPr>
          <w:rFonts w:ascii="Arial" w:hAnsi="Arial" w:cs="Arial"/>
          <w:b/>
        </w:rPr>
        <w:t>References</w:t>
      </w:r>
    </w:p>
    <w:p w:rsidR="00550B96" w:rsidRPr="00550B96" w:rsidRDefault="00F262DF">
      <w:pPr>
        <w:pStyle w:val="NormalWeb"/>
        <w:ind w:left="480" w:hanging="480"/>
        <w:divId w:val="648167203"/>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550B96" w:rsidRPr="00550B96">
        <w:rPr>
          <w:rFonts w:ascii="Arial" w:hAnsi="Arial" w:cs="Arial"/>
          <w:noProof/>
          <w:sz w:val="22"/>
        </w:rPr>
        <w:t xml:space="preserve">Acácio, V., Holmgren, M., Jansen, P.A. &amp; Schrotter, O. (2007) Multiple Recruitment Limitation Causes Arrested Succession in Mediterranean Cork Oak Systems. </w:t>
      </w:r>
      <w:r w:rsidR="00550B96" w:rsidRPr="00550B96">
        <w:rPr>
          <w:rFonts w:ascii="Arial" w:hAnsi="Arial" w:cs="Arial"/>
          <w:i/>
          <w:iCs/>
          <w:noProof/>
          <w:sz w:val="22"/>
        </w:rPr>
        <w:t>Ecosystems</w:t>
      </w:r>
      <w:r w:rsidR="00550B96" w:rsidRPr="00550B96">
        <w:rPr>
          <w:rFonts w:ascii="Arial" w:hAnsi="Arial" w:cs="Arial"/>
          <w:noProof/>
          <w:sz w:val="22"/>
        </w:rPr>
        <w:t xml:space="preserve">, </w:t>
      </w:r>
      <w:r w:rsidR="00550B96" w:rsidRPr="00550B96">
        <w:rPr>
          <w:rFonts w:ascii="Arial" w:hAnsi="Arial" w:cs="Arial"/>
          <w:b/>
          <w:bCs/>
          <w:noProof/>
          <w:sz w:val="22"/>
        </w:rPr>
        <w:t>10</w:t>
      </w:r>
      <w:r w:rsidR="00550B96" w:rsidRPr="00550B96">
        <w:rPr>
          <w:rFonts w:ascii="Arial" w:hAnsi="Arial" w:cs="Arial"/>
          <w:noProof/>
          <w:sz w:val="22"/>
        </w:rPr>
        <w:t>, 1220–1230.</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Barlow, J. &amp; Peres, C. a. (2008) Fire-mediated dieback and compositional cascade in an Amazonian forest. </w:t>
      </w:r>
      <w:r w:rsidRPr="00550B96">
        <w:rPr>
          <w:rFonts w:ascii="Arial" w:hAnsi="Arial" w:cs="Arial"/>
          <w:i/>
          <w:iCs/>
          <w:noProof/>
          <w:sz w:val="22"/>
        </w:rPr>
        <w:t>Philosophical transactions of the Royal Society of London. Series B, Biological sciences</w:t>
      </w:r>
      <w:r w:rsidRPr="00550B96">
        <w:rPr>
          <w:rFonts w:ascii="Arial" w:hAnsi="Arial" w:cs="Arial"/>
          <w:noProof/>
          <w:sz w:val="22"/>
        </w:rPr>
        <w:t xml:space="preserve">, </w:t>
      </w:r>
      <w:r w:rsidRPr="00550B96">
        <w:rPr>
          <w:rFonts w:ascii="Arial" w:hAnsi="Arial" w:cs="Arial"/>
          <w:b/>
          <w:bCs/>
          <w:noProof/>
          <w:sz w:val="22"/>
        </w:rPr>
        <w:t>363</w:t>
      </w:r>
      <w:r w:rsidRPr="00550B96">
        <w:rPr>
          <w:rFonts w:ascii="Arial" w:hAnsi="Arial" w:cs="Arial"/>
          <w:noProof/>
          <w:sz w:val="22"/>
        </w:rPr>
        <w:t>, 1787–94.</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Barlow, J., Peres, C., Lagan, B. &amp; Haugaasen, T. (2002) Large tree mortality and the decline of forest biomass following Amazonian wildfires. </w:t>
      </w:r>
      <w:r w:rsidRPr="00550B96">
        <w:rPr>
          <w:rFonts w:ascii="Arial" w:hAnsi="Arial" w:cs="Arial"/>
          <w:i/>
          <w:iCs/>
          <w:noProof/>
          <w:sz w:val="22"/>
        </w:rPr>
        <w:t>Ecology letters</w:t>
      </w:r>
      <w:r w:rsidRPr="00550B96">
        <w:rPr>
          <w:rFonts w:ascii="Arial" w:hAnsi="Arial" w:cs="Arial"/>
          <w:noProof/>
          <w:sz w:val="22"/>
        </w:rPr>
        <w:t>, 6–8.</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Benchimol, M. &amp; Peres, C.A. (2015) Edge-mediated compositional and functional decay of tree assemblages in Amazonian forest islands after 26 years of isolation.</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550B96">
        <w:rPr>
          <w:rFonts w:ascii="Arial" w:hAnsi="Arial" w:cs="Arial"/>
          <w:i/>
          <w:iCs/>
          <w:noProof/>
          <w:sz w:val="22"/>
        </w:rPr>
        <w:t>Proceedings of the National Academy of Sciences of the United States of America</w:t>
      </w:r>
      <w:r w:rsidRPr="00550B96">
        <w:rPr>
          <w:rFonts w:ascii="Arial" w:hAnsi="Arial" w:cs="Arial"/>
          <w:noProof/>
          <w:sz w:val="22"/>
        </w:rPr>
        <w:t xml:space="preserve">, </w:t>
      </w:r>
      <w:r w:rsidRPr="00550B96">
        <w:rPr>
          <w:rFonts w:ascii="Arial" w:hAnsi="Arial" w:cs="Arial"/>
          <w:b/>
          <w:bCs/>
          <w:noProof/>
          <w:sz w:val="22"/>
        </w:rPr>
        <w:t>111</w:t>
      </w:r>
      <w:r w:rsidRPr="00550B96">
        <w:rPr>
          <w:rFonts w:ascii="Arial" w:hAnsi="Arial" w:cs="Arial"/>
          <w:noProof/>
          <w:sz w:val="22"/>
        </w:rPr>
        <w:t>, 6347–52.</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Burnham, K.P. &amp; Anderson, D.R. (2002) </w:t>
      </w:r>
      <w:r w:rsidRPr="00550B96">
        <w:rPr>
          <w:rFonts w:ascii="Arial" w:hAnsi="Arial" w:cs="Arial"/>
          <w:i/>
          <w:iCs/>
          <w:noProof/>
          <w:sz w:val="22"/>
        </w:rPr>
        <w:t>Model Selection and Multimodel Inference: A Practical Information-Theoretic Approach</w:t>
      </w:r>
      <w:r w:rsidRPr="00550B96">
        <w:rPr>
          <w:rFonts w:ascii="Arial" w:hAnsi="Arial" w:cs="Arial"/>
          <w:noProof/>
          <w:sz w:val="22"/>
        </w:rPr>
        <w:t>.</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550B96">
        <w:rPr>
          <w:rFonts w:ascii="Arial" w:hAnsi="Arial" w:cs="Arial"/>
          <w:i/>
          <w:iCs/>
          <w:noProof/>
          <w:sz w:val="22"/>
        </w:rPr>
        <w:t>Journal of Ecology</w:t>
      </w:r>
      <w:r w:rsidRPr="00550B96">
        <w:rPr>
          <w:rFonts w:ascii="Arial" w:hAnsi="Arial" w:cs="Arial"/>
          <w:noProof/>
          <w:sz w:val="22"/>
        </w:rPr>
        <w:t xml:space="preserve">, </w:t>
      </w:r>
      <w:r w:rsidRPr="00550B96">
        <w:rPr>
          <w:rFonts w:ascii="Arial" w:hAnsi="Arial" w:cs="Arial"/>
          <w:b/>
          <w:bCs/>
          <w:noProof/>
          <w:sz w:val="22"/>
        </w:rPr>
        <w:t>103</w:t>
      </w:r>
      <w:r w:rsidRPr="00550B96">
        <w:rPr>
          <w:rFonts w:ascii="Arial" w:hAnsi="Arial" w:cs="Arial"/>
          <w:noProof/>
          <w:sz w:val="22"/>
        </w:rPr>
        <w:t>, 44–57.</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lastRenderedPageBreak/>
        <w:t xml:space="preserve">Campbell, D., Swanson, G.M. &amp; Sales, J. (2004) Methodological insights: Comparing the precision and cost-effectiveness of faecal pellet group count methods. </w:t>
      </w:r>
      <w:r w:rsidRPr="00550B96">
        <w:rPr>
          <w:rFonts w:ascii="Arial" w:hAnsi="Arial" w:cs="Arial"/>
          <w:i/>
          <w:iCs/>
          <w:noProof/>
          <w:sz w:val="22"/>
        </w:rPr>
        <w:t>Journal of Applied Ecology</w:t>
      </w:r>
      <w:r w:rsidRPr="00550B96">
        <w:rPr>
          <w:rFonts w:ascii="Arial" w:hAnsi="Arial" w:cs="Arial"/>
          <w:noProof/>
          <w:sz w:val="22"/>
        </w:rPr>
        <w:t xml:space="preserve">, </w:t>
      </w:r>
      <w:r w:rsidRPr="00550B96">
        <w:rPr>
          <w:rFonts w:ascii="Arial" w:hAnsi="Arial" w:cs="Arial"/>
          <w:b/>
          <w:bCs/>
          <w:noProof/>
          <w:sz w:val="22"/>
        </w:rPr>
        <w:t>41</w:t>
      </w:r>
      <w:r w:rsidRPr="00550B96">
        <w:rPr>
          <w:rFonts w:ascii="Arial" w:hAnsi="Arial" w:cs="Arial"/>
          <w:noProof/>
          <w:sz w:val="22"/>
        </w:rPr>
        <w:t>, 1185–1196.</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Chao, K.J., Phillips, O.L., Gloor, E., Monteagudo, A., Torres-Lezama, A. &amp; Martínez, R.V. (2008) Growth and wood density predict tree mortality in Amazon forests. </w:t>
      </w:r>
      <w:r w:rsidRPr="00550B96">
        <w:rPr>
          <w:rFonts w:ascii="Arial" w:hAnsi="Arial" w:cs="Arial"/>
          <w:i/>
          <w:iCs/>
          <w:noProof/>
          <w:sz w:val="22"/>
        </w:rPr>
        <w:t>Journal of Ecology</w:t>
      </w:r>
      <w:r w:rsidRPr="00550B96">
        <w:rPr>
          <w:rFonts w:ascii="Arial" w:hAnsi="Arial" w:cs="Arial"/>
          <w:noProof/>
          <w:sz w:val="22"/>
        </w:rPr>
        <w:t xml:space="preserve">, </w:t>
      </w:r>
      <w:r w:rsidRPr="00550B96">
        <w:rPr>
          <w:rFonts w:ascii="Arial" w:hAnsi="Arial" w:cs="Arial"/>
          <w:b/>
          <w:bCs/>
          <w:noProof/>
          <w:sz w:val="22"/>
        </w:rPr>
        <w:t>96</w:t>
      </w:r>
      <w:r w:rsidRPr="00550B96">
        <w:rPr>
          <w:rFonts w:ascii="Arial" w:hAnsi="Arial" w:cs="Arial"/>
          <w:noProof/>
          <w:sz w:val="22"/>
        </w:rPr>
        <w:t>, 281–292.</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Coomes, D. a., Duncan, R.P., Allen, R.B. &amp; Truscott, J. (2003) Disturbances prevent stem size-density distributions in natural forests from following scaling relationships. </w:t>
      </w:r>
      <w:r w:rsidRPr="00550B96">
        <w:rPr>
          <w:rFonts w:ascii="Arial" w:hAnsi="Arial" w:cs="Arial"/>
          <w:i/>
          <w:iCs/>
          <w:noProof/>
          <w:sz w:val="22"/>
        </w:rPr>
        <w:t>Ecology Letters</w:t>
      </w:r>
      <w:r w:rsidRPr="00550B96">
        <w:rPr>
          <w:rFonts w:ascii="Arial" w:hAnsi="Arial" w:cs="Arial"/>
          <w:noProof/>
          <w:sz w:val="22"/>
        </w:rPr>
        <w:t xml:space="preserve">, </w:t>
      </w:r>
      <w:r w:rsidRPr="00550B96">
        <w:rPr>
          <w:rFonts w:ascii="Arial" w:hAnsi="Arial" w:cs="Arial"/>
          <w:b/>
          <w:bCs/>
          <w:noProof/>
          <w:sz w:val="22"/>
        </w:rPr>
        <w:t>6</w:t>
      </w:r>
      <w:r w:rsidRPr="00550B96">
        <w:rPr>
          <w:rFonts w:ascii="Arial" w:hAnsi="Arial" w:cs="Arial"/>
          <w:noProof/>
          <w:sz w:val="22"/>
        </w:rPr>
        <w:t>, 980–989.</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Fortin, M., Bedard, S., DeBlois, J. &amp; Meunier, S. (2008) Predicting individual tree mortality in northern hardwood stands under uneven-aged management in southern Québec , Canada. </w:t>
      </w:r>
      <w:r w:rsidRPr="00550B96">
        <w:rPr>
          <w:rFonts w:ascii="Arial" w:hAnsi="Arial" w:cs="Arial"/>
          <w:i/>
          <w:iCs/>
          <w:noProof/>
          <w:sz w:val="22"/>
        </w:rPr>
        <w:t>Annals of Forest Science</w:t>
      </w:r>
      <w:r w:rsidRPr="00550B96">
        <w:rPr>
          <w:rFonts w:ascii="Arial" w:hAnsi="Arial" w:cs="Arial"/>
          <w:noProof/>
          <w:sz w:val="22"/>
        </w:rPr>
        <w:t xml:space="preserve">, </w:t>
      </w:r>
      <w:r w:rsidRPr="00550B96">
        <w:rPr>
          <w:rFonts w:ascii="Arial" w:hAnsi="Arial" w:cs="Arial"/>
          <w:b/>
          <w:bCs/>
          <w:noProof/>
          <w:sz w:val="22"/>
        </w:rPr>
        <w:t>65</w:t>
      </w:r>
      <w:r w:rsidRPr="00550B96">
        <w:rPr>
          <w:rFonts w:ascii="Arial" w:hAnsi="Arial" w:cs="Arial"/>
          <w:noProof/>
          <w:sz w:val="22"/>
        </w:rPr>
        <w:t>, 205.</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Greene, D.F. &amp; Johnson, E.A. (1994) Estimating the mean annual seed production of trees. </w:t>
      </w:r>
      <w:r w:rsidRPr="00550B96">
        <w:rPr>
          <w:rFonts w:ascii="Arial" w:hAnsi="Arial" w:cs="Arial"/>
          <w:i/>
          <w:iCs/>
          <w:noProof/>
          <w:sz w:val="22"/>
        </w:rPr>
        <w:t>Ecology</w:t>
      </w:r>
      <w:r w:rsidRPr="00550B96">
        <w:rPr>
          <w:rFonts w:ascii="Arial" w:hAnsi="Arial" w:cs="Arial"/>
          <w:noProof/>
          <w:sz w:val="22"/>
        </w:rPr>
        <w:t>, 642–647.</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Holzwarth, F., Kahl, A., Bauhus, J. &amp; Wirth, C. (2013) Many ways to die - partitioning tree mortality dynamics in a near-natural mixed deciduous forest (ed P Zuidema). </w:t>
      </w:r>
      <w:r w:rsidRPr="00550B96">
        <w:rPr>
          <w:rFonts w:ascii="Arial" w:hAnsi="Arial" w:cs="Arial"/>
          <w:i/>
          <w:iCs/>
          <w:noProof/>
          <w:sz w:val="22"/>
        </w:rPr>
        <w:t>Journal of Ecology</w:t>
      </w:r>
      <w:r w:rsidRPr="00550B96">
        <w:rPr>
          <w:rFonts w:ascii="Arial" w:hAnsi="Arial" w:cs="Arial"/>
          <w:noProof/>
          <w:sz w:val="22"/>
        </w:rPr>
        <w:t xml:space="preserve">, </w:t>
      </w:r>
      <w:r w:rsidRPr="00550B96">
        <w:rPr>
          <w:rFonts w:ascii="Arial" w:hAnsi="Arial" w:cs="Arial"/>
          <w:b/>
          <w:bCs/>
          <w:noProof/>
          <w:sz w:val="22"/>
        </w:rPr>
        <w:t>101</w:t>
      </w:r>
      <w:r w:rsidRPr="00550B96">
        <w:rPr>
          <w:rFonts w:ascii="Arial" w:hAnsi="Arial" w:cs="Arial"/>
          <w:noProof/>
          <w:sz w:val="22"/>
        </w:rPr>
        <w:t>, 220–230.</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Jenkins, K.J. &amp; Manly, B.F.J. (2008) A double-observer method for reducing bias in faecal pellet surveys of forest ungulates. </w:t>
      </w:r>
      <w:r w:rsidRPr="00550B96">
        <w:rPr>
          <w:rFonts w:ascii="Arial" w:hAnsi="Arial" w:cs="Arial"/>
          <w:i/>
          <w:iCs/>
          <w:noProof/>
          <w:sz w:val="22"/>
        </w:rPr>
        <w:t>Journal of Applied Ecology</w:t>
      </w:r>
      <w:r w:rsidRPr="00550B96">
        <w:rPr>
          <w:rFonts w:ascii="Arial" w:hAnsi="Arial" w:cs="Arial"/>
          <w:noProof/>
          <w:sz w:val="22"/>
        </w:rPr>
        <w:t xml:space="preserve">, </w:t>
      </w:r>
      <w:r w:rsidRPr="00550B96">
        <w:rPr>
          <w:rFonts w:ascii="Arial" w:hAnsi="Arial" w:cs="Arial"/>
          <w:b/>
          <w:bCs/>
          <w:noProof/>
          <w:sz w:val="22"/>
        </w:rPr>
        <w:t>45</w:t>
      </w:r>
      <w:r w:rsidRPr="00550B96">
        <w:rPr>
          <w:rFonts w:ascii="Arial" w:hAnsi="Arial" w:cs="Arial"/>
          <w:noProof/>
          <w:sz w:val="22"/>
        </w:rPr>
        <w:t>, 1339–1348.</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Van Mantgem, P.J., Stephenson, N.L., Byrne, J.C., Daniels, L.D., Franklin, J.F., Fulé, P.Z., Harmon, M.E., Larson, A.J., Smith, J.M., Taylor, A.H. &amp; Veblen, T.T. (2009) Widespread increase of tree mortality rates in the western United States. </w:t>
      </w:r>
      <w:r w:rsidRPr="00550B96">
        <w:rPr>
          <w:rFonts w:ascii="Arial" w:hAnsi="Arial" w:cs="Arial"/>
          <w:i/>
          <w:iCs/>
          <w:noProof/>
          <w:sz w:val="22"/>
        </w:rPr>
        <w:t>Science (New York, N.Y.)</w:t>
      </w:r>
      <w:r w:rsidRPr="00550B96">
        <w:rPr>
          <w:rFonts w:ascii="Arial" w:hAnsi="Arial" w:cs="Arial"/>
          <w:noProof/>
          <w:sz w:val="22"/>
        </w:rPr>
        <w:t xml:space="preserve">, </w:t>
      </w:r>
      <w:r w:rsidRPr="00550B96">
        <w:rPr>
          <w:rFonts w:ascii="Arial" w:hAnsi="Arial" w:cs="Arial"/>
          <w:b/>
          <w:bCs/>
          <w:noProof/>
          <w:sz w:val="22"/>
        </w:rPr>
        <w:t>323</w:t>
      </w:r>
      <w:r w:rsidRPr="00550B96">
        <w:rPr>
          <w:rFonts w:ascii="Arial" w:hAnsi="Arial" w:cs="Arial"/>
          <w:noProof/>
          <w:sz w:val="22"/>
        </w:rPr>
        <w:t>, 521–524.</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550B96">
        <w:rPr>
          <w:rFonts w:ascii="Arial" w:hAnsi="Arial" w:cs="Arial"/>
          <w:i/>
          <w:iCs/>
          <w:noProof/>
          <w:sz w:val="22"/>
        </w:rPr>
        <w:t>Journal of Applied Ecology</w:t>
      </w:r>
      <w:r w:rsidRPr="00550B96">
        <w:rPr>
          <w:rFonts w:ascii="Arial" w:hAnsi="Arial" w:cs="Arial"/>
          <w:noProof/>
          <w:sz w:val="22"/>
        </w:rPr>
        <w:t xml:space="preserve">, </w:t>
      </w:r>
      <w:r w:rsidRPr="00550B96">
        <w:rPr>
          <w:rFonts w:ascii="Arial" w:hAnsi="Arial" w:cs="Arial"/>
          <w:b/>
          <w:bCs/>
          <w:noProof/>
          <w:sz w:val="22"/>
        </w:rPr>
        <w:t>38</w:t>
      </w:r>
      <w:r w:rsidRPr="00550B96">
        <w:rPr>
          <w:rFonts w:ascii="Arial" w:hAnsi="Arial" w:cs="Arial"/>
          <w:noProof/>
          <w:sz w:val="22"/>
        </w:rPr>
        <w:t>, 349–363.</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Monserud, R. a. &amp; Sterba, H. (1999) Modeling individual tree mortality for Austrian forest species. </w:t>
      </w:r>
      <w:r w:rsidRPr="00550B96">
        <w:rPr>
          <w:rFonts w:ascii="Arial" w:hAnsi="Arial" w:cs="Arial"/>
          <w:i/>
          <w:iCs/>
          <w:noProof/>
          <w:sz w:val="22"/>
        </w:rPr>
        <w:t>Forest Ecology and Management</w:t>
      </w:r>
      <w:r w:rsidRPr="00550B96">
        <w:rPr>
          <w:rFonts w:ascii="Arial" w:hAnsi="Arial" w:cs="Arial"/>
          <w:noProof/>
          <w:sz w:val="22"/>
        </w:rPr>
        <w:t xml:space="preserve">, </w:t>
      </w:r>
      <w:r w:rsidRPr="00550B96">
        <w:rPr>
          <w:rFonts w:ascii="Arial" w:hAnsi="Arial" w:cs="Arial"/>
          <w:b/>
          <w:bCs/>
          <w:noProof/>
          <w:sz w:val="22"/>
        </w:rPr>
        <w:t>113</w:t>
      </w:r>
      <w:r w:rsidRPr="00550B96">
        <w:rPr>
          <w:rFonts w:ascii="Arial" w:hAnsi="Arial" w:cs="Arial"/>
          <w:noProof/>
          <w:sz w:val="22"/>
        </w:rPr>
        <w:t>, 109–123.</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Mountford, E.P. &amp; Peterken, G.F. (2003) Long-term change and implications for the management of wood-pastures: experience over 40 years from Denny Wood, New Forest. </w:t>
      </w:r>
      <w:r w:rsidRPr="00550B96">
        <w:rPr>
          <w:rFonts w:ascii="Arial" w:hAnsi="Arial" w:cs="Arial"/>
          <w:i/>
          <w:iCs/>
          <w:noProof/>
          <w:sz w:val="22"/>
        </w:rPr>
        <w:t>Forestry</w:t>
      </w:r>
      <w:r w:rsidRPr="00550B96">
        <w:rPr>
          <w:rFonts w:ascii="Arial" w:hAnsi="Arial" w:cs="Arial"/>
          <w:noProof/>
          <w:sz w:val="22"/>
        </w:rPr>
        <w:t xml:space="preserve">, </w:t>
      </w:r>
      <w:r w:rsidRPr="00550B96">
        <w:rPr>
          <w:rFonts w:ascii="Arial" w:hAnsi="Arial" w:cs="Arial"/>
          <w:b/>
          <w:bCs/>
          <w:noProof/>
          <w:sz w:val="22"/>
        </w:rPr>
        <w:t>76</w:t>
      </w:r>
      <w:r w:rsidRPr="00550B96">
        <w:rPr>
          <w:rFonts w:ascii="Arial" w:hAnsi="Arial" w:cs="Arial"/>
          <w:noProof/>
          <w:sz w:val="22"/>
        </w:rPr>
        <w:t>, 19–43.</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Peng, C., Ma, Z., Lei, X., Zhu, Q., Chen, H., Wang, W., Liu, S., Li, W., Fang, X. &amp; Zhou, X. (2011) A drought-induced pervasive increase in tree mortality across Canada’s boreal forests. </w:t>
      </w:r>
      <w:r w:rsidRPr="00550B96">
        <w:rPr>
          <w:rFonts w:ascii="Arial" w:hAnsi="Arial" w:cs="Arial"/>
          <w:i/>
          <w:iCs/>
          <w:noProof/>
          <w:sz w:val="22"/>
        </w:rPr>
        <w:t>Nature Climate Change</w:t>
      </w:r>
      <w:r w:rsidRPr="00550B96">
        <w:rPr>
          <w:rFonts w:ascii="Arial" w:hAnsi="Arial" w:cs="Arial"/>
          <w:noProof/>
          <w:sz w:val="22"/>
        </w:rPr>
        <w:t xml:space="preserve">, </w:t>
      </w:r>
      <w:r w:rsidRPr="00550B96">
        <w:rPr>
          <w:rFonts w:ascii="Arial" w:hAnsi="Arial" w:cs="Arial"/>
          <w:b/>
          <w:bCs/>
          <w:noProof/>
          <w:sz w:val="22"/>
        </w:rPr>
        <w:t>1</w:t>
      </w:r>
      <w:r w:rsidRPr="00550B96">
        <w:rPr>
          <w:rFonts w:ascii="Arial" w:hAnsi="Arial" w:cs="Arial"/>
          <w:noProof/>
          <w:sz w:val="22"/>
        </w:rPr>
        <w:t>, 467–471.</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w:t>
      </w:r>
      <w:r w:rsidRPr="00550B96">
        <w:rPr>
          <w:rFonts w:ascii="Arial" w:hAnsi="Arial" w:cs="Arial"/>
          <w:noProof/>
          <w:sz w:val="22"/>
        </w:rPr>
        <w:lastRenderedPageBreak/>
        <w:t xml:space="preserve">points at different spatio-temporal scales: approaches and challenges (ed D Coomes). </w:t>
      </w:r>
      <w:r w:rsidRPr="00550B96">
        <w:rPr>
          <w:rFonts w:ascii="Arial" w:hAnsi="Arial" w:cs="Arial"/>
          <w:i/>
          <w:iCs/>
          <w:noProof/>
          <w:sz w:val="22"/>
        </w:rPr>
        <w:t>Journal of Ecology</w:t>
      </w:r>
      <w:r w:rsidRPr="00550B96">
        <w:rPr>
          <w:rFonts w:ascii="Arial" w:hAnsi="Arial" w:cs="Arial"/>
          <w:noProof/>
          <w:sz w:val="22"/>
        </w:rPr>
        <w:t xml:space="preserve">, </w:t>
      </w:r>
      <w:r w:rsidRPr="00550B96">
        <w:rPr>
          <w:rFonts w:ascii="Arial" w:hAnsi="Arial" w:cs="Arial"/>
          <w:b/>
          <w:bCs/>
          <w:noProof/>
          <w:sz w:val="22"/>
        </w:rPr>
        <w:t>103</w:t>
      </w:r>
      <w:r w:rsidRPr="00550B96">
        <w:rPr>
          <w:rFonts w:ascii="Arial" w:hAnsi="Arial" w:cs="Arial"/>
          <w:noProof/>
          <w:sz w:val="22"/>
        </w:rPr>
        <w:t>, 5–15.</w:t>
      </w:r>
    </w:p>
    <w:p w:rsidR="00550B96" w:rsidRPr="00550B96" w:rsidRDefault="00550B96">
      <w:pPr>
        <w:pStyle w:val="NormalWeb"/>
        <w:ind w:left="480" w:hanging="480"/>
        <w:divId w:val="648167203"/>
        <w:rPr>
          <w:rFonts w:ascii="Arial" w:hAnsi="Arial" w:cs="Arial"/>
          <w:noProof/>
          <w:sz w:val="22"/>
        </w:rPr>
      </w:pPr>
      <w:r w:rsidRPr="00550B96">
        <w:rPr>
          <w:rFonts w:ascii="Arial" w:hAnsi="Arial" w:cs="Arial"/>
          <w:noProof/>
          <w:sz w:val="22"/>
        </w:rPr>
        <w:t xml:space="preserve">Sheil, D., Burslem, D.F.R.P. &amp; Alder, D. (1995) The Interpretation and misinterpretation of mortality rate measures. </w:t>
      </w:r>
      <w:r w:rsidRPr="00550B96">
        <w:rPr>
          <w:rFonts w:ascii="Arial" w:hAnsi="Arial" w:cs="Arial"/>
          <w:i/>
          <w:iCs/>
          <w:noProof/>
          <w:sz w:val="22"/>
        </w:rPr>
        <w:t>Journal of Ecology</w:t>
      </w:r>
      <w:r w:rsidRPr="00550B96">
        <w:rPr>
          <w:rFonts w:ascii="Arial" w:hAnsi="Arial" w:cs="Arial"/>
          <w:noProof/>
          <w:sz w:val="22"/>
        </w:rPr>
        <w:t xml:space="preserve">, </w:t>
      </w:r>
      <w:r w:rsidRPr="00550B96">
        <w:rPr>
          <w:rFonts w:ascii="Arial" w:hAnsi="Arial" w:cs="Arial"/>
          <w:b/>
          <w:bCs/>
          <w:noProof/>
          <w:sz w:val="22"/>
        </w:rPr>
        <w:t>83</w:t>
      </w:r>
      <w:r w:rsidRPr="00550B96">
        <w:rPr>
          <w:rFonts w:ascii="Arial" w:hAnsi="Arial" w:cs="Arial"/>
          <w:noProof/>
          <w:sz w:val="22"/>
        </w:rPr>
        <w:t>, 331–333.</w:t>
      </w:r>
    </w:p>
    <w:p w:rsidR="00210A49" w:rsidRPr="00E94C26" w:rsidRDefault="00F262DF" w:rsidP="00550B96">
      <w:pPr>
        <w:pStyle w:val="NormalWeb"/>
        <w:ind w:left="480" w:hanging="480"/>
        <w:divId w:val="321934033"/>
        <w:rPr>
          <w:rFonts w:ascii="Arial" w:hAnsi="Arial" w:cs="Arial"/>
        </w:rPr>
      </w:pPr>
      <w:r>
        <w:rPr>
          <w:rFonts w:ascii="Arial" w:hAnsi="Arial" w:cs="Arial"/>
        </w:rPr>
        <w:fldChar w:fldCharType="end"/>
      </w:r>
    </w:p>
    <w:sectPr w:rsidR="00210A49"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5-09T10:12:00Z" w:initials="PM">
    <w:p w:rsidR="004A5CBE" w:rsidRDefault="004A5CBE">
      <w:pPr>
        <w:pStyle w:val="CommentText"/>
      </w:pPr>
      <w:r>
        <w:rPr>
          <w:rStyle w:val="CommentReference"/>
        </w:rPr>
        <w:annotationRef/>
      </w:r>
      <w:r>
        <w:t>These are not truly non-forest states. I need to change this later</w:t>
      </w:r>
    </w:p>
  </w:comment>
  <w:comment w:id="1" w:author="Phil Martin" w:date="2015-05-21T13:00:00Z" w:initials="PM">
    <w:p w:rsidR="00A365D6" w:rsidRDefault="00A365D6">
      <w:pPr>
        <w:pStyle w:val="CommentText"/>
      </w:pPr>
      <w:r>
        <w:rPr>
          <w:rStyle w:val="CommentReference"/>
        </w:rPr>
        <w:annotationRef/>
      </w:r>
      <w:r>
        <w:t>Produce a similar figure for all species individually</w:t>
      </w:r>
    </w:p>
  </w:comment>
  <w:comment w:id="2" w:author="Phil Martin" w:date="2015-05-21T13:00:00Z" w:initials="PM">
    <w:p w:rsidR="00A365D6" w:rsidRDefault="00A365D6">
      <w:pPr>
        <w:pStyle w:val="CommentText"/>
      </w:pPr>
      <w:r>
        <w:rPr>
          <w:rStyle w:val="CommentReference"/>
        </w:rPr>
        <w:annotationRef/>
      </w:r>
      <w:r>
        <w:t>Produce models for oak and holly</w:t>
      </w:r>
    </w:p>
  </w:comment>
  <w:comment w:id="3" w:author="Phil Martin" w:date="2015-05-21T13:00:00Z" w:initials="PM">
    <w:p w:rsidR="00A365D6" w:rsidRDefault="00A365D6">
      <w:pPr>
        <w:pStyle w:val="CommentText"/>
      </w:pPr>
      <w:r>
        <w:rPr>
          <w:rStyle w:val="CommentReference"/>
        </w:rPr>
        <w:annotationRef/>
      </w:r>
      <w:r>
        <w:t>Get results of similar models for holly and oak</w:t>
      </w:r>
    </w:p>
  </w:comment>
  <w:comment w:id="4" w:author="Phil Martin" w:date="2015-05-21T13:02:00Z" w:initials="PM">
    <w:p w:rsidR="00A365D6" w:rsidRDefault="00A365D6">
      <w:pPr>
        <w:pStyle w:val="CommentText"/>
      </w:pPr>
      <w:r>
        <w:rPr>
          <w:rStyle w:val="CommentReference"/>
        </w:rPr>
        <w:annotationRef/>
      </w:r>
      <w:r>
        <w:t xml:space="preserve">Produce models and figures of the relationship between canopy openness and seedling </w:t>
      </w:r>
      <w:r>
        <w:t>density</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9"/>
  </w:num>
  <w:num w:numId="5">
    <w:abstractNumId w:val="11"/>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13537F"/>
    <w:rsid w:val="00141DB0"/>
    <w:rsid w:val="001F0817"/>
    <w:rsid w:val="00210A49"/>
    <w:rsid w:val="00214A19"/>
    <w:rsid w:val="0024119F"/>
    <w:rsid w:val="002E1A3D"/>
    <w:rsid w:val="00343C56"/>
    <w:rsid w:val="003A2B2F"/>
    <w:rsid w:val="003B4207"/>
    <w:rsid w:val="004810E6"/>
    <w:rsid w:val="004972E6"/>
    <w:rsid w:val="004A5CBE"/>
    <w:rsid w:val="00550B96"/>
    <w:rsid w:val="00560D45"/>
    <w:rsid w:val="005915D6"/>
    <w:rsid w:val="005F05BA"/>
    <w:rsid w:val="00654F32"/>
    <w:rsid w:val="006F5186"/>
    <w:rsid w:val="00707775"/>
    <w:rsid w:val="007B1610"/>
    <w:rsid w:val="007F1451"/>
    <w:rsid w:val="008635F1"/>
    <w:rsid w:val="008B325C"/>
    <w:rsid w:val="008C0FB7"/>
    <w:rsid w:val="009578E6"/>
    <w:rsid w:val="009A75A7"/>
    <w:rsid w:val="00A365D6"/>
    <w:rsid w:val="00A7669F"/>
    <w:rsid w:val="00AC7BB4"/>
    <w:rsid w:val="00B04394"/>
    <w:rsid w:val="00B46DE7"/>
    <w:rsid w:val="00B93215"/>
    <w:rsid w:val="00C46459"/>
    <w:rsid w:val="00D1587D"/>
    <w:rsid w:val="00D644F8"/>
    <w:rsid w:val="00DB2877"/>
    <w:rsid w:val="00DC1C53"/>
    <w:rsid w:val="00E46DB5"/>
    <w:rsid w:val="00E55003"/>
    <w:rsid w:val="00E94C26"/>
    <w:rsid w:val="00EB1B07"/>
    <w:rsid w:val="00EC3673"/>
    <w:rsid w:val="00EC5CC9"/>
    <w:rsid w:val="00F06791"/>
    <w:rsid w:val="00F262DF"/>
    <w:rsid w:val="00F35515"/>
    <w:rsid w:val="00F41B50"/>
    <w:rsid w:val="00F75EED"/>
    <w:rsid w:val="00FA7178"/>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65430211">
                                      <w:marLeft w:val="0"/>
                                      <w:marRight w:val="0"/>
                                      <w:marTop w:val="0"/>
                                      <w:marBottom w:val="0"/>
                                      <w:divBdr>
                                        <w:top w:val="none" w:sz="0" w:space="0" w:color="auto"/>
                                        <w:left w:val="none" w:sz="0" w:space="0" w:color="auto"/>
                                        <w:bottom w:val="none" w:sz="0" w:space="0" w:color="auto"/>
                                        <w:right w:val="none" w:sz="0" w:space="0" w:color="auto"/>
                                      </w:divBdr>
                                    </w:div>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33DFD-03C9-420B-9EB6-C8F60769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11464</Words>
  <Characters>65348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5</cp:revision>
  <dcterms:created xsi:type="dcterms:W3CDTF">2015-05-21T09:36:00Z</dcterms:created>
  <dcterms:modified xsi:type="dcterms:W3CDTF">2015-05-21T11:03:00Z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