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larger trees 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D81A0F" w:rsidP="00DE059E">
      <w:pPr>
        <w:spacing w:line="360" w:lineRule="auto"/>
        <w:contextualSpacing/>
        <w:rPr>
          <w:rFonts w:ascii="Arial" w:hAnsi="Arial" w:cs="Arial"/>
          <w:b/>
        </w:rPr>
      </w:pPr>
      <w:r>
        <w:rPr>
          <w:rFonts w:ascii="Arial" w:hAnsi="Arial" w:cs="Arial"/>
          <w:b/>
        </w:rPr>
        <w:t>Individual based model</w:t>
      </w:r>
      <w:r w:rsidR="00F262DF">
        <w:rPr>
          <w:rFonts w:ascii="Arial" w:hAnsi="Arial" w:cs="Arial"/>
          <w:b/>
        </w:rPr>
        <w:t xml:space="preserve"> </w:t>
      </w:r>
    </w:p>
    <w:p w:rsidR="00D81A0F" w:rsidRDefault="00D81A0F" w:rsidP="00DE059E">
      <w:pPr>
        <w:spacing w:line="360" w:lineRule="auto"/>
        <w:contextualSpacing/>
        <w:rPr>
          <w:rFonts w:ascii="Arial" w:hAnsi="Arial" w:cs="Arial"/>
        </w:rPr>
      </w:pPr>
    </w:p>
    <w:p w:rsidR="00D81A0F" w:rsidRDefault="00D81A0F" w:rsidP="00DE059E">
      <w:pPr>
        <w:spacing w:line="360" w:lineRule="auto"/>
        <w:contextualSpacing/>
        <w:rPr>
          <w:rFonts w:ascii="Arial" w:hAnsi="Arial" w:cs="Arial"/>
        </w:rPr>
      </w:pPr>
      <w:r>
        <w:rPr>
          <w:rFonts w:ascii="Arial" w:hAnsi="Arial" w:cs="Arial"/>
        </w:rPr>
        <w:t xml:space="preserve">The model description follows the ODD protocol for describing individual based models </w:t>
      </w:r>
      <w:r>
        <w:rPr>
          <w:rFonts w:ascii="Arial" w:hAnsi="Arial" w:cs="Arial"/>
        </w:rPr>
        <w:fldChar w:fldCharType="begin" w:fldLock="1"/>
      </w:r>
      <w:r w:rsidR="00FA4889">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Pr>
          <w:rFonts w:ascii="Arial" w:hAnsi="Arial" w:cs="Arial"/>
        </w:rPr>
        <w:fldChar w:fldCharType="separate"/>
      </w:r>
      <w:r w:rsidRPr="00D81A0F">
        <w:rPr>
          <w:rFonts w:ascii="Arial" w:hAnsi="Arial" w:cs="Arial"/>
          <w:noProof/>
        </w:rPr>
        <w:t xml:space="preserve">(Grimm </w:t>
      </w:r>
      <w:r w:rsidRPr="00D81A0F">
        <w:rPr>
          <w:rFonts w:ascii="Arial" w:hAnsi="Arial" w:cs="Arial"/>
          <w:i/>
          <w:noProof/>
        </w:rPr>
        <w:t>et al.</w:t>
      </w:r>
      <w:r w:rsidRPr="00D81A0F">
        <w:rPr>
          <w:rFonts w:ascii="Arial" w:hAnsi="Arial" w:cs="Arial"/>
          <w:noProof/>
        </w:rPr>
        <w:t xml:space="preserve"> 2006)</w:t>
      </w:r>
      <w:r>
        <w:rPr>
          <w:rFonts w:ascii="Arial" w:hAnsi="Arial" w:cs="Arial"/>
        </w:rPr>
        <w:fldChar w:fldCharType="end"/>
      </w:r>
      <w:r>
        <w:rPr>
          <w:rFonts w:ascii="Arial" w:hAnsi="Arial" w:cs="Arial"/>
        </w:rPr>
        <w:t xml:space="preserve">. </w:t>
      </w:r>
    </w:p>
    <w:p w:rsidR="00D81A0F" w:rsidRDefault="00D81A0F" w:rsidP="00DE059E">
      <w:pPr>
        <w:spacing w:line="360" w:lineRule="auto"/>
        <w:contextualSpacing/>
        <w:rPr>
          <w:rFonts w:ascii="Arial" w:hAnsi="Arial" w:cs="Arial"/>
        </w:rPr>
      </w:pPr>
    </w:p>
    <w:p w:rsidR="00D81A0F" w:rsidRPr="003C0F9A" w:rsidRDefault="00D81A0F" w:rsidP="00DE059E">
      <w:pPr>
        <w:spacing w:line="360" w:lineRule="auto"/>
        <w:contextualSpacing/>
        <w:rPr>
          <w:rFonts w:ascii="Arial" w:hAnsi="Arial" w:cs="Arial"/>
          <w:b/>
        </w:rPr>
      </w:pPr>
      <w:r w:rsidRPr="003C0F9A">
        <w:rPr>
          <w:rFonts w:ascii="Arial" w:hAnsi="Arial" w:cs="Arial"/>
          <w:b/>
        </w:rPr>
        <w:t>Purpose</w:t>
      </w:r>
    </w:p>
    <w:p w:rsidR="00D81A0F" w:rsidRDefault="00D81A0F" w:rsidP="00DE059E">
      <w:pPr>
        <w:spacing w:line="360" w:lineRule="auto"/>
        <w:contextualSpacing/>
        <w:rPr>
          <w:rFonts w:ascii="Arial" w:hAnsi="Arial" w:cs="Arial"/>
        </w:rPr>
      </w:pPr>
      <w:r>
        <w:rPr>
          <w:rFonts w:ascii="Arial" w:hAnsi="Arial" w:cs="Arial"/>
        </w:rPr>
        <w:t xml:space="preserve">We used the model to investigate under what conditions loss of tree cover </w:t>
      </w:r>
      <w:r w:rsidR="003C0F9A">
        <w:rPr>
          <w:rFonts w:ascii="Arial" w:hAnsi="Arial" w:cs="Arial"/>
        </w:rPr>
        <w:t xml:space="preserve">and basal area (BA) </w:t>
      </w:r>
      <w:r>
        <w:rPr>
          <w:rFonts w:ascii="Arial" w:hAnsi="Arial" w:cs="Arial"/>
        </w:rPr>
        <w:t xml:space="preserve">might occur in a simplified representation of a beech woodland. </w:t>
      </w:r>
    </w:p>
    <w:p w:rsidR="00D81A0F" w:rsidRDefault="00D81A0F" w:rsidP="00DE059E">
      <w:pPr>
        <w:spacing w:line="360" w:lineRule="auto"/>
        <w:contextualSpacing/>
        <w:rPr>
          <w:rFonts w:ascii="Arial" w:hAnsi="Arial" w:cs="Arial"/>
        </w:rPr>
      </w:pPr>
    </w:p>
    <w:p w:rsidR="00D81A0F" w:rsidRPr="00D81A0F" w:rsidRDefault="00D81A0F" w:rsidP="00DE059E">
      <w:pPr>
        <w:spacing w:line="360" w:lineRule="auto"/>
        <w:contextualSpacing/>
        <w:rPr>
          <w:rFonts w:ascii="Arial" w:hAnsi="Arial" w:cs="Arial"/>
          <w:b/>
        </w:rPr>
      </w:pPr>
      <w:r w:rsidRPr="00D81A0F">
        <w:rPr>
          <w:rFonts w:ascii="Arial" w:hAnsi="Arial" w:cs="Arial"/>
          <w:b/>
        </w:rPr>
        <w:t>Entities</w:t>
      </w:r>
      <w:r>
        <w:rPr>
          <w:rFonts w:ascii="Arial" w:hAnsi="Arial" w:cs="Arial"/>
          <w:b/>
        </w:rPr>
        <w:t>, state variables</w:t>
      </w:r>
      <w:r w:rsidRPr="00D81A0F">
        <w:rPr>
          <w:rFonts w:ascii="Arial" w:hAnsi="Arial" w:cs="Arial"/>
          <w:b/>
        </w:rPr>
        <w:t xml:space="preserve"> and </w:t>
      </w:r>
      <w:r>
        <w:rPr>
          <w:rFonts w:ascii="Arial" w:hAnsi="Arial" w:cs="Arial"/>
          <w:b/>
        </w:rPr>
        <w:t>scales</w:t>
      </w:r>
    </w:p>
    <w:p w:rsidR="003B528F" w:rsidRDefault="00D81A0F" w:rsidP="00DE059E">
      <w:pPr>
        <w:spacing w:line="360" w:lineRule="auto"/>
        <w:contextualSpacing/>
        <w:rPr>
          <w:rFonts w:ascii="Arial" w:hAnsi="Arial" w:cs="Arial"/>
        </w:rPr>
      </w:pPr>
      <w:r>
        <w:rPr>
          <w:rFonts w:ascii="Arial" w:hAnsi="Arial" w:cs="Arial"/>
        </w:rPr>
        <w:t>The model comprises of two types of entities: grid cells and individuals. Individuals represent beech trees. Each individual is ch</w:t>
      </w:r>
      <w:r w:rsidR="003B528F">
        <w:rPr>
          <w:rFonts w:ascii="Arial" w:hAnsi="Arial" w:cs="Arial"/>
        </w:rPr>
        <w:t xml:space="preserve">aracterised by its location, development stage (seedling, sapling, mature), </w:t>
      </w:r>
      <w:proofErr w:type="gramStart"/>
      <w:r w:rsidR="003B528F">
        <w:rPr>
          <w:rFonts w:ascii="Arial" w:hAnsi="Arial" w:cs="Arial"/>
        </w:rPr>
        <w:t>age</w:t>
      </w:r>
      <w:proofErr w:type="gramEnd"/>
      <w:r w:rsidR="003B528F">
        <w:rPr>
          <w:rFonts w:ascii="Arial" w:hAnsi="Arial" w:cs="Arial"/>
        </w:rPr>
        <w:t xml:space="preserve"> (in years), DBH (cm), basal area (</w:t>
      </w:r>
      <w:r w:rsidR="003B528F" w:rsidRPr="003B528F">
        <w:rPr>
          <w:rFonts w:ascii="Arial" w:hAnsi="Arial" w:cs="Arial"/>
        </w:rPr>
        <w:t>m</w:t>
      </w:r>
      <w:r w:rsidR="003B528F">
        <w:rPr>
          <w:rFonts w:ascii="Arial" w:hAnsi="Arial" w:cs="Arial"/>
          <w:vertAlign w:val="superscript"/>
        </w:rPr>
        <w:t>2</w:t>
      </w:r>
      <w:r w:rsidR="003B528F">
        <w:rPr>
          <w:rFonts w:ascii="Arial" w:hAnsi="Arial" w:cs="Arial"/>
        </w:rPr>
        <w:t>)</w:t>
      </w:r>
      <w:r w:rsidR="003B528F">
        <w:rPr>
          <w:rFonts w:ascii="Arial" w:hAnsi="Arial" w:cs="Arial"/>
          <w:vertAlign w:val="superscript"/>
        </w:rPr>
        <w:t xml:space="preserve"> </w:t>
      </w:r>
      <w:r w:rsidR="003B528F" w:rsidRPr="003B528F">
        <w:rPr>
          <w:rFonts w:ascii="Arial" w:hAnsi="Arial" w:cs="Arial"/>
        </w:rPr>
        <w:t>and</w:t>
      </w:r>
      <w:r w:rsidR="003B528F">
        <w:rPr>
          <w:rFonts w:ascii="Arial" w:hAnsi="Arial" w:cs="Arial"/>
        </w:rPr>
        <w:t xml:space="preserve">, mean seed dispersal distance (mean distance from the source, in number of cells). </w:t>
      </w:r>
      <w:r w:rsidR="00FA4889">
        <w:rPr>
          <w:rFonts w:ascii="Arial" w:hAnsi="Arial" w:cs="Arial"/>
        </w:rPr>
        <w:t xml:space="preserve">DBH of mature trees </w:t>
      </w:r>
      <w:r w:rsidR="00890A2D">
        <w:rPr>
          <w:rFonts w:ascii="Arial" w:hAnsi="Arial" w:cs="Arial"/>
        </w:rPr>
        <w:t xml:space="preserve">and saplings </w:t>
      </w:r>
      <w:r w:rsidR="00FA4889">
        <w:rPr>
          <w:rFonts w:ascii="Arial" w:hAnsi="Arial" w:cs="Arial"/>
        </w:rPr>
        <w:t xml:space="preserve">is derived from the age of trees using an equation for </w:t>
      </w:r>
      <w:r w:rsidR="00890A2D">
        <w:rPr>
          <w:rFonts w:ascii="Arial" w:hAnsi="Arial" w:cs="Arial"/>
        </w:rPr>
        <w:t xml:space="preserve">beech </w:t>
      </w:r>
      <w:r w:rsidR="00FA4889">
        <w:rPr>
          <w:rFonts w:ascii="Arial" w:hAnsi="Arial" w:cs="Arial"/>
        </w:rPr>
        <w:t xml:space="preserve">growth defined in </w:t>
      </w:r>
      <w:r w:rsidR="00FA4889">
        <w:rPr>
          <w:rFonts w:ascii="Arial" w:hAnsi="Arial" w:cs="Arial"/>
        </w:rPr>
        <w:fldChar w:fldCharType="begin" w:fldLock="1"/>
      </w:r>
      <w:r w:rsidR="00FA4889">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00FA4889">
        <w:rPr>
          <w:rFonts w:ascii="Arial" w:hAnsi="Arial" w:cs="Arial"/>
        </w:rPr>
        <w:fldChar w:fldCharType="separate"/>
      </w:r>
      <w:r w:rsidR="00FA4889" w:rsidRPr="00FA4889">
        <w:rPr>
          <w:rFonts w:ascii="Arial" w:hAnsi="Arial" w:cs="Arial"/>
          <w:noProof/>
        </w:rPr>
        <w:t xml:space="preserve">Holzwarth </w:t>
      </w:r>
      <w:r w:rsidR="00FA4889" w:rsidRPr="00FA4889">
        <w:rPr>
          <w:rFonts w:ascii="Arial" w:hAnsi="Arial" w:cs="Arial"/>
          <w:i/>
          <w:noProof/>
        </w:rPr>
        <w:t>et al.</w:t>
      </w:r>
      <w:r w:rsidR="00FA4889" w:rsidRPr="00FA4889">
        <w:rPr>
          <w:rFonts w:ascii="Arial" w:hAnsi="Arial" w:cs="Arial"/>
          <w:noProof/>
        </w:rPr>
        <w:t xml:space="preserve"> </w:t>
      </w:r>
      <w:r w:rsidR="00FA4889">
        <w:rPr>
          <w:rFonts w:ascii="Arial" w:hAnsi="Arial" w:cs="Arial"/>
          <w:noProof/>
        </w:rPr>
        <w:t>(</w:t>
      </w:r>
      <w:r w:rsidR="00FA4889" w:rsidRPr="00FA4889">
        <w:rPr>
          <w:rFonts w:ascii="Arial" w:hAnsi="Arial" w:cs="Arial"/>
          <w:noProof/>
        </w:rPr>
        <w:t>2013)</w:t>
      </w:r>
      <w:r w:rsidR="00FA4889">
        <w:rPr>
          <w:rFonts w:ascii="Arial" w:hAnsi="Arial" w:cs="Arial"/>
        </w:rPr>
        <w:fldChar w:fldCharType="end"/>
      </w:r>
      <w:r w:rsidR="00890A2D">
        <w:rPr>
          <w:rFonts w:ascii="Arial" w:hAnsi="Arial" w:cs="Arial"/>
        </w:rPr>
        <w:t xml:space="preserve"> and BA defined as </w:t>
      </w:r>
      <m:oMath>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DBH</m:t>
                    </m:r>
                  </m:num>
                  <m:den>
                    <m:r>
                      <w:rPr>
                        <w:rFonts w:ascii="Cambria Math" w:hAnsi="Cambria Math" w:cs="Arial"/>
                      </w:rPr>
                      <m:t>200</m:t>
                    </m:r>
                  </m:den>
                </m:f>
              </m:e>
            </m:d>
          </m:e>
          <m:sup>
            <m:r>
              <w:rPr>
                <w:rFonts w:ascii="Cambria Math" w:hAnsi="Cambria Math" w:cs="Arial"/>
              </w:rPr>
              <m:t>2</m:t>
            </m:r>
          </m:sup>
        </m:sSup>
        <m:r>
          <w:rPr>
            <w:rFonts w:ascii="Cambria Math" w:hAnsi="Cambria Math" w:cs="Arial"/>
          </w:rPr>
          <m:t>×π</m:t>
        </m:r>
      </m:oMath>
      <w:r w:rsidR="00FA4889">
        <w:rPr>
          <w:rFonts w:ascii="Arial" w:hAnsi="Arial" w:cs="Arial"/>
        </w:rPr>
        <w:t xml:space="preserve">. </w:t>
      </w:r>
      <w:r w:rsidR="003B528F">
        <w:rPr>
          <w:rFonts w:ascii="Arial" w:hAnsi="Arial" w:cs="Arial"/>
        </w:rPr>
        <w:t xml:space="preserve">All grid cells in the model are considered suitable for individuals. </w:t>
      </w:r>
      <w:r w:rsidR="00890A2D">
        <w:rPr>
          <w:rFonts w:ascii="Arial" w:hAnsi="Arial" w:cs="Arial"/>
        </w:rPr>
        <w:t xml:space="preserve">Dispersal distance consists of a random number drawn from an exponential distribution with a mean of 5. </w:t>
      </w:r>
      <w:r w:rsidR="003B528F">
        <w:rPr>
          <w:rFonts w:ascii="Arial" w:hAnsi="Arial" w:cs="Arial"/>
        </w:rPr>
        <w:t>Each grid cell can only contain one mature individual, but may contain multiple seedlings and saplings. The model landscape consists of 100 x 100 grid cells, with each cell representing 1 m</w:t>
      </w:r>
      <w:r w:rsidR="003B528F">
        <w:rPr>
          <w:rFonts w:ascii="Arial" w:hAnsi="Arial" w:cs="Arial"/>
          <w:vertAlign w:val="superscript"/>
        </w:rPr>
        <w:t>2</w:t>
      </w:r>
      <w:r w:rsidR="003B528F">
        <w:rPr>
          <w:rFonts w:ascii="Arial" w:hAnsi="Arial" w:cs="Arial"/>
        </w:rPr>
        <w:t>, thus the entire area represents 1 ha. Each model time step represents one year.</w:t>
      </w:r>
    </w:p>
    <w:p w:rsidR="00FA4889" w:rsidRPr="00FA4889" w:rsidRDefault="00FA4889" w:rsidP="00DE059E">
      <w:pPr>
        <w:spacing w:line="360" w:lineRule="auto"/>
        <w:contextualSpacing/>
        <w:rPr>
          <w:rFonts w:ascii="Arial" w:hAnsi="Arial" w:cs="Arial"/>
          <w:b/>
        </w:rPr>
      </w:pPr>
      <w:r w:rsidRPr="00FA4889">
        <w:rPr>
          <w:rFonts w:ascii="Arial" w:hAnsi="Arial" w:cs="Arial"/>
          <w:b/>
        </w:rPr>
        <w:lastRenderedPageBreak/>
        <w:t>Process overview and scheduling</w:t>
      </w:r>
    </w:p>
    <w:p w:rsidR="00FA4889" w:rsidRDefault="00FA4889" w:rsidP="00DE059E">
      <w:pPr>
        <w:spacing w:line="360" w:lineRule="auto"/>
        <w:contextualSpacing/>
        <w:rPr>
          <w:rFonts w:ascii="Arial" w:hAnsi="Arial" w:cs="Arial"/>
        </w:rPr>
      </w:pPr>
      <w:r>
        <w:rPr>
          <w:rFonts w:ascii="Arial" w:hAnsi="Arial" w:cs="Arial"/>
        </w:rPr>
        <w:t>Initial</w:t>
      </w:r>
      <w:r w:rsidR="00890A2D">
        <w:rPr>
          <w:rFonts w:ascii="Arial" w:hAnsi="Arial" w:cs="Arial"/>
        </w:rPr>
        <w:t>ly</w:t>
      </w:r>
      <w:r>
        <w:rPr>
          <w:rFonts w:ascii="Arial" w:hAnsi="Arial" w:cs="Arial"/>
        </w:rPr>
        <w:t xml:space="preserve"> the distribution</w:t>
      </w:r>
      <w:r w:rsidR="00890A2D">
        <w:rPr>
          <w:rFonts w:ascii="Arial" w:hAnsi="Arial" w:cs="Arial"/>
        </w:rPr>
        <w:t xml:space="preserve"> </w:t>
      </w:r>
      <w:r w:rsidR="00133522">
        <w:rPr>
          <w:rFonts w:ascii="Arial" w:hAnsi="Arial" w:cs="Arial"/>
        </w:rPr>
        <w:t xml:space="preserve">of individuals </w:t>
      </w:r>
      <w:r w:rsidR="00890A2D">
        <w:rPr>
          <w:rFonts w:ascii="Arial" w:hAnsi="Arial" w:cs="Arial"/>
        </w:rPr>
        <w:t>is determined by randomly distributing 400 mature individuals with a random age drawn from an exponential distribution with a mean of 160 years assigned to each individual. At the same time 10,000 seedling</w:t>
      </w:r>
      <w:r w:rsidR="00133522">
        <w:rPr>
          <w:rFonts w:ascii="Arial" w:hAnsi="Arial" w:cs="Arial"/>
        </w:rPr>
        <w:t>s</w:t>
      </w:r>
      <w:r w:rsidR="00890A2D">
        <w:rPr>
          <w:rFonts w:ascii="Arial" w:hAnsi="Arial" w:cs="Arial"/>
        </w:rPr>
        <w:t xml:space="preserve"> are randomly distributed across the space.</w:t>
      </w:r>
      <w:r w:rsidR="003C0F9A">
        <w:rPr>
          <w:rFonts w:ascii="Arial" w:hAnsi="Arial" w:cs="Arial"/>
        </w:rPr>
        <w:t xml:space="preserve"> The</w:t>
      </w:r>
      <w:r w:rsidR="00133522">
        <w:rPr>
          <w:rFonts w:ascii="Arial" w:hAnsi="Arial" w:cs="Arial"/>
        </w:rPr>
        <w:t>n</w:t>
      </w:r>
      <w:r w:rsidR="003C0F9A">
        <w:rPr>
          <w:rFonts w:ascii="Arial" w:hAnsi="Arial" w:cs="Arial"/>
        </w:rPr>
        <w:t xml:space="preserve"> in each time step the following events are processed in the given order: increase age of individuals by one year, seed dispersal from mature trees &gt; 20 years old and death.</w:t>
      </w:r>
    </w:p>
    <w:p w:rsidR="003C0F9A" w:rsidRDefault="003C0F9A" w:rsidP="00DE059E">
      <w:pPr>
        <w:spacing w:line="360" w:lineRule="auto"/>
        <w:contextualSpacing/>
        <w:rPr>
          <w:rFonts w:ascii="Arial" w:hAnsi="Arial" w:cs="Arial"/>
        </w:rPr>
      </w:pPr>
    </w:p>
    <w:p w:rsidR="00133522" w:rsidRPr="00133522" w:rsidRDefault="00133522" w:rsidP="00DE059E">
      <w:pPr>
        <w:spacing w:line="360" w:lineRule="auto"/>
        <w:contextualSpacing/>
        <w:rPr>
          <w:rFonts w:ascii="Arial" w:hAnsi="Arial" w:cs="Arial"/>
          <w:b/>
        </w:rPr>
      </w:pPr>
      <w:r w:rsidRPr="00133522">
        <w:rPr>
          <w:rFonts w:ascii="Arial" w:hAnsi="Arial" w:cs="Arial"/>
          <w:b/>
        </w:rPr>
        <w:t>Design concepts</w:t>
      </w:r>
    </w:p>
    <w:p w:rsidR="00DE059E" w:rsidRPr="003C0F9A" w:rsidRDefault="00133522" w:rsidP="00DE059E">
      <w:pPr>
        <w:spacing w:line="360" w:lineRule="auto"/>
        <w:contextualSpacing/>
        <w:rPr>
          <w:rFonts w:ascii="Arial" w:hAnsi="Arial" w:cs="Arial"/>
        </w:rPr>
      </w:pPr>
      <w:r>
        <w:rPr>
          <w:rFonts w:ascii="Arial" w:hAnsi="Arial" w:cs="Arial"/>
        </w:rPr>
        <w:t>The t</w:t>
      </w:r>
      <w:r w:rsidR="003C0F9A">
        <w:rPr>
          <w:rFonts w:ascii="Arial" w:hAnsi="Arial" w:cs="Arial"/>
        </w:rPr>
        <w:t xml:space="preserve">otal number of mature trees and basal area </w:t>
      </w:r>
      <w:r w:rsidR="003C0F9A">
        <w:rPr>
          <w:rFonts w:ascii="Arial" w:hAnsi="Arial" w:cs="Arial"/>
          <w:i/>
        </w:rPr>
        <w:t>emerge</w:t>
      </w:r>
      <w:r w:rsidR="003C0F9A">
        <w:rPr>
          <w:rFonts w:ascii="Arial" w:hAnsi="Arial" w:cs="Arial"/>
        </w:rPr>
        <w:t xml:space="preserve"> from changes in the probability of mature tree mortality that occur as they age and increase in size, as well as from changes in the mortality of both seedlings and saplings.</w:t>
      </w:r>
      <w:r>
        <w:rPr>
          <w:rFonts w:ascii="Arial" w:hAnsi="Arial" w:cs="Arial"/>
        </w:rPr>
        <w:t xml:space="preserve"> </w:t>
      </w:r>
      <w:r w:rsidRPr="00133522">
        <w:rPr>
          <w:rFonts w:ascii="Arial" w:hAnsi="Arial" w:cs="Arial"/>
          <w:i/>
        </w:rPr>
        <w:t>Interactions</w:t>
      </w:r>
      <w:r>
        <w:rPr>
          <w:rFonts w:ascii="Arial" w:hAnsi="Arial" w:cs="Arial"/>
        </w:rPr>
        <w:t xml:space="preserve"> between individuals are the result of density dependant mortality processes, which show size asymmetry. This is modelled by defining a maximum number of s</w:t>
      </w:r>
      <w:r w:rsidR="00D77E51">
        <w:rPr>
          <w:rFonts w:ascii="Arial" w:hAnsi="Arial" w:cs="Arial"/>
        </w:rPr>
        <w:t>aplin</w:t>
      </w:r>
      <w:r>
        <w:rPr>
          <w:rFonts w:ascii="Arial" w:hAnsi="Arial" w:cs="Arial"/>
        </w:rPr>
        <w:t xml:space="preserve">gs that can coexist within </w:t>
      </w:r>
      <w:r w:rsidR="00D77E51">
        <w:rPr>
          <w:rFonts w:ascii="Arial" w:hAnsi="Arial" w:cs="Arial"/>
        </w:rPr>
        <w:t xml:space="preserve">the area as 274, following Putman et </w:t>
      </w:r>
      <w:proofErr w:type="spellStart"/>
      <w:r w:rsidR="00D77E51">
        <w:rPr>
          <w:rFonts w:ascii="Arial" w:hAnsi="Arial" w:cs="Arial"/>
        </w:rPr>
        <w:t>al’s</w:t>
      </w:r>
      <w:proofErr w:type="spellEnd"/>
      <w:r w:rsidR="00D77E51">
        <w:rPr>
          <w:rFonts w:ascii="Arial" w:hAnsi="Arial" w:cs="Arial"/>
        </w:rPr>
        <w:t xml:space="preserve"> (1989) estimation of sapling density in </w:t>
      </w:r>
      <w:proofErr w:type="spellStart"/>
      <w:r w:rsidR="00D77E51">
        <w:rPr>
          <w:rFonts w:ascii="Arial" w:hAnsi="Arial" w:cs="Arial"/>
        </w:rPr>
        <w:t>ungrazed</w:t>
      </w:r>
      <w:proofErr w:type="spellEnd"/>
      <w:r w:rsidR="00D77E51">
        <w:rPr>
          <w:rFonts w:ascii="Arial" w:hAnsi="Arial" w:cs="Arial"/>
        </w:rPr>
        <w:t xml:space="preserve"> plots in the New Forest</w:t>
      </w:r>
      <w:bookmarkStart w:id="0" w:name="_GoBack"/>
      <w:bookmarkEnd w:id="0"/>
      <w:r w:rsidR="00D77E51">
        <w:rPr>
          <w:rFonts w:ascii="Arial" w:hAnsi="Arial" w:cs="Arial"/>
        </w:rPr>
        <w:t>.</w:t>
      </w:r>
    </w:p>
    <w:p w:rsidR="003C0F9A" w:rsidRDefault="003C0F9A" w:rsidP="00DE059E">
      <w:pPr>
        <w:spacing w:line="360" w:lineRule="auto"/>
        <w:contextualSpacing/>
        <w:rPr>
          <w:rFonts w:ascii="Arial" w:hAnsi="Arial" w:cs="Arial"/>
        </w:rPr>
      </w:pPr>
    </w:p>
    <w:p w:rsidR="00133522" w:rsidRDefault="00133522" w:rsidP="00133522">
      <w:pPr>
        <w:spacing w:line="360" w:lineRule="auto"/>
        <w:contextualSpacing/>
        <w:rPr>
          <w:rFonts w:ascii="Arial" w:hAnsi="Arial" w:cs="Arial"/>
          <w:b/>
        </w:rPr>
      </w:pPr>
      <w:r w:rsidRPr="00E94C26">
        <w:rPr>
          <w:rFonts w:ascii="Arial" w:hAnsi="Arial" w:cs="Arial"/>
          <w:b/>
        </w:rPr>
        <w:t>Results</w:t>
      </w:r>
    </w:p>
    <w:p w:rsidR="00133522" w:rsidRDefault="00133522"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lastRenderedPageBreak/>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1"/>
      <w:r w:rsidR="00771784">
        <w:rPr>
          <w:rFonts w:ascii="Arial" w:hAnsi="Arial" w:cs="Arial"/>
        </w:rPr>
        <w:t xml:space="preserve">(Table 2). </w:t>
      </w:r>
      <w:commentRangeEnd w:id="1"/>
      <w:r w:rsidR="00DB2427">
        <w:rPr>
          <w:rStyle w:val="CommentReference"/>
        </w:rPr>
        <w:commentReference w:id="1"/>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2"/>
      <w:r>
        <w:rPr>
          <w:rFonts w:ascii="Arial" w:hAnsi="Arial" w:cs="Arial"/>
        </w:rPr>
        <w:t>Plots of the relationship between Beech sapling density and Beech mature tree density</w:t>
      </w:r>
      <w:commentRangeEnd w:id="2"/>
      <w:r w:rsidR="00A365D6">
        <w:rPr>
          <w:rStyle w:val="CommentReference"/>
        </w:rPr>
        <w:commentReference w:id="2"/>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3"/>
      <w:r>
        <w:rPr>
          <w:rFonts w:ascii="Arial" w:hAnsi="Arial" w:cs="Arial"/>
        </w:rPr>
        <w:t>Plots of the relationship between canopy openness and seedling density</w:t>
      </w:r>
      <w:commentRangeEnd w:id="3"/>
      <w:r w:rsidR="00A365D6">
        <w:rPr>
          <w:rStyle w:val="CommentReference"/>
        </w:rPr>
        <w:commentReference w:id="3"/>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FA4889" w:rsidRPr="00FA4889" w:rsidRDefault="00F262DF">
      <w:pPr>
        <w:pStyle w:val="NormalWeb"/>
        <w:ind w:left="480" w:hanging="480"/>
        <w:divId w:val="1795169248"/>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A4889" w:rsidRPr="00FA4889">
        <w:rPr>
          <w:rFonts w:ascii="Arial" w:hAnsi="Arial" w:cs="Arial"/>
          <w:noProof/>
          <w:sz w:val="22"/>
        </w:rPr>
        <w:t xml:space="preserve">Acácio, V., Holmgren, M., Jansen, P.A. &amp; Schrotter, O. (2007) Multiple Recruitment Limitation Causes Arrested Succession in Mediterranean Cork Oak Systems. </w:t>
      </w:r>
      <w:r w:rsidR="00FA4889" w:rsidRPr="00FA4889">
        <w:rPr>
          <w:rFonts w:ascii="Arial" w:hAnsi="Arial" w:cs="Arial"/>
          <w:i/>
          <w:iCs/>
          <w:noProof/>
          <w:sz w:val="22"/>
        </w:rPr>
        <w:t>Ecosystems</w:t>
      </w:r>
      <w:r w:rsidR="00FA4889" w:rsidRPr="00FA4889">
        <w:rPr>
          <w:rFonts w:ascii="Arial" w:hAnsi="Arial" w:cs="Arial"/>
          <w:noProof/>
          <w:sz w:val="22"/>
        </w:rPr>
        <w:t xml:space="preserve">, </w:t>
      </w:r>
      <w:r w:rsidR="00FA4889" w:rsidRPr="00FA4889">
        <w:rPr>
          <w:rFonts w:ascii="Arial" w:hAnsi="Arial" w:cs="Arial"/>
          <w:b/>
          <w:bCs/>
          <w:noProof/>
          <w:sz w:val="22"/>
        </w:rPr>
        <w:t>10</w:t>
      </w:r>
      <w:r w:rsidR="00FA4889" w:rsidRPr="00FA4889">
        <w:rPr>
          <w:rFonts w:ascii="Arial" w:hAnsi="Arial" w:cs="Arial"/>
          <w:noProof/>
          <w:sz w:val="22"/>
        </w:rPr>
        <w:t>, 1220–1230.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259</w:t>
      </w:r>
      <w:r w:rsidRPr="00FA4889">
        <w:rPr>
          <w:rFonts w:ascii="Arial" w:hAnsi="Arial" w:cs="Arial"/>
          <w:noProof/>
          <w:sz w:val="22"/>
        </w:rPr>
        <w:t>, 660–684.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Barlow, J. &amp; Peres, C. a. (2008) Fire-mediated dieback and compositional cascade in an Amazonian forest. </w:t>
      </w:r>
      <w:r w:rsidRPr="00FA4889">
        <w:rPr>
          <w:rFonts w:ascii="Arial" w:hAnsi="Arial" w:cs="Arial"/>
          <w:i/>
          <w:iCs/>
          <w:noProof/>
          <w:sz w:val="22"/>
        </w:rPr>
        <w:t>Philosophical transactions of the Royal Society of London. Series B, Biological sciences</w:t>
      </w:r>
      <w:r w:rsidRPr="00FA4889">
        <w:rPr>
          <w:rFonts w:ascii="Arial" w:hAnsi="Arial" w:cs="Arial"/>
          <w:noProof/>
          <w:sz w:val="22"/>
        </w:rPr>
        <w:t xml:space="preserve">, </w:t>
      </w:r>
      <w:r w:rsidRPr="00FA4889">
        <w:rPr>
          <w:rFonts w:ascii="Arial" w:hAnsi="Arial" w:cs="Arial"/>
          <w:b/>
          <w:bCs/>
          <w:noProof/>
          <w:sz w:val="22"/>
        </w:rPr>
        <w:t>363</w:t>
      </w:r>
      <w:r w:rsidRPr="00FA4889">
        <w:rPr>
          <w:rFonts w:ascii="Arial" w:hAnsi="Arial" w:cs="Arial"/>
          <w:noProof/>
          <w:sz w:val="22"/>
        </w:rPr>
        <w:t>, 1787–94.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Benchimol, M. &amp; Peres, C.A. (2015) Edge-mediated compositional and functional decay of tree assemblages in Amazonian forest islands after 26 years of isolation.</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Brando, P.M., Balch, J.K., Nepstad, D.C., Morton, D.C., Putz, F.E., Coe, M.T., Silvério, D., Macedo, M.N., Davidson, E.A., Nóbrega, C.C., Alencar, A. &amp; Soares-Filho, B.S. (2014) Abrupt increases in Amazonian tree mortality due to drought-fire interactions.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111</w:t>
      </w:r>
      <w:r w:rsidRPr="00FA4889">
        <w:rPr>
          <w:rFonts w:ascii="Arial" w:hAnsi="Arial" w:cs="Arial"/>
          <w:noProof/>
          <w:sz w:val="22"/>
        </w:rPr>
        <w:t>, 6347–52.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Burnham, K.P. &amp; Anderson, D.R. (2002) </w:t>
      </w:r>
      <w:r w:rsidRPr="00FA4889">
        <w:rPr>
          <w:rFonts w:ascii="Arial" w:hAnsi="Arial" w:cs="Arial"/>
          <w:i/>
          <w:iCs/>
          <w:noProof/>
          <w:sz w:val="22"/>
        </w:rPr>
        <w:t>Model Selection and Multimodel Inference: A Practical Information-Theoretic Approach</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44–57.</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Campbell, D., Swanson, G.M. &amp; Sales, J. (2004) Methodological insights: Comparing the precision and cost-effectiveness of faecal pellet group count methods.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41</w:t>
      </w:r>
      <w:r w:rsidRPr="00FA4889">
        <w:rPr>
          <w:rFonts w:ascii="Arial" w:hAnsi="Arial" w:cs="Arial"/>
          <w:noProof/>
          <w:sz w:val="22"/>
        </w:rPr>
        <w:t>, 1185–1196.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Chao, K.J., Phillips, O.L., Gloor, E., Monteagudo, A., Torres-Lezama, A. &amp; Martínez, R.V. (2008) Growth and wood density predict tree mortality in Amazon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96</w:t>
      </w:r>
      <w:r w:rsidRPr="00FA4889">
        <w:rPr>
          <w:rFonts w:ascii="Arial" w:hAnsi="Arial" w:cs="Arial"/>
          <w:noProof/>
          <w:sz w:val="22"/>
        </w:rPr>
        <w:t>, 281–292.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Coates, K.D. (2002) Tree recruitment in gaps of various size, clearcuts and undisturbed mixed forest of interior British Columbia, Canada.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155</w:t>
      </w:r>
      <w:r w:rsidRPr="00FA4889">
        <w:rPr>
          <w:rFonts w:ascii="Arial" w:hAnsi="Arial" w:cs="Arial"/>
          <w:noProof/>
          <w:sz w:val="22"/>
        </w:rPr>
        <w:t>, 387–398.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&amp; Allen, R.B. (2007) Mortality and tree-size distributions in natural mixed-age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95</w:t>
      </w:r>
      <w:r w:rsidRPr="00FA4889">
        <w:rPr>
          <w:rFonts w:ascii="Arial" w:hAnsi="Arial" w:cs="Arial"/>
          <w:noProof/>
          <w:sz w:val="22"/>
        </w:rPr>
        <w:t>, 27–40.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Duncan, R.P., Allen, R.B. &amp; Truscott, J. (2003) Disturbances prevent stem size-density distributions in natural forests from following scaling relationships. </w:t>
      </w:r>
      <w:r w:rsidRPr="00FA4889">
        <w:rPr>
          <w:rFonts w:ascii="Arial" w:hAnsi="Arial" w:cs="Arial"/>
          <w:i/>
          <w:iCs/>
          <w:noProof/>
          <w:sz w:val="22"/>
        </w:rPr>
        <w:t>Ecology Letters</w:t>
      </w:r>
      <w:r w:rsidRPr="00FA4889">
        <w:rPr>
          <w:rFonts w:ascii="Arial" w:hAnsi="Arial" w:cs="Arial"/>
          <w:noProof/>
          <w:sz w:val="22"/>
        </w:rPr>
        <w:t xml:space="preserve">, </w:t>
      </w:r>
      <w:r w:rsidRPr="00FA4889">
        <w:rPr>
          <w:rFonts w:ascii="Arial" w:hAnsi="Arial" w:cs="Arial"/>
          <w:b/>
          <w:bCs/>
          <w:noProof/>
          <w:sz w:val="22"/>
        </w:rPr>
        <w:t>6</w:t>
      </w:r>
      <w:r w:rsidRPr="00FA4889">
        <w:rPr>
          <w:rFonts w:ascii="Arial" w:hAnsi="Arial" w:cs="Arial"/>
          <w:noProof/>
          <w:sz w:val="22"/>
        </w:rPr>
        <w:t>, 980–989.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Fischer, J., Stott, J., Zerger, A., Warren, G., Sherren, K. &amp; Forrester, R.I. (2009) Reversing a tree regeneration crisis in an endangered ecoregion.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106</w:t>
      </w:r>
      <w:r w:rsidRPr="00FA4889">
        <w:rPr>
          <w:rFonts w:ascii="Arial" w:hAnsi="Arial" w:cs="Arial"/>
          <w:noProof/>
          <w:sz w:val="22"/>
        </w:rPr>
        <w:t>, 10386–91.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Fortin, M., Bedard, S., DeBlois, J. &amp; Meunier, S. (2008) Predicting individual tree mortality in northern hardwood stands under uneven-aged management in southern Québec , Canada. </w:t>
      </w:r>
      <w:r w:rsidRPr="00FA4889">
        <w:rPr>
          <w:rFonts w:ascii="Arial" w:hAnsi="Arial" w:cs="Arial"/>
          <w:i/>
          <w:iCs/>
          <w:noProof/>
          <w:sz w:val="22"/>
        </w:rPr>
        <w:t>Annals of Forest Science</w:t>
      </w:r>
      <w:r w:rsidRPr="00FA4889">
        <w:rPr>
          <w:rFonts w:ascii="Arial" w:hAnsi="Arial" w:cs="Arial"/>
          <w:noProof/>
          <w:sz w:val="22"/>
        </w:rPr>
        <w:t xml:space="preserve">, </w:t>
      </w:r>
      <w:r w:rsidRPr="00FA4889">
        <w:rPr>
          <w:rFonts w:ascii="Arial" w:hAnsi="Arial" w:cs="Arial"/>
          <w:b/>
          <w:bCs/>
          <w:noProof/>
          <w:sz w:val="22"/>
        </w:rPr>
        <w:t>65</w:t>
      </w:r>
      <w:r w:rsidRPr="00FA4889">
        <w:rPr>
          <w:rFonts w:ascii="Arial" w:hAnsi="Arial" w:cs="Arial"/>
          <w:noProof/>
          <w:sz w:val="22"/>
        </w:rPr>
        <w:t>, 205.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FA4889">
        <w:rPr>
          <w:rFonts w:ascii="Arial" w:hAnsi="Arial" w:cs="Arial"/>
          <w:i/>
          <w:iCs/>
          <w:noProof/>
          <w:sz w:val="22"/>
        </w:rPr>
        <w:t>Ecological Modelling</w:t>
      </w:r>
      <w:r w:rsidRPr="00FA4889">
        <w:rPr>
          <w:rFonts w:ascii="Arial" w:hAnsi="Arial" w:cs="Arial"/>
          <w:noProof/>
          <w:sz w:val="22"/>
        </w:rPr>
        <w:t xml:space="preserve">, </w:t>
      </w:r>
      <w:r w:rsidRPr="00FA4889">
        <w:rPr>
          <w:rFonts w:ascii="Arial" w:hAnsi="Arial" w:cs="Arial"/>
          <w:b/>
          <w:bCs/>
          <w:noProof/>
          <w:sz w:val="22"/>
        </w:rPr>
        <w:t>198</w:t>
      </w:r>
      <w:r w:rsidRPr="00FA4889">
        <w:rPr>
          <w:rFonts w:ascii="Arial" w:hAnsi="Arial" w:cs="Arial"/>
          <w:noProof/>
          <w:sz w:val="22"/>
        </w:rPr>
        <w:t>, 115–126.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Holzwarth, F., Kahl, A., Bauhus, J. &amp; Wirth, C. (2013) Many ways to die - partitioning tree mortality dynamics in a near-natural mixed deciduous forest (ed P Zuidema).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101</w:t>
      </w:r>
      <w:r w:rsidRPr="00FA4889">
        <w:rPr>
          <w:rFonts w:ascii="Arial" w:hAnsi="Arial" w:cs="Arial"/>
          <w:noProof/>
          <w:sz w:val="22"/>
        </w:rPr>
        <w:t>, 220–230.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Jenkins, K.J. &amp; Manly, B.F.J. (2008) A double-observer method for reducing bias in faecal pellet surveys of forest ungulates.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45</w:t>
      </w:r>
      <w:r w:rsidRPr="00FA4889">
        <w:rPr>
          <w:rFonts w:ascii="Arial" w:hAnsi="Arial" w:cs="Arial"/>
          <w:noProof/>
          <w:sz w:val="22"/>
        </w:rPr>
        <w:t>, 1339–1348.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323</w:t>
      </w:r>
      <w:r w:rsidRPr="00FA4889">
        <w:rPr>
          <w:rFonts w:ascii="Arial" w:hAnsi="Arial" w:cs="Arial"/>
          <w:noProof/>
          <w:sz w:val="22"/>
        </w:rPr>
        <w:t>, 521–524.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38</w:t>
      </w:r>
      <w:r w:rsidRPr="00FA4889">
        <w:rPr>
          <w:rFonts w:ascii="Arial" w:hAnsi="Arial" w:cs="Arial"/>
          <w:noProof/>
          <w:sz w:val="22"/>
        </w:rPr>
        <w:t>, 349–363.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Martin, P.A., Newton, A.C., Cantarello, E. &amp; Evans, P. (2015) Stand dieback and collapse in a temperate forest and its impact on forest structure and biodiversity. </w:t>
      </w:r>
      <w:r w:rsidRPr="00FA4889">
        <w:rPr>
          <w:rFonts w:ascii="Arial" w:hAnsi="Arial" w:cs="Arial"/>
          <w:i/>
          <w:iCs/>
          <w:noProof/>
          <w:sz w:val="22"/>
        </w:rPr>
        <w:t>Forest Ecology and Management</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Meddens, A.J.H., Hicke, J.A. &amp; Ferguson, C.A. (2012) Spatiotemporal patterns of observed bark beetle-caused tree mortality in British Columbia and the western United States. </w:t>
      </w:r>
      <w:r w:rsidRPr="00FA4889">
        <w:rPr>
          <w:rFonts w:ascii="Arial" w:hAnsi="Arial" w:cs="Arial"/>
          <w:i/>
          <w:iCs/>
          <w:noProof/>
          <w:sz w:val="22"/>
        </w:rPr>
        <w:t>Ecological Applications</w:t>
      </w:r>
      <w:r w:rsidRPr="00FA4889">
        <w:rPr>
          <w:rFonts w:ascii="Arial" w:hAnsi="Arial" w:cs="Arial"/>
          <w:noProof/>
          <w:sz w:val="22"/>
        </w:rPr>
        <w:t xml:space="preserve">, </w:t>
      </w:r>
      <w:r w:rsidRPr="00FA4889">
        <w:rPr>
          <w:rFonts w:ascii="Arial" w:hAnsi="Arial" w:cs="Arial"/>
          <w:b/>
          <w:bCs/>
          <w:noProof/>
          <w:sz w:val="22"/>
        </w:rPr>
        <w:t>22</w:t>
      </w:r>
      <w:r w:rsidRPr="00FA4889">
        <w:rPr>
          <w:rFonts w:ascii="Arial" w:hAnsi="Arial" w:cs="Arial"/>
          <w:noProof/>
          <w:sz w:val="22"/>
        </w:rPr>
        <w:t>, 1876–1891.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Monserud, R. a. &amp; Sterba, H. (1999) Modeling individual tree mortality for Austrian forest species.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113</w:t>
      </w:r>
      <w:r w:rsidRPr="00FA4889">
        <w:rPr>
          <w:rFonts w:ascii="Arial" w:hAnsi="Arial" w:cs="Arial"/>
          <w:noProof/>
          <w:sz w:val="22"/>
        </w:rPr>
        <w:t>, 109–123.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&amp; Peterken, G.F. (2003) Long-term change and implications for the management of wood-pastures: experience over 40 years from Denny Wood, New Forest. </w:t>
      </w:r>
      <w:r w:rsidRPr="00FA4889">
        <w:rPr>
          <w:rFonts w:ascii="Arial" w:hAnsi="Arial" w:cs="Arial"/>
          <w:i/>
          <w:iCs/>
          <w:noProof/>
          <w:sz w:val="22"/>
        </w:rPr>
        <w:t>Forestry</w:t>
      </w:r>
      <w:r w:rsidRPr="00FA4889">
        <w:rPr>
          <w:rFonts w:ascii="Arial" w:hAnsi="Arial" w:cs="Arial"/>
          <w:noProof/>
          <w:sz w:val="22"/>
        </w:rPr>
        <w:t xml:space="preserve">, </w:t>
      </w:r>
      <w:r w:rsidRPr="00FA4889">
        <w:rPr>
          <w:rFonts w:ascii="Arial" w:hAnsi="Arial" w:cs="Arial"/>
          <w:b/>
          <w:bCs/>
          <w:noProof/>
          <w:sz w:val="22"/>
        </w:rPr>
        <w:t>76</w:t>
      </w:r>
      <w:r w:rsidRPr="00FA4889">
        <w:rPr>
          <w:rFonts w:ascii="Arial" w:hAnsi="Arial" w:cs="Arial"/>
          <w:noProof/>
          <w:sz w:val="22"/>
        </w:rPr>
        <w:t>, 19–43.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FA4889">
        <w:rPr>
          <w:rFonts w:ascii="Arial" w:hAnsi="Arial" w:cs="Arial"/>
          <w:i/>
          <w:iCs/>
          <w:noProof/>
          <w:sz w:val="22"/>
        </w:rPr>
        <w:t>Perspectives in Plant Ecology, Evolution and Systematics</w:t>
      </w:r>
      <w:r w:rsidRPr="00FA4889">
        <w:rPr>
          <w:rFonts w:ascii="Arial" w:hAnsi="Arial" w:cs="Arial"/>
          <w:noProof/>
          <w:sz w:val="22"/>
        </w:rPr>
        <w:t xml:space="preserve">, </w:t>
      </w:r>
      <w:r w:rsidRPr="00FA4889">
        <w:rPr>
          <w:rFonts w:ascii="Arial" w:hAnsi="Arial" w:cs="Arial"/>
          <w:b/>
          <w:bCs/>
          <w:noProof/>
          <w:sz w:val="22"/>
        </w:rPr>
        <w:t>2</w:t>
      </w:r>
      <w:r w:rsidRPr="00FA4889">
        <w:rPr>
          <w:rFonts w:ascii="Arial" w:hAnsi="Arial" w:cs="Arial"/>
          <w:noProof/>
          <w:sz w:val="22"/>
        </w:rPr>
        <w:t>, 223–272.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Peng, C., Ma, Z., Lei, X., Zhu, Q., Chen, H., Wang, W., Liu, S., Li, W., Fang, X. &amp; Zhou, X. (2011) A drought-induced pervasive increase in tree mortality across Canada’s boreal forests. </w:t>
      </w:r>
      <w:r w:rsidRPr="00FA4889">
        <w:rPr>
          <w:rFonts w:ascii="Arial" w:hAnsi="Arial" w:cs="Arial"/>
          <w:i/>
          <w:iCs/>
          <w:noProof/>
          <w:sz w:val="22"/>
        </w:rPr>
        <w:t>Nature Climate Change</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467–471.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5–15.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Scheffer, M., Hirota, M., Holmgren, M., Van Nes, E.H. &amp; Chapin, F.S. (2012) Thresholds for boreal biome transitions.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109</w:t>
      </w:r>
      <w:r w:rsidRPr="00FA4889">
        <w:rPr>
          <w:rFonts w:ascii="Arial" w:hAnsi="Arial" w:cs="Arial"/>
          <w:noProof/>
          <w:sz w:val="22"/>
        </w:rPr>
        <w:t>, 21384–9.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Schielzeth, H. (2010) Simple means to improve the interpretability of regression coefficients. </w:t>
      </w:r>
      <w:r w:rsidRPr="00FA4889">
        <w:rPr>
          <w:rFonts w:ascii="Arial" w:hAnsi="Arial" w:cs="Arial"/>
          <w:i/>
          <w:iCs/>
          <w:noProof/>
          <w:sz w:val="22"/>
        </w:rPr>
        <w:t>Methods in Ecology and Evolution</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103–113.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Seidl, R., Schelhaas, M., Rammer, W. &amp; Verkerk, P.J. (2014) Increasing forest disturbances in Europe and their impact on carbon storage. </w:t>
      </w:r>
      <w:r w:rsidRPr="00FA4889">
        <w:rPr>
          <w:rFonts w:ascii="Arial" w:hAnsi="Arial" w:cs="Arial"/>
          <w:i/>
          <w:iCs/>
          <w:noProof/>
          <w:sz w:val="22"/>
        </w:rPr>
        <w:t>Nature Climate Change</w:t>
      </w:r>
      <w:r w:rsidRPr="00FA4889">
        <w:rPr>
          <w:rFonts w:ascii="Arial" w:hAnsi="Arial" w:cs="Arial"/>
          <w:noProof/>
          <w:sz w:val="22"/>
        </w:rPr>
        <w:t>,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Sheil, D., Burslem, D.F.R.P. &amp; Alder, D. (1995) The Interpretation and misinterpretation of mortality rate measures.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83</w:t>
      </w:r>
      <w:r w:rsidRPr="00FA4889">
        <w:rPr>
          <w:rFonts w:ascii="Arial" w:hAnsi="Arial" w:cs="Arial"/>
          <w:noProof/>
          <w:sz w:val="22"/>
        </w:rPr>
        <w:t>, 331–333.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Staver, a C., Archibald, S. &amp; Levin, S. a. (2011) The global extent and determinants of savanna and forest as alternative biome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334</w:t>
      </w:r>
      <w:r w:rsidRPr="00FA4889">
        <w:rPr>
          <w:rFonts w:ascii="Arial" w:hAnsi="Arial" w:cs="Arial"/>
          <w:noProof/>
          <w:sz w:val="22"/>
        </w:rPr>
        <w:t>, 230–2.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Steinkamp, J. &amp; Hickler, T. (2015) Is drought-induced forest dieback globally increasing?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31–43.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Westerling, A.L., Hidalgo, H.G., Cayan, D.R. &amp; Swetnam, T.W. (2006) Warming and earlier spring increase western U.S. forest wildfire activity. </w:t>
      </w:r>
      <w:r w:rsidRPr="00FA4889">
        <w:rPr>
          <w:rFonts w:ascii="Arial" w:hAnsi="Arial" w:cs="Arial"/>
          <w:i/>
          <w:iCs/>
          <w:noProof/>
          <w:sz w:val="22"/>
        </w:rPr>
        <w:t>Science</w:t>
      </w:r>
      <w:r w:rsidRPr="00FA4889">
        <w:rPr>
          <w:rFonts w:ascii="Arial" w:hAnsi="Arial" w:cs="Arial"/>
          <w:noProof/>
          <w:sz w:val="22"/>
        </w:rPr>
        <w:t xml:space="preserve">, </w:t>
      </w:r>
      <w:r w:rsidRPr="00FA4889">
        <w:rPr>
          <w:rFonts w:ascii="Arial" w:hAnsi="Arial" w:cs="Arial"/>
          <w:b/>
          <w:bCs/>
          <w:noProof/>
          <w:sz w:val="22"/>
        </w:rPr>
        <w:t>313</w:t>
      </w:r>
      <w:r w:rsidRPr="00FA4889">
        <w:rPr>
          <w:rFonts w:ascii="Arial" w:hAnsi="Arial" w:cs="Arial"/>
          <w:noProof/>
          <w:sz w:val="22"/>
        </w:rPr>
        <w:t>, 940–3.</w:t>
      </w:r>
    </w:p>
    <w:p w:rsidR="00210A49" w:rsidRDefault="00F262DF" w:rsidP="00FA4889">
      <w:pPr>
        <w:pStyle w:val="NormalWeb"/>
        <w:ind w:left="480" w:hanging="480"/>
        <w:divId w:val="930163572"/>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4971A39F" wp14:editId="279EF9E2">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18E514E4" wp14:editId="275F34BD">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0A76FC32" wp14:editId="11B5D339">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commentRangeStart w:id="4"/>
      <w:r>
        <w:rPr>
          <w:rFonts w:ascii="Arial" w:hAnsi="Arial" w:cs="Arial"/>
        </w:rPr>
        <w:t>Table 2</w:t>
      </w:r>
      <w:commentRangeEnd w:id="4"/>
      <w:r w:rsidR="00CF6EE3">
        <w:rPr>
          <w:rStyle w:val="CommentReference"/>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m:t>
              </m:r>
              <m:r>
                <w:rPr>
                  <w:rFonts w:ascii="Cambria Math" w:eastAsiaTheme="minorEastAsia" w:hAnsi="Cambria Math" w:cs="Arial"/>
                </w:rPr>
                <m:t xml:space="preserv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5-22T17:17:00Z" w:initials="PM">
    <w:p w:rsidR="00133522" w:rsidRDefault="00133522">
      <w:pPr>
        <w:pStyle w:val="CommentText"/>
      </w:pPr>
      <w:r>
        <w:rPr>
          <w:rStyle w:val="CommentReference"/>
        </w:rPr>
        <w:annotationRef/>
      </w:r>
      <w:r>
        <w:t>Describe mortality rate in words</w:t>
      </w:r>
    </w:p>
  </w:comment>
  <w:comment w:id="2" w:author="Phil Martin" w:date="2015-05-26T11:45:00Z" w:initials="PM">
    <w:p w:rsidR="00133522" w:rsidRDefault="00133522">
      <w:pPr>
        <w:pStyle w:val="CommentText"/>
      </w:pPr>
      <w:r>
        <w:rPr>
          <w:rStyle w:val="CommentReference"/>
        </w:rPr>
        <w:annotationRef/>
      </w:r>
      <w:r>
        <w:t>Get results of similar models for holly and oak?</w:t>
      </w:r>
    </w:p>
  </w:comment>
  <w:comment w:id="3" w:author="Phil Martin" w:date="2015-05-21T13:02:00Z" w:initials="PM">
    <w:p w:rsidR="00133522" w:rsidRDefault="00133522">
      <w:pPr>
        <w:pStyle w:val="CommentText"/>
      </w:pPr>
      <w:r>
        <w:rPr>
          <w:rStyle w:val="CommentReference"/>
        </w:rPr>
        <w:annotationRef/>
      </w:r>
      <w:r>
        <w:t>Produce models and figures of the relationship between canopy openness and seedling density</w:t>
      </w:r>
    </w:p>
  </w:comment>
  <w:comment w:id="4" w:author="Phil Martin" w:date="2015-06-29T10:43:00Z" w:initials="PM">
    <w:p w:rsidR="00133522" w:rsidRDefault="00133522">
      <w:pPr>
        <w:pStyle w:val="CommentText"/>
      </w:pPr>
      <w:r>
        <w:rPr>
          <w:rStyle w:val="CommentReference"/>
        </w:rPr>
        <w:annotationRef/>
      </w:r>
      <w:r>
        <w:t>Put in the same info for holly and oak.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3522"/>
    <w:rsid w:val="0013537F"/>
    <w:rsid w:val="00141DB0"/>
    <w:rsid w:val="0017764C"/>
    <w:rsid w:val="00184CE8"/>
    <w:rsid w:val="00196350"/>
    <w:rsid w:val="001D2BB7"/>
    <w:rsid w:val="001D554F"/>
    <w:rsid w:val="001E3EF1"/>
    <w:rsid w:val="001F0817"/>
    <w:rsid w:val="00210A49"/>
    <w:rsid w:val="00214A19"/>
    <w:rsid w:val="0024119F"/>
    <w:rsid w:val="002710E3"/>
    <w:rsid w:val="002778ED"/>
    <w:rsid w:val="002914FD"/>
    <w:rsid w:val="002E1A3D"/>
    <w:rsid w:val="00343C56"/>
    <w:rsid w:val="003A2B2F"/>
    <w:rsid w:val="003A3232"/>
    <w:rsid w:val="003B2EAA"/>
    <w:rsid w:val="003B4207"/>
    <w:rsid w:val="003B528F"/>
    <w:rsid w:val="003C0F9A"/>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54F32"/>
    <w:rsid w:val="006D0493"/>
    <w:rsid w:val="006F5186"/>
    <w:rsid w:val="00707775"/>
    <w:rsid w:val="0075283D"/>
    <w:rsid w:val="0076100C"/>
    <w:rsid w:val="007620D4"/>
    <w:rsid w:val="00771784"/>
    <w:rsid w:val="007B1610"/>
    <w:rsid w:val="007F1451"/>
    <w:rsid w:val="008016AC"/>
    <w:rsid w:val="008538A9"/>
    <w:rsid w:val="008635F1"/>
    <w:rsid w:val="0087671F"/>
    <w:rsid w:val="00890A2D"/>
    <w:rsid w:val="008B325C"/>
    <w:rsid w:val="008C0FB7"/>
    <w:rsid w:val="008C77A4"/>
    <w:rsid w:val="009578E6"/>
    <w:rsid w:val="00976D3D"/>
    <w:rsid w:val="00984D8E"/>
    <w:rsid w:val="009A75A7"/>
    <w:rsid w:val="009E4C20"/>
    <w:rsid w:val="00A342D0"/>
    <w:rsid w:val="00A365D6"/>
    <w:rsid w:val="00A7669F"/>
    <w:rsid w:val="00A83601"/>
    <w:rsid w:val="00A948B8"/>
    <w:rsid w:val="00AC7BB4"/>
    <w:rsid w:val="00B04394"/>
    <w:rsid w:val="00B058F4"/>
    <w:rsid w:val="00B17487"/>
    <w:rsid w:val="00B32223"/>
    <w:rsid w:val="00B439A6"/>
    <w:rsid w:val="00B46DE7"/>
    <w:rsid w:val="00B93215"/>
    <w:rsid w:val="00BA02A4"/>
    <w:rsid w:val="00BD6D98"/>
    <w:rsid w:val="00BF6271"/>
    <w:rsid w:val="00BF6823"/>
    <w:rsid w:val="00BF6D02"/>
    <w:rsid w:val="00C11569"/>
    <w:rsid w:val="00C32B1F"/>
    <w:rsid w:val="00C3761E"/>
    <w:rsid w:val="00C46459"/>
    <w:rsid w:val="00C8266E"/>
    <w:rsid w:val="00CA5118"/>
    <w:rsid w:val="00CA72B0"/>
    <w:rsid w:val="00CE7F28"/>
    <w:rsid w:val="00CF6EE3"/>
    <w:rsid w:val="00D1587D"/>
    <w:rsid w:val="00D31E89"/>
    <w:rsid w:val="00D4426B"/>
    <w:rsid w:val="00D644F8"/>
    <w:rsid w:val="00D77E51"/>
    <w:rsid w:val="00D814E0"/>
    <w:rsid w:val="00D81A0F"/>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4889"/>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sChild>
                                                                                                                                                                                                                                                                        <w:div w:id="267978804">
                                                                                                                                                                                                                                                                          <w:marLeft w:val="0"/>
                                                                                                                                                                                                                                                                          <w:marRight w:val="0"/>
                                                                                                                                                                                                                                                                          <w:marTop w:val="0"/>
                                                                                                                                                                                                                                                                          <w:marBottom w:val="0"/>
                                                                                                                                                                                                                                                                          <w:divBdr>
                                                                                                                                                                                                                                                                            <w:top w:val="none" w:sz="0" w:space="0" w:color="auto"/>
                                                                                                                                                                                                                                                                            <w:left w:val="none" w:sz="0" w:space="0" w:color="auto"/>
                                                                                                                                                                                                                                                                            <w:bottom w:val="none" w:sz="0" w:space="0" w:color="auto"/>
                                                                                                                                                                                                                                                                            <w:right w:val="none" w:sz="0" w:space="0" w:color="auto"/>
                                                                                                                                                                                                                                                                          </w:divBdr>
                                                                                                                                                                                                                                                                          <w:divsChild>
                                                                                                                                                                                                                                                                            <w:div w:id="930163572">
                                                                                                                                                                                                                                                                              <w:marLeft w:val="0"/>
                                                                                                                                                                                                                                                                              <w:marRight w:val="0"/>
                                                                                                                                                                                                                                                                              <w:marTop w:val="0"/>
                                                                                                                                                                                                                                                                              <w:marBottom w:val="0"/>
                                                                                                                                                                                                                                                                              <w:divBdr>
                                                                                                                                                                                                                                                                                <w:top w:val="none" w:sz="0" w:space="0" w:color="auto"/>
                                                                                                                                                                                                                                                                                <w:left w:val="none" w:sz="0" w:space="0" w:color="auto"/>
                                                                                                                                                                                                                                                                                <w:bottom w:val="none" w:sz="0" w:space="0" w:color="auto"/>
                                                                                                                                                                                                                                                                                <w:right w:val="none" w:sz="0" w:space="0" w:color="auto"/>
                                                                                                                                                                                                                                                                              </w:divBdr>
                                                                                                                                                                                                                                                                              <w:divsChild>
                                                                                                                                                                                                                                                                                <w:div w:id="1795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 w:id="11843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A300-7B46-4248-BC8B-2BDB8ED9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19759</Words>
  <Characters>112631</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2015-07-03T14:17:00Z</dcterms:created>
  <dcterms:modified xsi:type="dcterms:W3CDTF">2015-07-03T15:29:00Z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