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8538A9">
        <w:rPr>
          <w:rFonts w:ascii="Arial" w:hAnsi="Arial" w:cs="Arial"/>
        </w:rPr>
        <w:t>I</w:t>
      </w:r>
      <w:r w:rsidR="004377EC">
        <w:rPr>
          <w:rFonts w:ascii="Arial" w:hAnsi="Arial" w:cs="Arial"/>
        </w:rPr>
        <w:t xml:space="preserve">n forests in the western USA </w:t>
      </w:r>
      <w:r w:rsidR="008538A9">
        <w:rPr>
          <w:rFonts w:ascii="Arial" w:hAnsi="Arial" w:cs="Arial"/>
        </w:rPr>
        <w:t xml:space="preserve">mortality rates </w:t>
      </w:r>
      <w:r w:rsidR="004377EC">
        <w:rPr>
          <w:rFonts w:ascii="Arial" w:hAnsi="Arial" w:cs="Arial"/>
        </w:rPr>
        <w:t xml:space="preserve">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w:t>
      </w:r>
      <w:r w:rsidR="008538A9">
        <w:rPr>
          <w:rFonts w:ascii="Arial" w:hAnsi="Arial" w:cs="Arial"/>
        </w:rPr>
        <w:t>seen</w:t>
      </w:r>
      <w:r>
        <w:rPr>
          <w:rFonts w:ascii="Arial" w:hAnsi="Arial" w:cs="Arial"/>
        </w:rPr>
        <w:t xml:space="preserve">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At the same time intensity and regularity disturbances</w:t>
      </w:r>
      <w:r w:rsidR="008538A9">
        <w:rPr>
          <w:rFonts w:ascii="Arial" w:hAnsi="Arial" w:cs="Arial"/>
        </w:rPr>
        <w:t xml:space="preserve"> has also been increasing</w:t>
      </w:r>
      <w:r>
        <w:rPr>
          <w:rFonts w:ascii="Arial" w:hAnsi="Arial" w:cs="Arial"/>
        </w:rPr>
        <w:t xml:space="preserve">.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w:t>
      </w:r>
      <w:r w:rsidR="008538A9">
        <w:rPr>
          <w:rFonts w:ascii="Arial" w:hAnsi="Arial" w:cs="Arial"/>
        </w:rPr>
        <w:t>T</w:t>
      </w:r>
      <w:r w:rsidR="00976D3D">
        <w:rPr>
          <w:rFonts w:ascii="Arial" w:hAnsi="Arial" w:cs="Arial"/>
        </w:rPr>
        <w:t xml:space="preserve">he intensity of disturbances and the severity of climate change are </w:t>
      </w:r>
      <w:r w:rsidR="008538A9">
        <w:rPr>
          <w:rFonts w:ascii="Arial" w:hAnsi="Arial" w:cs="Arial"/>
        </w:rPr>
        <w:t xml:space="preserve">both </w:t>
      </w:r>
      <w:r w:rsidR="00976D3D">
        <w:rPr>
          <w:rFonts w:ascii="Arial" w:hAnsi="Arial" w:cs="Arial"/>
        </w:rPr>
        <w:t xml:space="preserve">predicted to increase over the coming decades </w:t>
      </w:r>
      <w:r w:rsidR="008538A9">
        <w:rPr>
          <w:rFonts w:ascii="Arial" w:hAnsi="Arial" w:cs="Arial"/>
        </w:rPr>
        <w:t>resulting</w:t>
      </w:r>
      <w:r w:rsidR="00976D3D">
        <w:rPr>
          <w:rFonts w:ascii="Arial" w:hAnsi="Arial" w:cs="Arial"/>
        </w:rPr>
        <w:t xml:space="preserve"> </w:t>
      </w:r>
      <w:r w:rsidR="008538A9">
        <w:rPr>
          <w:rFonts w:ascii="Arial" w:hAnsi="Arial" w:cs="Arial"/>
        </w:rPr>
        <w:t>in further increases in tree mortality</w:t>
      </w:r>
      <w:r w:rsidR="00976D3D">
        <w:rPr>
          <w:rFonts w:ascii="Arial" w:hAnsi="Arial" w:cs="Arial"/>
        </w:rPr>
        <w:t>.</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w:t>
      </w:r>
      <w:r w:rsidR="008538A9">
        <w:rPr>
          <w:rFonts w:ascii="Arial" w:hAnsi="Arial" w:cs="Arial"/>
        </w:rPr>
        <w:t xml:space="preserve">the </w:t>
      </w:r>
      <w:r w:rsidR="008016AC">
        <w:rPr>
          <w:rFonts w:ascii="Arial" w:hAnsi="Arial" w:cs="Arial"/>
        </w:rPr>
        <w:t xml:space="preserve">dominant </w:t>
      </w:r>
      <w:r w:rsidR="008538A9">
        <w:rPr>
          <w:rFonts w:ascii="Arial" w:hAnsi="Arial" w:cs="Arial"/>
        </w:rPr>
        <w:t xml:space="preserve">tree </w:t>
      </w:r>
      <w:r w:rsidR="008016AC">
        <w:rPr>
          <w:rFonts w:ascii="Arial" w:hAnsi="Arial" w:cs="Arial"/>
        </w:rPr>
        <w:t xml:space="preserve">species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8538A9">
        <w:rPr>
          <w:rFonts w:ascii="Arial" w:hAnsi="Arial" w:cs="Arial"/>
        </w:rPr>
        <w:t>hen</w:t>
      </w:r>
      <w:r w:rsidR="006F5186">
        <w:rPr>
          <w:rFonts w:ascii="Arial" w:hAnsi="Arial" w:cs="Arial"/>
        </w:rPr>
        <w:t xml:space="preserv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xml:space="preserve">. Improving this understanding would aid our ability to predict when transitions may occur and how to stop </w:t>
      </w:r>
      <w:r w:rsidR="008538A9">
        <w:rPr>
          <w:rFonts w:ascii="Arial" w:hAnsi="Arial" w:cs="Arial"/>
        </w:rPr>
        <w:t>them</w:t>
      </w:r>
      <w:r w:rsidR="00A83601">
        <w:rPr>
          <w:rFonts w:ascii="Arial" w:hAnsi="Arial" w:cs="Arial"/>
        </w:rPr>
        <w:t xml:space="preserve"> before they occur.</w:t>
      </w:r>
    </w:p>
    <w:p w:rsidR="00B058F4" w:rsidRDefault="008538A9" w:rsidP="00A948B8">
      <w:pPr>
        <w:spacing w:line="360" w:lineRule="auto"/>
        <w:ind w:firstLine="720"/>
        <w:contextualSpacing/>
        <w:rPr>
          <w:rFonts w:ascii="Arial" w:hAnsi="Arial" w:cs="Arial"/>
        </w:rPr>
      </w:pPr>
      <w:r>
        <w:rPr>
          <w:rFonts w:ascii="Arial" w:hAnsi="Arial" w:cs="Arial"/>
        </w:rPr>
        <w:t>The occurrence of a</w:t>
      </w:r>
      <w:r w:rsidR="002778ED">
        <w:rPr>
          <w:rFonts w:ascii="Arial" w:hAnsi="Arial" w:cs="Arial"/>
        </w:rPr>
        <w:t xml:space="preserve"> regime shift is determined by the balance between recruitment and mortality </w:t>
      </w:r>
      <w:r>
        <w:rPr>
          <w:rFonts w:ascii="Arial" w:hAnsi="Arial" w:cs="Arial"/>
        </w:rPr>
        <w:t>for each species in a community.</w:t>
      </w:r>
      <w:r w:rsidR="002778ED">
        <w:rPr>
          <w:rFonts w:ascii="Arial" w:hAnsi="Arial" w:cs="Arial"/>
        </w:rPr>
        <w:t xml:space="preserve"> </w:t>
      </w:r>
      <w:r w:rsidR="005901C5">
        <w:rPr>
          <w:rFonts w:ascii="Arial" w:hAnsi="Arial" w:cs="Arial"/>
        </w:rPr>
        <w:t xml:space="preserve">As such, </w:t>
      </w:r>
      <w:r w:rsidR="002778ED">
        <w:rPr>
          <w:rFonts w:ascii="Arial" w:hAnsi="Arial" w:cs="Arial"/>
        </w:rPr>
        <w:t xml:space="preserve">it is important to understand what determines these vital rates. </w:t>
      </w:r>
      <w:r w:rsidR="00C11569">
        <w:rPr>
          <w:rFonts w:ascii="Arial" w:hAnsi="Arial" w:cs="Arial"/>
        </w:rPr>
        <w:t xml:space="preserve">In forests undergoing disturbance larger trees are likely to be prone to an increased probability of death </w:t>
      </w:r>
      <w:r w:rsidR="00C11569">
        <w:rPr>
          <w:rFonts w:ascii="Arial" w:hAnsi="Arial" w:cs="Arial"/>
        </w:rPr>
        <w:fldChar w:fldCharType="begin" w:fldLock="1"/>
      </w:r>
      <w:r w:rsidR="00A948B8">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C11569">
        <w:rPr>
          <w:rFonts w:ascii="Arial" w:hAnsi="Arial" w:cs="Arial"/>
        </w:rPr>
        <w:fldChar w:fldCharType="separate"/>
      </w:r>
      <w:r w:rsidR="00C11569" w:rsidRPr="00C11569">
        <w:rPr>
          <w:rFonts w:ascii="Arial" w:hAnsi="Arial" w:cs="Arial"/>
          <w:noProof/>
        </w:rPr>
        <w:t xml:space="preserve">(Coomes </w:t>
      </w:r>
      <w:r w:rsidR="00C11569" w:rsidRPr="00C11569">
        <w:rPr>
          <w:rFonts w:ascii="Arial" w:hAnsi="Arial" w:cs="Arial"/>
          <w:i/>
          <w:noProof/>
        </w:rPr>
        <w:t>et al.</w:t>
      </w:r>
      <w:r w:rsidR="00C11569" w:rsidRPr="00C11569">
        <w:rPr>
          <w:rFonts w:ascii="Arial" w:hAnsi="Arial" w:cs="Arial"/>
          <w:noProof/>
        </w:rPr>
        <w:t xml:space="preserve"> 2003)</w:t>
      </w:r>
      <w:r w:rsidR="00C11569">
        <w:rPr>
          <w:rFonts w:ascii="Arial" w:hAnsi="Arial" w:cs="Arial"/>
        </w:rPr>
        <w:fldChar w:fldCharType="end"/>
      </w:r>
      <w:r w:rsidR="00C11569">
        <w:rPr>
          <w:rFonts w:ascii="Arial" w:hAnsi="Arial" w:cs="Arial"/>
        </w:rPr>
        <w:t xml:space="preserve">. Following the mortality of large trees gaps in the canopy tend to stimulate recruitment of seedlings. However, </w:t>
      </w:r>
      <w:r w:rsidR="00A948B8">
        <w:rPr>
          <w:rFonts w:ascii="Arial" w:hAnsi="Arial" w:cs="Arial"/>
        </w:rPr>
        <w:t xml:space="preserve">in systems undergoing a transition there must be some recruitment limitation of the previously dominant species. </w:t>
      </w:r>
      <w:r w:rsidR="00EA7F18">
        <w:rPr>
          <w:rFonts w:ascii="Arial" w:hAnsi="Arial" w:cs="Arial"/>
        </w:rPr>
        <w:t>T</w:t>
      </w:r>
      <w:r w:rsidR="00A948B8">
        <w:rPr>
          <w:rFonts w:ascii="Arial" w:hAnsi="Arial" w:cs="Arial"/>
        </w:rPr>
        <w:t xml:space="preserve">his has been seen </w:t>
      </w:r>
      <w:r w:rsidR="00EA7F18">
        <w:rPr>
          <w:rFonts w:ascii="Arial" w:hAnsi="Arial" w:cs="Arial"/>
        </w:rPr>
        <w:t xml:space="preserve">in forests </w:t>
      </w:r>
      <w:r w:rsidR="00A948B8">
        <w:rPr>
          <w:rFonts w:ascii="Arial" w:hAnsi="Arial" w:cs="Arial"/>
        </w:rPr>
        <w:t xml:space="preserve">when disturbances are large, leading to </w:t>
      </w:r>
      <w:r w:rsidR="00EA7F18">
        <w:rPr>
          <w:rFonts w:ascii="Arial" w:hAnsi="Arial" w:cs="Arial"/>
        </w:rPr>
        <w:t>unfavourable</w:t>
      </w:r>
      <w:r w:rsidR="00A948B8">
        <w:rPr>
          <w:rFonts w:ascii="Arial" w:hAnsi="Arial" w:cs="Arial"/>
        </w:rPr>
        <w:t xml:space="preserve"> microclimatic conditions </w:t>
      </w:r>
      <w:r w:rsidR="00EA7F18">
        <w:rPr>
          <w:rFonts w:ascii="Arial" w:hAnsi="Arial" w:cs="Arial"/>
        </w:rPr>
        <w:t xml:space="preserve">for seedling growth </w:t>
      </w:r>
      <w:r w:rsidR="00A948B8">
        <w:rPr>
          <w:rFonts w:ascii="Arial" w:hAnsi="Arial" w:cs="Arial"/>
        </w:rPr>
        <w:t xml:space="preserve">and </w:t>
      </w:r>
      <w:r w:rsidR="00EA7F18">
        <w:rPr>
          <w:rFonts w:ascii="Arial" w:hAnsi="Arial" w:cs="Arial"/>
        </w:rPr>
        <w:t xml:space="preserve">in some cases a </w:t>
      </w:r>
      <w:r w:rsidR="00A948B8">
        <w:rPr>
          <w:rFonts w:ascii="Arial" w:hAnsi="Arial" w:cs="Arial"/>
        </w:rPr>
        <w:t xml:space="preserve">lack of </w:t>
      </w:r>
      <w:proofErr w:type="spellStart"/>
      <w:r w:rsidR="00A948B8">
        <w:rPr>
          <w:rFonts w:ascii="Arial" w:hAnsi="Arial" w:cs="Arial"/>
        </w:rPr>
        <w:t>propagules</w:t>
      </w:r>
      <w:proofErr w:type="spellEnd"/>
      <w:r w:rsidR="00A948B8">
        <w:rPr>
          <w:rFonts w:ascii="Arial" w:hAnsi="Arial" w:cs="Arial"/>
        </w:rPr>
        <w:t xml:space="preserve"> </w:t>
      </w:r>
      <w:r w:rsidR="00EA7F18">
        <w:rPr>
          <w:rFonts w:ascii="Arial" w:hAnsi="Arial" w:cs="Arial"/>
        </w:rPr>
        <w:t xml:space="preserve">for dispersal limited species </w:t>
      </w:r>
      <w:r w:rsidR="00A948B8">
        <w:rPr>
          <w:rFonts w:ascii="Arial" w:hAnsi="Arial" w:cs="Arial"/>
        </w:rPr>
        <w:fldChar w:fldCharType="begin" w:fldLock="1"/>
      </w:r>
      <w:r w:rsidR="00A948B8">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"id" : "ITEM-2",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"ITEM-2",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"(Coates 2002; Ac\u00e1cio &lt;i&gt;et al.&lt;/i&gt; 2007)", "plainTextFormattedCitation" : "(Coates 2002; Ac\u00e1cio et al. 2007)", "previouslyFormattedCitation" : "(Coates 2002; Ac\u00e1cio &lt;i&gt;et al.&lt;/i&gt; 2007)" }, "properties" : { "noteIndex" : 0 }, "schema" : "https://github.com/citation-style-language/schema/raw/master/csl-citation.json" }</w:instrText>
      </w:r>
      <w:r w:rsidR="00A948B8">
        <w:rPr>
          <w:rFonts w:ascii="Arial" w:hAnsi="Arial" w:cs="Arial"/>
        </w:rPr>
        <w:fldChar w:fldCharType="separate"/>
      </w:r>
      <w:r w:rsidR="00A948B8" w:rsidRPr="00A948B8">
        <w:rPr>
          <w:rFonts w:ascii="Arial" w:hAnsi="Arial" w:cs="Arial"/>
          <w:noProof/>
        </w:rPr>
        <w:t xml:space="preserve">(Coates 2002; Acácio </w:t>
      </w:r>
      <w:r w:rsidR="00A948B8" w:rsidRPr="00A948B8">
        <w:rPr>
          <w:rFonts w:ascii="Arial" w:hAnsi="Arial" w:cs="Arial"/>
          <w:i/>
          <w:noProof/>
        </w:rPr>
        <w:t>et al.</w:t>
      </w:r>
      <w:r w:rsidR="00A948B8" w:rsidRPr="00A948B8">
        <w:rPr>
          <w:rFonts w:ascii="Arial" w:hAnsi="Arial" w:cs="Arial"/>
          <w:noProof/>
        </w:rPr>
        <w:t xml:space="preserve"> 2007)</w:t>
      </w:r>
      <w:r w:rsidR="00A948B8">
        <w:rPr>
          <w:rFonts w:ascii="Arial" w:hAnsi="Arial" w:cs="Arial"/>
        </w:rPr>
        <w:fldChar w:fldCharType="end"/>
      </w:r>
      <w:r w:rsidR="00A948B8">
        <w:rPr>
          <w:rFonts w:ascii="Arial" w:hAnsi="Arial" w:cs="Arial"/>
        </w:rPr>
        <w:t xml:space="preserve">. </w:t>
      </w:r>
      <w:r w:rsidR="00BF6823">
        <w:rPr>
          <w:rFonts w:ascii="Arial" w:hAnsi="Arial" w:cs="Arial"/>
        </w:rPr>
        <w:t>Seedling r</w:t>
      </w:r>
      <w:r w:rsidR="00FB42E3">
        <w:rPr>
          <w:rFonts w:ascii="Arial" w:hAnsi="Arial" w:cs="Arial"/>
        </w:rPr>
        <w:t xml:space="preserve">ecruitment </w:t>
      </w:r>
      <w:r w:rsidR="00EA7F18">
        <w:rPr>
          <w:rFonts w:ascii="Arial" w:hAnsi="Arial" w:cs="Arial"/>
        </w:rPr>
        <w:t>may</w:t>
      </w:r>
      <w:r w:rsidR="00FB42E3">
        <w:rPr>
          <w:rFonts w:ascii="Arial" w:hAnsi="Arial" w:cs="Arial"/>
        </w:rPr>
        <w:t xml:space="preserve">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 xml:space="preserve">by grazing of domesticated </w:t>
      </w:r>
      <w:r w:rsidR="00A948B8">
        <w:rPr>
          <w:rFonts w:ascii="Arial" w:hAnsi="Arial" w:cs="Arial"/>
        </w:rPr>
        <w:t>animals</w:t>
      </w:r>
      <w:r w:rsidR="0045030F">
        <w:rPr>
          <w:rFonts w:ascii="Arial" w:hAnsi="Arial" w:cs="Arial"/>
        </w:rPr>
        <w:t>, which in some cases can be so severe that it leads to a transition from woodland to grassland</w:t>
      </w:r>
      <w:r w:rsidR="002710E3">
        <w:rPr>
          <w:rFonts w:ascii="Arial" w:hAnsi="Arial" w:cs="Arial"/>
        </w:rPr>
        <w:t xml:space="preserve"> that resemble</w:t>
      </w:r>
      <w:r w:rsidR="00A948B8">
        <w:rPr>
          <w:rFonts w:ascii="Arial" w:hAnsi="Arial" w:cs="Arial"/>
        </w:rPr>
        <w:t>s</w:t>
      </w:r>
      <w:r w:rsidR="002710E3">
        <w:rPr>
          <w:rFonts w:ascii="Arial" w:hAnsi="Arial" w:cs="Arial"/>
        </w:rPr>
        <w:t xml:space="preserv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C11569">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lastRenderedPageBreak/>
        <w:t>The impact of climate on tree mortality and recruitment</w:t>
      </w:r>
    </w:p>
    <w:p w:rsidR="00EA7F18" w:rsidRPr="00EA7F18" w:rsidRDefault="00EA7F18" w:rsidP="00EA7F18">
      <w:pPr>
        <w:spacing w:line="360" w:lineRule="auto"/>
        <w:rPr>
          <w:rFonts w:ascii="Arial" w:hAnsi="Arial" w:cs="Arial"/>
        </w:rPr>
      </w:pPr>
      <w:r w:rsidRPr="00EA7F18">
        <w:rPr>
          <w:rFonts w:ascii="Arial" w:hAnsi="Arial" w:cs="Arial"/>
        </w:rPr>
        <w:t xml:space="preserve">Changes in temperature and water supply can alter the growth of trees. Slow growing trees tend to have increased risk of mortality, since this measure provides a proxy of tree vigour. Previous studies have suggested that widespread slow growth of trees may be an early-warning signal of tipping points in response to climatic change </w:t>
      </w:r>
      <w:r w:rsidRPr="00EA7F18">
        <w:rPr>
          <w:rFonts w:ascii="Arial" w:hAnsi="Arial" w:cs="Arial"/>
        </w:rPr>
        <w:fldChar w:fldCharType="begin" w:fldLock="1"/>
      </w:r>
      <w:r w:rsidRPr="00EA7F18">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(Camarero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t>Potential for feedback between disturbances and climate</w:t>
      </w:r>
    </w:p>
    <w:p w:rsidR="00EA7F18" w:rsidRPr="00EA7F18" w:rsidRDefault="00EA7F18" w:rsidP="00EA7F18">
      <w:pPr>
        <w:spacing w:line="360" w:lineRule="auto"/>
        <w:ind w:firstLine="360"/>
        <w:rPr>
          <w:rFonts w:ascii="Arial" w:hAnsi="Arial" w:cs="Arial"/>
        </w:rPr>
      </w:pPr>
      <w:r w:rsidRPr="00EA7F18">
        <w:rPr>
          <w:rFonts w:ascii="Arial" w:hAnsi="Arial" w:cs="Arial"/>
        </w:rPr>
        <w:t xml:space="preserve">When regime shifts occur there is evidence that that mortality and recruitment are governed in part by feedback loops. For example, in forests the presence of a canopy maintains relatively moist, dark conditions on the forest floor which results in relatively low ground flora biomass. However, some positive feedbacks can cause transition from one ecosystem state to another such as when forest canopies are subject to large disturbances leading to reduced seedling recruitment and invasion by grasses and shrubs in Mediterranean climates </w:t>
      </w:r>
      <w:r w:rsidRPr="00EA7F18">
        <w:rPr>
          <w:rFonts w:ascii="Arial" w:hAnsi="Arial" w:cs="Arial"/>
        </w:rPr>
        <w:fldChar w:fldCharType="begin" w:fldLock="1"/>
      </w:r>
      <w:r w:rsidRPr="00EA7F18">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(Acácio </w:t>
      </w:r>
      <w:r w:rsidRPr="00EA7F18">
        <w:rPr>
          <w:rFonts w:ascii="Arial" w:hAnsi="Arial" w:cs="Arial"/>
          <w:i/>
          <w:noProof/>
        </w:rPr>
        <w:t>et al.</w:t>
      </w:r>
      <w:r w:rsidRPr="00EA7F18">
        <w:rPr>
          <w:rFonts w:ascii="Arial" w:hAnsi="Arial" w:cs="Arial"/>
          <w:noProof/>
        </w:rPr>
        <w:t xml:space="preserve"> 2007)</w:t>
      </w:r>
      <w:r w:rsidRPr="00EA7F18">
        <w:rPr>
          <w:rFonts w:ascii="Arial" w:hAnsi="Arial" w:cs="Arial"/>
        </w:rPr>
        <w:fldChar w:fldCharType="end"/>
      </w:r>
      <w:r w:rsidRPr="00EA7F18">
        <w:rPr>
          <w:rFonts w:ascii="Arial" w:hAnsi="Arial" w:cs="Arial"/>
        </w:rPr>
        <w:t xml:space="preserve">. Positive feedbacks can also occur between different drivers such as when degradation and fragmentation increase fire risk in forests </w:t>
      </w:r>
      <w:r w:rsidRPr="00EA7F18">
        <w:rPr>
          <w:rFonts w:ascii="Arial" w:hAnsi="Arial" w:cs="Arial"/>
        </w:rPr>
        <w:fldChar w:fldCharType="begin" w:fldLock="1"/>
      </w:r>
      <w:r w:rsidRPr="00EA7F18">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(Benchimol &amp; Peres 2015)</w:t>
      </w:r>
      <w:r w:rsidRPr="00EA7F18">
        <w:rPr>
          <w:rFonts w:ascii="Arial" w:hAnsi="Arial" w:cs="Arial"/>
        </w:rPr>
        <w:fldChar w:fldCharType="end"/>
      </w:r>
      <w:r w:rsidRPr="00EA7F18">
        <w:rPr>
          <w:rFonts w:ascii="Arial" w:hAnsi="Arial" w:cs="Arial"/>
        </w:rPr>
        <w:t xml:space="preserve">. However, feedbacks such as these can occur at multiple different scales and thus are difficult to identify </w:t>
      </w:r>
      <w:r w:rsidRPr="00EA7F18">
        <w:rPr>
          <w:rFonts w:ascii="Arial" w:hAnsi="Arial" w:cs="Arial"/>
        </w:rPr>
        <w:fldChar w:fldCharType="begin" w:fldLock="1"/>
      </w:r>
      <w:r w:rsidRPr="00EA7F18">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(Reyer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Pr="00EA7F18" w:rsidRDefault="00EA7F18" w:rsidP="00EA7F18">
      <w:pPr>
        <w:pStyle w:val="ListParagraph"/>
        <w:numPr>
          <w:ilvl w:val="0"/>
          <w:numId w:val="14"/>
        </w:numPr>
        <w:spacing w:line="360" w:lineRule="auto"/>
        <w:rPr>
          <w:rFonts w:ascii="Arial" w:hAnsi="Arial" w:cs="Arial"/>
        </w:rPr>
      </w:pPr>
      <w:r>
        <w:rPr>
          <w:rFonts w:ascii="Arial" w:hAnsi="Arial" w:cs="Arial"/>
        </w:rPr>
        <w:t>Brief description of study site</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w:t>
      </w:r>
      <w:r>
        <w:rPr>
          <w:rFonts w:ascii="Arial" w:eastAsiaTheme="minorEastAsia" w:hAnsi="Arial" w:cs="Arial"/>
        </w:rPr>
        <w:lastRenderedPageBreak/>
        <w:t xml:space="preserve">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sidR="00C11569">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w:t>
      </w:r>
      <w:r w:rsidR="0075283D">
        <w:rPr>
          <w:rFonts w:ascii="Arial" w:hAnsi="Arial" w:cs="Arial"/>
        </w:rPr>
        <w:lastRenderedPageBreak/>
        <w:t xml:space="preserve">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F262DF" w:rsidP="00DE059E">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DE059E">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 xml:space="preserve">parameterised using values from these analyses </w:t>
      </w:r>
      <w:r w:rsidR="0075283D">
        <w:rPr>
          <w:rFonts w:ascii="Arial" w:hAnsi="Arial" w:cs="Arial"/>
        </w:rPr>
        <w:t xml:space="preserve">and from the literature </w:t>
      </w:r>
      <w:r w:rsidR="00EC3673">
        <w:rPr>
          <w:rFonts w:ascii="Arial" w:hAnsi="Arial" w:cs="Arial"/>
        </w:rPr>
        <w:t>to investigate the potential changes in the woodland</w:t>
      </w:r>
    </w:p>
    <w:p w:rsidR="00210A49" w:rsidRDefault="00210A49" w:rsidP="00DE059E">
      <w:pPr>
        <w:spacing w:line="360" w:lineRule="auto"/>
        <w:contextualSpacing/>
        <w:rPr>
          <w:rFonts w:ascii="Arial" w:hAnsi="Arial" w:cs="Arial"/>
          <w:b/>
        </w:rPr>
      </w:pPr>
      <w:r w:rsidRPr="00E94C26">
        <w:rPr>
          <w:rFonts w:ascii="Arial" w:hAnsi="Arial" w:cs="Arial"/>
          <w:b/>
        </w:rPr>
        <w:t>Results</w:t>
      </w:r>
    </w:p>
    <w:p w:rsidR="00DE059E" w:rsidRDefault="00DE059E"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However, in general 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m,</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 xml:space="preserve">b). Distance to nearest dead tree and soil type were of similar importance with importance values of 0.52 and 0.45 respectively, with models indicating that trees closer to dead trees were more likely to subsequently die </w:t>
      </w:r>
      <w:r w:rsidR="00527662">
        <w:rPr>
          <w:rFonts w:ascii="Arial" w:hAnsi="Arial" w:cs="Arial"/>
        </w:rPr>
        <w:lastRenderedPageBreak/>
        <w:t>(slope=-0.24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0"/>
      <w:r w:rsidR="00771784">
        <w:rPr>
          <w:rFonts w:ascii="Arial" w:hAnsi="Arial" w:cs="Arial"/>
        </w:rPr>
        <w:t xml:space="preserve">(Table 2). </w:t>
      </w:r>
      <w:commentRangeEnd w:id="0"/>
      <w:r w:rsidR="00DB2427">
        <w:rPr>
          <w:rStyle w:val="CommentReference"/>
        </w:rPr>
        <w:commentReference w:id="0"/>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1"/>
      <w:r>
        <w:rPr>
          <w:rFonts w:ascii="Arial" w:hAnsi="Arial" w:cs="Arial"/>
        </w:rPr>
        <w:t>Plots of the relationship between Beech sapling density and Beech mature tree density</w:t>
      </w:r>
      <w:commentRangeEnd w:id="1"/>
      <w:r w:rsidR="00A365D6">
        <w:rPr>
          <w:rStyle w:val="CommentReference"/>
        </w:rPr>
        <w:commentReference w:id="1"/>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2"/>
      <w:r>
        <w:rPr>
          <w:rFonts w:ascii="Arial" w:hAnsi="Arial" w:cs="Arial"/>
        </w:rPr>
        <w:t>Plots of the relationship between canopy openness and seedling density</w:t>
      </w:r>
      <w:commentRangeEnd w:id="2"/>
      <w:r w:rsidR="00A365D6">
        <w:rPr>
          <w:rStyle w:val="CommentReference"/>
        </w:rPr>
        <w:commentReference w:id="2"/>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A948B8" w:rsidRPr="00A948B8" w:rsidRDefault="00F262DF">
      <w:pPr>
        <w:pStyle w:val="NormalWeb"/>
        <w:ind w:left="480" w:hanging="480"/>
        <w:divId w:val="1357854111"/>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A948B8" w:rsidRPr="00A948B8">
        <w:rPr>
          <w:rFonts w:ascii="Arial" w:hAnsi="Arial" w:cs="Arial"/>
          <w:noProof/>
          <w:sz w:val="22"/>
        </w:rPr>
        <w:t xml:space="preserve">Acácio, V., Holmgren, M., Jansen, P.A. &amp; Schrotter, O. (2007) Multiple Recruitment Limitation Causes Arrested Succession in Mediterranean Cork Oak Systems. </w:t>
      </w:r>
      <w:r w:rsidR="00A948B8" w:rsidRPr="00A948B8">
        <w:rPr>
          <w:rFonts w:ascii="Arial" w:hAnsi="Arial" w:cs="Arial"/>
          <w:i/>
          <w:iCs/>
          <w:noProof/>
          <w:sz w:val="22"/>
        </w:rPr>
        <w:t>Ecosystems</w:t>
      </w:r>
      <w:r w:rsidR="00A948B8" w:rsidRPr="00A948B8">
        <w:rPr>
          <w:rFonts w:ascii="Arial" w:hAnsi="Arial" w:cs="Arial"/>
          <w:noProof/>
          <w:sz w:val="22"/>
        </w:rPr>
        <w:t xml:space="preserve">, </w:t>
      </w:r>
      <w:r w:rsidR="00A948B8" w:rsidRPr="00A948B8">
        <w:rPr>
          <w:rFonts w:ascii="Arial" w:hAnsi="Arial" w:cs="Arial"/>
          <w:b/>
          <w:bCs/>
          <w:noProof/>
          <w:sz w:val="22"/>
        </w:rPr>
        <w:t>10</w:t>
      </w:r>
      <w:r w:rsidR="00A948B8" w:rsidRPr="00A948B8">
        <w:rPr>
          <w:rFonts w:ascii="Arial" w:hAnsi="Arial" w:cs="Arial"/>
          <w:noProof/>
          <w:sz w:val="22"/>
        </w:rPr>
        <w:t>, 1220–1230.</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A948B8">
        <w:rPr>
          <w:rFonts w:ascii="Arial" w:hAnsi="Arial" w:cs="Arial"/>
          <w:i/>
          <w:iCs/>
          <w:noProof/>
          <w:sz w:val="22"/>
        </w:rPr>
        <w:t>Forest Ecology and Management</w:t>
      </w:r>
      <w:r w:rsidRPr="00A948B8">
        <w:rPr>
          <w:rFonts w:ascii="Arial" w:hAnsi="Arial" w:cs="Arial"/>
          <w:noProof/>
          <w:sz w:val="22"/>
        </w:rPr>
        <w:t xml:space="preserve">, </w:t>
      </w:r>
      <w:r w:rsidRPr="00A948B8">
        <w:rPr>
          <w:rFonts w:ascii="Arial" w:hAnsi="Arial" w:cs="Arial"/>
          <w:b/>
          <w:bCs/>
          <w:noProof/>
          <w:sz w:val="22"/>
        </w:rPr>
        <w:t>259</w:t>
      </w:r>
      <w:r w:rsidRPr="00A948B8">
        <w:rPr>
          <w:rFonts w:ascii="Arial" w:hAnsi="Arial" w:cs="Arial"/>
          <w:noProof/>
          <w:sz w:val="22"/>
        </w:rPr>
        <w:t>, 660–684.</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lastRenderedPageBreak/>
        <w:t xml:space="preserve">Barlow, J. &amp; Peres, C. a. (2008) Fire-mediated dieback and compositional cascade in an Amazonian forest. </w:t>
      </w:r>
      <w:r w:rsidRPr="00A948B8">
        <w:rPr>
          <w:rFonts w:ascii="Arial" w:hAnsi="Arial" w:cs="Arial"/>
          <w:i/>
          <w:iCs/>
          <w:noProof/>
          <w:sz w:val="22"/>
        </w:rPr>
        <w:t>Philosophical transactions of the Royal Society of London. Series B, Biological sciences</w:t>
      </w:r>
      <w:r w:rsidRPr="00A948B8">
        <w:rPr>
          <w:rFonts w:ascii="Arial" w:hAnsi="Arial" w:cs="Arial"/>
          <w:noProof/>
          <w:sz w:val="22"/>
        </w:rPr>
        <w:t xml:space="preserve">, </w:t>
      </w:r>
      <w:r w:rsidRPr="00A948B8">
        <w:rPr>
          <w:rFonts w:ascii="Arial" w:hAnsi="Arial" w:cs="Arial"/>
          <w:b/>
          <w:bCs/>
          <w:noProof/>
          <w:sz w:val="22"/>
        </w:rPr>
        <w:t>363</w:t>
      </w:r>
      <w:r w:rsidRPr="00A948B8">
        <w:rPr>
          <w:rFonts w:ascii="Arial" w:hAnsi="Arial" w:cs="Arial"/>
          <w:noProof/>
          <w:sz w:val="22"/>
        </w:rPr>
        <w:t>, 1787–94.</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Benchimol, M. &amp; Peres, C.A. (2015) Edge-mediated compositional and functional decay of tree assemblages in Amazonian forest islands after 26 years of isolation.</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A948B8">
        <w:rPr>
          <w:rFonts w:ascii="Arial" w:hAnsi="Arial" w:cs="Arial"/>
          <w:i/>
          <w:iCs/>
          <w:noProof/>
          <w:sz w:val="22"/>
        </w:rPr>
        <w:t>Proceedings of the National Academy of Sciences of the United States of America</w:t>
      </w:r>
      <w:r w:rsidRPr="00A948B8">
        <w:rPr>
          <w:rFonts w:ascii="Arial" w:hAnsi="Arial" w:cs="Arial"/>
          <w:noProof/>
          <w:sz w:val="22"/>
        </w:rPr>
        <w:t xml:space="preserve">, </w:t>
      </w:r>
      <w:r w:rsidRPr="00A948B8">
        <w:rPr>
          <w:rFonts w:ascii="Arial" w:hAnsi="Arial" w:cs="Arial"/>
          <w:b/>
          <w:bCs/>
          <w:noProof/>
          <w:sz w:val="22"/>
        </w:rPr>
        <w:t>111</w:t>
      </w:r>
      <w:r w:rsidRPr="00A948B8">
        <w:rPr>
          <w:rFonts w:ascii="Arial" w:hAnsi="Arial" w:cs="Arial"/>
          <w:noProof/>
          <w:sz w:val="22"/>
        </w:rPr>
        <w:t>, 6347–52.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Burnham, K.P. &amp; Anderson, D.R. (2002) </w:t>
      </w:r>
      <w:r w:rsidRPr="00A948B8">
        <w:rPr>
          <w:rFonts w:ascii="Arial" w:hAnsi="Arial" w:cs="Arial"/>
          <w:i/>
          <w:iCs/>
          <w:noProof/>
          <w:sz w:val="22"/>
        </w:rPr>
        <w:t>Model Selection and Multimodel Inference: A Practical Information-Theoretic Approach</w:t>
      </w:r>
      <w:r w:rsidRPr="00A948B8">
        <w:rPr>
          <w:rFonts w:ascii="Arial" w:hAnsi="Arial" w:cs="Arial"/>
          <w:noProof/>
          <w:sz w:val="22"/>
        </w:rPr>
        <w:t>.</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103</w:t>
      </w:r>
      <w:r w:rsidRPr="00A948B8">
        <w:rPr>
          <w:rFonts w:ascii="Arial" w:hAnsi="Arial" w:cs="Arial"/>
          <w:noProof/>
          <w:sz w:val="22"/>
        </w:rPr>
        <w:t>, 44–57.</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Campbell, D., Swanson, G.M. &amp; Sales, J. (2004) Methodological insights: Comparing the precision and cost-effectiveness of faecal pellet group count methods. </w:t>
      </w:r>
      <w:r w:rsidRPr="00A948B8">
        <w:rPr>
          <w:rFonts w:ascii="Arial" w:hAnsi="Arial" w:cs="Arial"/>
          <w:i/>
          <w:iCs/>
          <w:noProof/>
          <w:sz w:val="22"/>
        </w:rPr>
        <w:t>Journal of Applied Ecology</w:t>
      </w:r>
      <w:r w:rsidRPr="00A948B8">
        <w:rPr>
          <w:rFonts w:ascii="Arial" w:hAnsi="Arial" w:cs="Arial"/>
          <w:noProof/>
          <w:sz w:val="22"/>
        </w:rPr>
        <w:t xml:space="preserve">, </w:t>
      </w:r>
      <w:r w:rsidRPr="00A948B8">
        <w:rPr>
          <w:rFonts w:ascii="Arial" w:hAnsi="Arial" w:cs="Arial"/>
          <w:b/>
          <w:bCs/>
          <w:noProof/>
          <w:sz w:val="22"/>
        </w:rPr>
        <w:t>41</w:t>
      </w:r>
      <w:r w:rsidRPr="00A948B8">
        <w:rPr>
          <w:rFonts w:ascii="Arial" w:hAnsi="Arial" w:cs="Arial"/>
          <w:noProof/>
          <w:sz w:val="22"/>
        </w:rPr>
        <w:t>, 1185–1196.</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Chao, K.J., Phillips, O.L., Gloor, E., Monteagudo, A., Torres-Lezama, A. &amp; Martínez, R.V. (2008) Growth and wood density predict tree mortality in Amazon forests.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96</w:t>
      </w:r>
      <w:r w:rsidRPr="00A948B8">
        <w:rPr>
          <w:rFonts w:ascii="Arial" w:hAnsi="Arial" w:cs="Arial"/>
          <w:noProof/>
          <w:sz w:val="22"/>
        </w:rPr>
        <w:t>, 281–292.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Coates, K.D. (2002) Tree recruitment in gaps of various size, clearcuts and undisturbed mixed forest of interior British Columbia, Canada. </w:t>
      </w:r>
      <w:r w:rsidRPr="00A948B8">
        <w:rPr>
          <w:rFonts w:ascii="Arial" w:hAnsi="Arial" w:cs="Arial"/>
          <w:i/>
          <w:iCs/>
          <w:noProof/>
          <w:sz w:val="22"/>
        </w:rPr>
        <w:t>Forest Ecology and Management</w:t>
      </w:r>
      <w:r w:rsidRPr="00A948B8">
        <w:rPr>
          <w:rFonts w:ascii="Arial" w:hAnsi="Arial" w:cs="Arial"/>
          <w:noProof/>
          <w:sz w:val="22"/>
        </w:rPr>
        <w:t xml:space="preserve">, </w:t>
      </w:r>
      <w:r w:rsidRPr="00A948B8">
        <w:rPr>
          <w:rFonts w:ascii="Arial" w:hAnsi="Arial" w:cs="Arial"/>
          <w:b/>
          <w:bCs/>
          <w:noProof/>
          <w:sz w:val="22"/>
        </w:rPr>
        <w:t>155</w:t>
      </w:r>
      <w:r w:rsidRPr="00A948B8">
        <w:rPr>
          <w:rFonts w:ascii="Arial" w:hAnsi="Arial" w:cs="Arial"/>
          <w:noProof/>
          <w:sz w:val="22"/>
        </w:rPr>
        <w:t>, 387–398.</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Coomes, D. a. &amp; Allen, R.B. (2007) Mortality and tree-size distributions in natural mixed-age forests.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95</w:t>
      </w:r>
      <w:r w:rsidRPr="00A948B8">
        <w:rPr>
          <w:rFonts w:ascii="Arial" w:hAnsi="Arial" w:cs="Arial"/>
          <w:noProof/>
          <w:sz w:val="22"/>
        </w:rPr>
        <w:t>, 27–40.</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Coomes, D. a., Duncan, R.P., Allen, R.B. &amp; Truscott, J. (2003) Disturbances prevent stem size-density distributions in natural forests from following scaling relationships. </w:t>
      </w:r>
      <w:r w:rsidRPr="00A948B8">
        <w:rPr>
          <w:rFonts w:ascii="Arial" w:hAnsi="Arial" w:cs="Arial"/>
          <w:i/>
          <w:iCs/>
          <w:noProof/>
          <w:sz w:val="22"/>
        </w:rPr>
        <w:t>Ecology Letters</w:t>
      </w:r>
      <w:r w:rsidRPr="00A948B8">
        <w:rPr>
          <w:rFonts w:ascii="Arial" w:hAnsi="Arial" w:cs="Arial"/>
          <w:noProof/>
          <w:sz w:val="22"/>
        </w:rPr>
        <w:t xml:space="preserve">, </w:t>
      </w:r>
      <w:r w:rsidRPr="00A948B8">
        <w:rPr>
          <w:rFonts w:ascii="Arial" w:hAnsi="Arial" w:cs="Arial"/>
          <w:b/>
          <w:bCs/>
          <w:noProof/>
          <w:sz w:val="22"/>
        </w:rPr>
        <w:t>6</w:t>
      </w:r>
      <w:r w:rsidRPr="00A948B8">
        <w:rPr>
          <w:rFonts w:ascii="Arial" w:hAnsi="Arial" w:cs="Arial"/>
          <w:noProof/>
          <w:sz w:val="22"/>
        </w:rPr>
        <w:t>, 980–989.</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Fischer, J., Stott, J., Zerger, A., Warren, G., Sherren, K. &amp; Forrester, R.I. (2009) Reversing a tree regeneration crisis in an endangered ecoregion. </w:t>
      </w:r>
      <w:r w:rsidRPr="00A948B8">
        <w:rPr>
          <w:rFonts w:ascii="Arial" w:hAnsi="Arial" w:cs="Arial"/>
          <w:i/>
          <w:iCs/>
          <w:noProof/>
          <w:sz w:val="22"/>
        </w:rPr>
        <w:t>Proceedings of the National Academy of Sciences of the United States of America</w:t>
      </w:r>
      <w:r w:rsidRPr="00A948B8">
        <w:rPr>
          <w:rFonts w:ascii="Arial" w:hAnsi="Arial" w:cs="Arial"/>
          <w:noProof/>
          <w:sz w:val="22"/>
        </w:rPr>
        <w:t xml:space="preserve">, </w:t>
      </w:r>
      <w:r w:rsidRPr="00A948B8">
        <w:rPr>
          <w:rFonts w:ascii="Arial" w:hAnsi="Arial" w:cs="Arial"/>
          <w:b/>
          <w:bCs/>
          <w:noProof/>
          <w:sz w:val="22"/>
        </w:rPr>
        <w:t>106</w:t>
      </w:r>
      <w:r w:rsidRPr="00A948B8">
        <w:rPr>
          <w:rFonts w:ascii="Arial" w:hAnsi="Arial" w:cs="Arial"/>
          <w:noProof/>
          <w:sz w:val="22"/>
        </w:rPr>
        <w:t>, 10386–91.</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Fortin, M., Bedard, S., DeBlois, J. &amp; Meunier, S. (2008) Predicting individual tree mortality in northern hardwood stands under uneven-aged management in southern Québec , Canada. </w:t>
      </w:r>
      <w:r w:rsidRPr="00A948B8">
        <w:rPr>
          <w:rFonts w:ascii="Arial" w:hAnsi="Arial" w:cs="Arial"/>
          <w:i/>
          <w:iCs/>
          <w:noProof/>
          <w:sz w:val="22"/>
        </w:rPr>
        <w:t>Annals of Forest Science</w:t>
      </w:r>
      <w:r w:rsidRPr="00A948B8">
        <w:rPr>
          <w:rFonts w:ascii="Arial" w:hAnsi="Arial" w:cs="Arial"/>
          <w:noProof/>
          <w:sz w:val="22"/>
        </w:rPr>
        <w:t xml:space="preserve">, </w:t>
      </w:r>
      <w:r w:rsidRPr="00A948B8">
        <w:rPr>
          <w:rFonts w:ascii="Arial" w:hAnsi="Arial" w:cs="Arial"/>
          <w:b/>
          <w:bCs/>
          <w:noProof/>
          <w:sz w:val="22"/>
        </w:rPr>
        <w:t>65</w:t>
      </w:r>
      <w:r w:rsidRPr="00A948B8">
        <w:rPr>
          <w:rFonts w:ascii="Arial" w:hAnsi="Arial" w:cs="Arial"/>
          <w:noProof/>
          <w:sz w:val="22"/>
        </w:rPr>
        <w:t>, 205.</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Holzwarth, F., Kahl, A., Bauhus, J. &amp; Wirth, C. (2013) Many ways to die - partitioning tree mortality dynamics in a near-natural mixed deciduous forest (ed P Zuidema).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101</w:t>
      </w:r>
      <w:r w:rsidRPr="00A948B8">
        <w:rPr>
          <w:rFonts w:ascii="Arial" w:hAnsi="Arial" w:cs="Arial"/>
          <w:noProof/>
          <w:sz w:val="22"/>
        </w:rPr>
        <w:t>, 220–230.</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Jenkins, K.J. &amp; Manly, B.F.J. (2008) A double-observer method for reducing bias in faecal pellet surveys of forest ungulates. </w:t>
      </w:r>
      <w:r w:rsidRPr="00A948B8">
        <w:rPr>
          <w:rFonts w:ascii="Arial" w:hAnsi="Arial" w:cs="Arial"/>
          <w:i/>
          <w:iCs/>
          <w:noProof/>
          <w:sz w:val="22"/>
        </w:rPr>
        <w:t>Journal of Applied Ecology</w:t>
      </w:r>
      <w:r w:rsidRPr="00A948B8">
        <w:rPr>
          <w:rFonts w:ascii="Arial" w:hAnsi="Arial" w:cs="Arial"/>
          <w:noProof/>
          <w:sz w:val="22"/>
        </w:rPr>
        <w:t xml:space="preserve">, </w:t>
      </w:r>
      <w:r w:rsidRPr="00A948B8">
        <w:rPr>
          <w:rFonts w:ascii="Arial" w:hAnsi="Arial" w:cs="Arial"/>
          <w:b/>
          <w:bCs/>
          <w:noProof/>
          <w:sz w:val="22"/>
        </w:rPr>
        <w:t>45</w:t>
      </w:r>
      <w:r w:rsidRPr="00A948B8">
        <w:rPr>
          <w:rFonts w:ascii="Arial" w:hAnsi="Arial" w:cs="Arial"/>
          <w:noProof/>
          <w:sz w:val="22"/>
        </w:rPr>
        <w:t>, 1339–1348.</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A948B8">
        <w:rPr>
          <w:rFonts w:ascii="Arial" w:hAnsi="Arial" w:cs="Arial"/>
          <w:i/>
          <w:iCs/>
          <w:noProof/>
          <w:sz w:val="22"/>
        </w:rPr>
        <w:t>Science (New York, N.Y.)</w:t>
      </w:r>
      <w:r w:rsidRPr="00A948B8">
        <w:rPr>
          <w:rFonts w:ascii="Arial" w:hAnsi="Arial" w:cs="Arial"/>
          <w:noProof/>
          <w:sz w:val="22"/>
        </w:rPr>
        <w:t xml:space="preserve">, </w:t>
      </w:r>
      <w:r w:rsidRPr="00A948B8">
        <w:rPr>
          <w:rFonts w:ascii="Arial" w:hAnsi="Arial" w:cs="Arial"/>
          <w:b/>
          <w:bCs/>
          <w:noProof/>
          <w:sz w:val="22"/>
        </w:rPr>
        <w:t>323</w:t>
      </w:r>
      <w:r w:rsidRPr="00A948B8">
        <w:rPr>
          <w:rFonts w:ascii="Arial" w:hAnsi="Arial" w:cs="Arial"/>
          <w:noProof/>
          <w:sz w:val="22"/>
        </w:rPr>
        <w:t>, 521–524.</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A948B8">
        <w:rPr>
          <w:rFonts w:ascii="Arial" w:hAnsi="Arial" w:cs="Arial"/>
          <w:i/>
          <w:iCs/>
          <w:noProof/>
          <w:sz w:val="22"/>
        </w:rPr>
        <w:t>Journal of Applied Ecology</w:t>
      </w:r>
      <w:r w:rsidRPr="00A948B8">
        <w:rPr>
          <w:rFonts w:ascii="Arial" w:hAnsi="Arial" w:cs="Arial"/>
          <w:noProof/>
          <w:sz w:val="22"/>
        </w:rPr>
        <w:t xml:space="preserve">, </w:t>
      </w:r>
      <w:r w:rsidRPr="00A948B8">
        <w:rPr>
          <w:rFonts w:ascii="Arial" w:hAnsi="Arial" w:cs="Arial"/>
          <w:b/>
          <w:bCs/>
          <w:noProof/>
          <w:sz w:val="22"/>
        </w:rPr>
        <w:t>38</w:t>
      </w:r>
      <w:r w:rsidRPr="00A948B8">
        <w:rPr>
          <w:rFonts w:ascii="Arial" w:hAnsi="Arial" w:cs="Arial"/>
          <w:noProof/>
          <w:sz w:val="22"/>
        </w:rPr>
        <w:t>, 349–363.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Martin, P.A., Newton, A.C., Cantarello, E. &amp; Evans, P. (2015) Stand dieback and collapse in a temperate forest and its impact on forest structure and biodiversity. </w:t>
      </w:r>
      <w:r w:rsidRPr="00A948B8">
        <w:rPr>
          <w:rFonts w:ascii="Arial" w:hAnsi="Arial" w:cs="Arial"/>
          <w:i/>
          <w:iCs/>
          <w:noProof/>
          <w:sz w:val="22"/>
        </w:rPr>
        <w:t>Forest Ecology and Management</w:t>
      </w:r>
      <w:r w:rsidRPr="00A948B8">
        <w:rPr>
          <w:rFonts w:ascii="Arial" w:hAnsi="Arial" w:cs="Arial"/>
          <w:noProof/>
          <w:sz w:val="22"/>
        </w:rPr>
        <w:t>.</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Meddens, A.J.H., Hicke, J.A. &amp; Ferguson, C.A. (2012) Spatiotemporal patterns of observed bark beetle-caused tree mortality in British Columbia and the western United States. </w:t>
      </w:r>
      <w:r w:rsidRPr="00A948B8">
        <w:rPr>
          <w:rFonts w:ascii="Arial" w:hAnsi="Arial" w:cs="Arial"/>
          <w:i/>
          <w:iCs/>
          <w:noProof/>
          <w:sz w:val="22"/>
        </w:rPr>
        <w:t>Ecological Applications</w:t>
      </w:r>
      <w:r w:rsidRPr="00A948B8">
        <w:rPr>
          <w:rFonts w:ascii="Arial" w:hAnsi="Arial" w:cs="Arial"/>
          <w:noProof/>
          <w:sz w:val="22"/>
        </w:rPr>
        <w:t xml:space="preserve">, </w:t>
      </w:r>
      <w:r w:rsidRPr="00A948B8">
        <w:rPr>
          <w:rFonts w:ascii="Arial" w:hAnsi="Arial" w:cs="Arial"/>
          <w:b/>
          <w:bCs/>
          <w:noProof/>
          <w:sz w:val="22"/>
        </w:rPr>
        <w:t>22</w:t>
      </w:r>
      <w:r w:rsidRPr="00A948B8">
        <w:rPr>
          <w:rFonts w:ascii="Arial" w:hAnsi="Arial" w:cs="Arial"/>
          <w:noProof/>
          <w:sz w:val="22"/>
        </w:rPr>
        <w:t>, 1876–1891.</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Monserud, R. a. &amp; Sterba, H. (1999) Modeling individual tree mortality for Austrian forest species. </w:t>
      </w:r>
      <w:r w:rsidRPr="00A948B8">
        <w:rPr>
          <w:rFonts w:ascii="Arial" w:hAnsi="Arial" w:cs="Arial"/>
          <w:i/>
          <w:iCs/>
          <w:noProof/>
          <w:sz w:val="22"/>
        </w:rPr>
        <w:t>Forest Ecology and Management</w:t>
      </w:r>
      <w:r w:rsidRPr="00A948B8">
        <w:rPr>
          <w:rFonts w:ascii="Arial" w:hAnsi="Arial" w:cs="Arial"/>
          <w:noProof/>
          <w:sz w:val="22"/>
        </w:rPr>
        <w:t xml:space="preserve">, </w:t>
      </w:r>
      <w:r w:rsidRPr="00A948B8">
        <w:rPr>
          <w:rFonts w:ascii="Arial" w:hAnsi="Arial" w:cs="Arial"/>
          <w:b/>
          <w:bCs/>
          <w:noProof/>
          <w:sz w:val="22"/>
        </w:rPr>
        <w:t>113</w:t>
      </w:r>
      <w:r w:rsidRPr="00A948B8">
        <w:rPr>
          <w:rFonts w:ascii="Arial" w:hAnsi="Arial" w:cs="Arial"/>
          <w:noProof/>
          <w:sz w:val="22"/>
        </w:rPr>
        <w:t>, 109–123.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Mountford, E.P. &amp; Peterken, G.F. (2003) Long-term change and implications for the management of wood-pastures: experience over 40 years from Denny Wood, New Forest. </w:t>
      </w:r>
      <w:r w:rsidRPr="00A948B8">
        <w:rPr>
          <w:rFonts w:ascii="Arial" w:hAnsi="Arial" w:cs="Arial"/>
          <w:i/>
          <w:iCs/>
          <w:noProof/>
          <w:sz w:val="22"/>
        </w:rPr>
        <w:t>Forestry</w:t>
      </w:r>
      <w:r w:rsidRPr="00A948B8">
        <w:rPr>
          <w:rFonts w:ascii="Arial" w:hAnsi="Arial" w:cs="Arial"/>
          <w:noProof/>
          <w:sz w:val="22"/>
        </w:rPr>
        <w:t xml:space="preserve">, </w:t>
      </w:r>
      <w:r w:rsidRPr="00A948B8">
        <w:rPr>
          <w:rFonts w:ascii="Arial" w:hAnsi="Arial" w:cs="Arial"/>
          <w:b/>
          <w:bCs/>
          <w:noProof/>
          <w:sz w:val="22"/>
        </w:rPr>
        <w:t>76</w:t>
      </w:r>
      <w:r w:rsidRPr="00A948B8">
        <w:rPr>
          <w:rFonts w:ascii="Arial" w:hAnsi="Arial" w:cs="Arial"/>
          <w:noProof/>
          <w:sz w:val="22"/>
        </w:rPr>
        <w:t>, 19–43.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A948B8">
        <w:rPr>
          <w:rFonts w:ascii="Arial" w:hAnsi="Arial" w:cs="Arial"/>
          <w:i/>
          <w:iCs/>
          <w:noProof/>
          <w:sz w:val="22"/>
        </w:rPr>
        <w:t>Perspectives in Plant Ecology, Evolution and Systematics</w:t>
      </w:r>
      <w:r w:rsidRPr="00A948B8">
        <w:rPr>
          <w:rFonts w:ascii="Arial" w:hAnsi="Arial" w:cs="Arial"/>
          <w:noProof/>
          <w:sz w:val="22"/>
        </w:rPr>
        <w:t xml:space="preserve">, </w:t>
      </w:r>
      <w:r w:rsidRPr="00A948B8">
        <w:rPr>
          <w:rFonts w:ascii="Arial" w:hAnsi="Arial" w:cs="Arial"/>
          <w:b/>
          <w:bCs/>
          <w:noProof/>
          <w:sz w:val="22"/>
        </w:rPr>
        <w:t>2</w:t>
      </w:r>
      <w:r w:rsidRPr="00A948B8">
        <w:rPr>
          <w:rFonts w:ascii="Arial" w:hAnsi="Arial" w:cs="Arial"/>
          <w:noProof/>
          <w:sz w:val="22"/>
        </w:rPr>
        <w:t>, 223–272.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Peng, C., Ma, Z., Lei, X., Zhu, Q., Chen, H., Wang, W., Liu, S., Li, W., Fang, X. &amp; Zhou, X. (2011) A drought-induced pervasive increase in tree mortality across Canada’s boreal forests. </w:t>
      </w:r>
      <w:r w:rsidRPr="00A948B8">
        <w:rPr>
          <w:rFonts w:ascii="Arial" w:hAnsi="Arial" w:cs="Arial"/>
          <w:i/>
          <w:iCs/>
          <w:noProof/>
          <w:sz w:val="22"/>
        </w:rPr>
        <w:t>Nature Climate Change</w:t>
      </w:r>
      <w:r w:rsidRPr="00A948B8">
        <w:rPr>
          <w:rFonts w:ascii="Arial" w:hAnsi="Arial" w:cs="Arial"/>
          <w:noProof/>
          <w:sz w:val="22"/>
        </w:rPr>
        <w:t xml:space="preserve">, </w:t>
      </w:r>
      <w:r w:rsidRPr="00A948B8">
        <w:rPr>
          <w:rFonts w:ascii="Arial" w:hAnsi="Arial" w:cs="Arial"/>
          <w:b/>
          <w:bCs/>
          <w:noProof/>
          <w:sz w:val="22"/>
        </w:rPr>
        <w:t>1</w:t>
      </w:r>
      <w:r w:rsidRPr="00A948B8">
        <w:rPr>
          <w:rFonts w:ascii="Arial" w:hAnsi="Arial" w:cs="Arial"/>
          <w:noProof/>
          <w:sz w:val="22"/>
        </w:rPr>
        <w:t>, 467–471.</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103</w:t>
      </w:r>
      <w:r w:rsidRPr="00A948B8">
        <w:rPr>
          <w:rFonts w:ascii="Arial" w:hAnsi="Arial" w:cs="Arial"/>
          <w:noProof/>
          <w:sz w:val="22"/>
        </w:rPr>
        <w:t>, 5–15.</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Scheffer, M., Hirota, M., Holmgren, M., Van Nes, E.H. &amp; Chapin, F.S. (2012) Thresholds for boreal biome transitions. </w:t>
      </w:r>
      <w:r w:rsidRPr="00A948B8">
        <w:rPr>
          <w:rFonts w:ascii="Arial" w:hAnsi="Arial" w:cs="Arial"/>
          <w:i/>
          <w:iCs/>
          <w:noProof/>
          <w:sz w:val="22"/>
        </w:rPr>
        <w:t>Proceedings of the National Academy of Sciences of the United States of America</w:t>
      </w:r>
      <w:r w:rsidRPr="00A948B8">
        <w:rPr>
          <w:rFonts w:ascii="Arial" w:hAnsi="Arial" w:cs="Arial"/>
          <w:noProof/>
          <w:sz w:val="22"/>
        </w:rPr>
        <w:t xml:space="preserve">, </w:t>
      </w:r>
      <w:r w:rsidRPr="00A948B8">
        <w:rPr>
          <w:rFonts w:ascii="Arial" w:hAnsi="Arial" w:cs="Arial"/>
          <w:b/>
          <w:bCs/>
          <w:noProof/>
          <w:sz w:val="22"/>
        </w:rPr>
        <w:t>109</w:t>
      </w:r>
      <w:r w:rsidRPr="00A948B8">
        <w:rPr>
          <w:rFonts w:ascii="Arial" w:hAnsi="Arial" w:cs="Arial"/>
          <w:noProof/>
          <w:sz w:val="22"/>
        </w:rPr>
        <w:t>, 21384–9.</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Schielzeth, H. (2010) Simple means to improve the interpretability of regression coefficients. </w:t>
      </w:r>
      <w:r w:rsidRPr="00A948B8">
        <w:rPr>
          <w:rFonts w:ascii="Arial" w:hAnsi="Arial" w:cs="Arial"/>
          <w:i/>
          <w:iCs/>
          <w:noProof/>
          <w:sz w:val="22"/>
        </w:rPr>
        <w:t>Methods in Ecology and Evolution</w:t>
      </w:r>
      <w:r w:rsidRPr="00A948B8">
        <w:rPr>
          <w:rFonts w:ascii="Arial" w:hAnsi="Arial" w:cs="Arial"/>
          <w:noProof/>
          <w:sz w:val="22"/>
        </w:rPr>
        <w:t xml:space="preserve">, </w:t>
      </w:r>
      <w:r w:rsidRPr="00A948B8">
        <w:rPr>
          <w:rFonts w:ascii="Arial" w:hAnsi="Arial" w:cs="Arial"/>
          <w:b/>
          <w:bCs/>
          <w:noProof/>
          <w:sz w:val="22"/>
        </w:rPr>
        <w:t>1</w:t>
      </w:r>
      <w:r w:rsidRPr="00A948B8">
        <w:rPr>
          <w:rFonts w:ascii="Arial" w:hAnsi="Arial" w:cs="Arial"/>
          <w:noProof/>
          <w:sz w:val="22"/>
        </w:rPr>
        <w:t>, 103–113.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Seidl, R., Schelhaas, M., Rammer, W. &amp; Verkerk, P.J. (2014) Increasing forest disturbances in Europe and their impact on carbon storage. </w:t>
      </w:r>
      <w:r w:rsidRPr="00A948B8">
        <w:rPr>
          <w:rFonts w:ascii="Arial" w:hAnsi="Arial" w:cs="Arial"/>
          <w:i/>
          <w:iCs/>
          <w:noProof/>
          <w:sz w:val="22"/>
        </w:rPr>
        <w:t>Nature Climate Change</w:t>
      </w:r>
      <w:r w:rsidRPr="00A948B8">
        <w:rPr>
          <w:rFonts w:ascii="Arial" w:hAnsi="Arial" w:cs="Arial"/>
          <w:noProof/>
          <w:sz w:val="22"/>
        </w:rPr>
        <w:t>, 1–6.</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lastRenderedPageBreak/>
        <w:t xml:space="preserve">Sheil, D., Burslem, D.F.R.P. &amp; Alder, D. (1995) The Interpretation and misinterpretation of mortality rate measures.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83</w:t>
      </w:r>
      <w:r w:rsidRPr="00A948B8">
        <w:rPr>
          <w:rFonts w:ascii="Arial" w:hAnsi="Arial" w:cs="Arial"/>
          <w:noProof/>
          <w:sz w:val="22"/>
        </w:rPr>
        <w:t>, 331–333.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Staver, a C., Archibald, S. &amp; Levin, S. a. (2011) The global extent and determinants of savanna and forest as alternative biome states. </w:t>
      </w:r>
      <w:r w:rsidRPr="00A948B8">
        <w:rPr>
          <w:rFonts w:ascii="Arial" w:hAnsi="Arial" w:cs="Arial"/>
          <w:i/>
          <w:iCs/>
          <w:noProof/>
          <w:sz w:val="22"/>
        </w:rPr>
        <w:t>Science (New York, N.Y.)</w:t>
      </w:r>
      <w:r w:rsidRPr="00A948B8">
        <w:rPr>
          <w:rFonts w:ascii="Arial" w:hAnsi="Arial" w:cs="Arial"/>
          <w:noProof/>
          <w:sz w:val="22"/>
        </w:rPr>
        <w:t xml:space="preserve">, </w:t>
      </w:r>
      <w:r w:rsidRPr="00A948B8">
        <w:rPr>
          <w:rFonts w:ascii="Arial" w:hAnsi="Arial" w:cs="Arial"/>
          <w:b/>
          <w:bCs/>
          <w:noProof/>
          <w:sz w:val="22"/>
        </w:rPr>
        <w:t>334</w:t>
      </w:r>
      <w:r w:rsidRPr="00A948B8">
        <w:rPr>
          <w:rFonts w:ascii="Arial" w:hAnsi="Arial" w:cs="Arial"/>
          <w:noProof/>
          <w:sz w:val="22"/>
        </w:rPr>
        <w:t>, 230–2.</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Steinkamp, J. &amp; Hickler, T. (2015) Is drought-induced forest dieback globally increasing? (ed D Gibson). </w:t>
      </w:r>
      <w:r w:rsidRPr="00A948B8">
        <w:rPr>
          <w:rFonts w:ascii="Arial" w:hAnsi="Arial" w:cs="Arial"/>
          <w:i/>
          <w:iCs/>
          <w:noProof/>
          <w:sz w:val="22"/>
        </w:rPr>
        <w:t>Journal of Ecology</w:t>
      </w:r>
      <w:r w:rsidRPr="00A948B8">
        <w:rPr>
          <w:rFonts w:ascii="Arial" w:hAnsi="Arial" w:cs="Arial"/>
          <w:noProof/>
          <w:sz w:val="22"/>
        </w:rPr>
        <w:t xml:space="preserve">, </w:t>
      </w:r>
      <w:r w:rsidRPr="00A948B8">
        <w:rPr>
          <w:rFonts w:ascii="Arial" w:hAnsi="Arial" w:cs="Arial"/>
          <w:b/>
          <w:bCs/>
          <w:noProof/>
          <w:sz w:val="22"/>
        </w:rPr>
        <w:t>103</w:t>
      </w:r>
      <w:r w:rsidRPr="00A948B8">
        <w:rPr>
          <w:rFonts w:ascii="Arial" w:hAnsi="Arial" w:cs="Arial"/>
          <w:noProof/>
          <w:sz w:val="22"/>
        </w:rPr>
        <w:t>, 31–43.</w:t>
      </w:r>
    </w:p>
    <w:p w:rsidR="00A948B8" w:rsidRPr="00A948B8" w:rsidRDefault="00A948B8">
      <w:pPr>
        <w:pStyle w:val="NormalWeb"/>
        <w:ind w:left="480" w:hanging="480"/>
        <w:divId w:val="1357854111"/>
        <w:rPr>
          <w:rFonts w:ascii="Arial" w:hAnsi="Arial" w:cs="Arial"/>
          <w:noProof/>
          <w:sz w:val="22"/>
        </w:rPr>
      </w:pPr>
      <w:r w:rsidRPr="00A948B8">
        <w:rPr>
          <w:rFonts w:ascii="Arial" w:hAnsi="Arial" w:cs="Arial"/>
          <w:noProof/>
          <w:sz w:val="22"/>
        </w:rPr>
        <w:t xml:space="preserve">Westerling, A.L., Hidalgo, H.G., Cayan, D.R. &amp; Swetnam, T.W. (2006) Warming and earlier spring increase western U.S. forest wildfire activity. </w:t>
      </w:r>
      <w:r w:rsidRPr="00A948B8">
        <w:rPr>
          <w:rFonts w:ascii="Arial" w:hAnsi="Arial" w:cs="Arial"/>
          <w:i/>
          <w:iCs/>
          <w:noProof/>
          <w:sz w:val="22"/>
        </w:rPr>
        <w:t>Science</w:t>
      </w:r>
      <w:r w:rsidRPr="00A948B8">
        <w:rPr>
          <w:rFonts w:ascii="Arial" w:hAnsi="Arial" w:cs="Arial"/>
          <w:noProof/>
          <w:sz w:val="22"/>
        </w:rPr>
        <w:t xml:space="preserve">, </w:t>
      </w:r>
      <w:r w:rsidRPr="00A948B8">
        <w:rPr>
          <w:rFonts w:ascii="Arial" w:hAnsi="Arial" w:cs="Arial"/>
          <w:b/>
          <w:bCs/>
          <w:noProof/>
          <w:sz w:val="22"/>
        </w:rPr>
        <w:t>313</w:t>
      </w:r>
      <w:r w:rsidRPr="00A948B8">
        <w:rPr>
          <w:rFonts w:ascii="Arial" w:hAnsi="Arial" w:cs="Arial"/>
          <w:noProof/>
          <w:sz w:val="22"/>
        </w:rPr>
        <w:t>, 940–3.</w:t>
      </w:r>
    </w:p>
    <w:p w:rsidR="00210A49" w:rsidRDefault="00F262DF" w:rsidP="00A948B8">
      <w:pPr>
        <w:pStyle w:val="NormalWeb"/>
        <w:ind w:left="480" w:hanging="480"/>
        <w:divId w:val="1470513194"/>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19D40D12" wp14:editId="770635CA">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444A86CF" wp14:editId="7A2299C6">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bookmarkStart w:id="3" w:name="_GoBack"/>
      <w:bookmarkEnd w:id="3"/>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1C723452" wp14:editId="644DFD23">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commentRangeStart w:id="4"/>
      <w:r>
        <w:rPr>
          <w:rFonts w:ascii="Arial" w:hAnsi="Arial" w:cs="Arial"/>
        </w:rPr>
        <w:t>Table 2</w:t>
      </w:r>
      <w:commentRangeEnd w:id="4"/>
      <w:r w:rsidR="00CF6EE3">
        <w:rPr>
          <w:rStyle w:val="CommentReference"/>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w:lastRenderedPageBreak/>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22T17:17:00Z" w:initials="PM">
    <w:p w:rsidR="00C3761E" w:rsidRDefault="00C3761E">
      <w:pPr>
        <w:pStyle w:val="CommentText"/>
      </w:pPr>
      <w:r>
        <w:rPr>
          <w:rStyle w:val="CommentReference"/>
        </w:rPr>
        <w:annotationRef/>
      </w:r>
      <w:r>
        <w:t>Describe mortality rate in words</w:t>
      </w:r>
    </w:p>
  </w:comment>
  <w:comment w:id="1" w:author="Phil Martin" w:date="2015-05-26T11:45:00Z" w:initials="PM">
    <w:p w:rsidR="00C3761E" w:rsidRDefault="00C3761E">
      <w:pPr>
        <w:pStyle w:val="CommentText"/>
      </w:pPr>
      <w:r>
        <w:rPr>
          <w:rStyle w:val="CommentReference"/>
        </w:rPr>
        <w:annotationRef/>
      </w:r>
      <w:r>
        <w:t>Get results of similar models for holly and oak?</w:t>
      </w:r>
    </w:p>
  </w:comment>
  <w:comment w:id="2" w:author="Phil Martin" w:date="2015-05-21T13:02:00Z" w:initials="PM">
    <w:p w:rsidR="00C3761E" w:rsidRDefault="00C3761E">
      <w:pPr>
        <w:pStyle w:val="CommentText"/>
      </w:pPr>
      <w:r>
        <w:rPr>
          <w:rStyle w:val="CommentReference"/>
        </w:rPr>
        <w:annotationRef/>
      </w:r>
      <w:r>
        <w:t>Produce models and figures of the relationship between canopy openness and seedling density</w:t>
      </w:r>
    </w:p>
  </w:comment>
  <w:comment w:id="4" w:author="Phil Martin" w:date="2015-06-29T10:43:00Z" w:initials="PM">
    <w:p w:rsidR="00CF6EE3" w:rsidRDefault="00CF6EE3">
      <w:pPr>
        <w:pStyle w:val="CommentText"/>
      </w:pPr>
      <w:r>
        <w:rPr>
          <w:rStyle w:val="CommentReference"/>
        </w:rPr>
        <w:annotationRef/>
      </w:r>
      <w:r>
        <w:t>Put in the same info for holly and oak.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037817"/>
    <w:multiLevelType w:val="hybridMultilevel"/>
    <w:tmpl w:val="C626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3"/>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537F"/>
    <w:rsid w:val="00141DB0"/>
    <w:rsid w:val="0017764C"/>
    <w:rsid w:val="00184CE8"/>
    <w:rsid w:val="001D2BB7"/>
    <w:rsid w:val="001D554F"/>
    <w:rsid w:val="001E3EF1"/>
    <w:rsid w:val="001F0817"/>
    <w:rsid w:val="00210A49"/>
    <w:rsid w:val="00214A19"/>
    <w:rsid w:val="0024119F"/>
    <w:rsid w:val="002710E3"/>
    <w:rsid w:val="002778ED"/>
    <w:rsid w:val="002914FD"/>
    <w:rsid w:val="002E1A3D"/>
    <w:rsid w:val="00343C56"/>
    <w:rsid w:val="003A2B2F"/>
    <w:rsid w:val="003A3232"/>
    <w:rsid w:val="003B2EAA"/>
    <w:rsid w:val="003B4207"/>
    <w:rsid w:val="004377EC"/>
    <w:rsid w:val="0045030F"/>
    <w:rsid w:val="004810E6"/>
    <w:rsid w:val="00493D40"/>
    <w:rsid w:val="004972E6"/>
    <w:rsid w:val="004A5CBE"/>
    <w:rsid w:val="00527662"/>
    <w:rsid w:val="00547264"/>
    <w:rsid w:val="00550B96"/>
    <w:rsid w:val="00560D45"/>
    <w:rsid w:val="005901C5"/>
    <w:rsid w:val="005915D6"/>
    <w:rsid w:val="005C3479"/>
    <w:rsid w:val="005F05BA"/>
    <w:rsid w:val="005F5763"/>
    <w:rsid w:val="00654F32"/>
    <w:rsid w:val="006D0493"/>
    <w:rsid w:val="006F5186"/>
    <w:rsid w:val="00707775"/>
    <w:rsid w:val="0075283D"/>
    <w:rsid w:val="0076100C"/>
    <w:rsid w:val="007620D4"/>
    <w:rsid w:val="00771784"/>
    <w:rsid w:val="007B1610"/>
    <w:rsid w:val="007F1451"/>
    <w:rsid w:val="008016AC"/>
    <w:rsid w:val="008538A9"/>
    <w:rsid w:val="008635F1"/>
    <w:rsid w:val="0087671F"/>
    <w:rsid w:val="008B325C"/>
    <w:rsid w:val="008C0FB7"/>
    <w:rsid w:val="008C77A4"/>
    <w:rsid w:val="009578E6"/>
    <w:rsid w:val="00976D3D"/>
    <w:rsid w:val="00984D8E"/>
    <w:rsid w:val="009A75A7"/>
    <w:rsid w:val="009E4C20"/>
    <w:rsid w:val="00A342D0"/>
    <w:rsid w:val="00A365D6"/>
    <w:rsid w:val="00A7669F"/>
    <w:rsid w:val="00A83601"/>
    <w:rsid w:val="00A948B8"/>
    <w:rsid w:val="00AC7BB4"/>
    <w:rsid w:val="00B04394"/>
    <w:rsid w:val="00B058F4"/>
    <w:rsid w:val="00B17487"/>
    <w:rsid w:val="00B32223"/>
    <w:rsid w:val="00B439A6"/>
    <w:rsid w:val="00B46DE7"/>
    <w:rsid w:val="00B93215"/>
    <w:rsid w:val="00BA02A4"/>
    <w:rsid w:val="00BD6D98"/>
    <w:rsid w:val="00BF6271"/>
    <w:rsid w:val="00BF6823"/>
    <w:rsid w:val="00BF6D02"/>
    <w:rsid w:val="00C11569"/>
    <w:rsid w:val="00C32B1F"/>
    <w:rsid w:val="00C3761E"/>
    <w:rsid w:val="00C46459"/>
    <w:rsid w:val="00CA5118"/>
    <w:rsid w:val="00CA72B0"/>
    <w:rsid w:val="00CE7F28"/>
    <w:rsid w:val="00CF6EE3"/>
    <w:rsid w:val="00D1587D"/>
    <w:rsid w:val="00D31E89"/>
    <w:rsid w:val="00D4426B"/>
    <w:rsid w:val="00D644F8"/>
    <w:rsid w:val="00D814E0"/>
    <w:rsid w:val="00DB2427"/>
    <w:rsid w:val="00DB2877"/>
    <w:rsid w:val="00DC1C53"/>
    <w:rsid w:val="00DC2328"/>
    <w:rsid w:val="00DE03D6"/>
    <w:rsid w:val="00DE059E"/>
    <w:rsid w:val="00E00C5D"/>
    <w:rsid w:val="00E46DB5"/>
    <w:rsid w:val="00E55003"/>
    <w:rsid w:val="00E94C26"/>
    <w:rsid w:val="00EA7F18"/>
    <w:rsid w:val="00EB1B07"/>
    <w:rsid w:val="00EC3673"/>
    <w:rsid w:val="00EC5CC9"/>
    <w:rsid w:val="00EC6403"/>
    <w:rsid w:val="00F06791"/>
    <w:rsid w:val="00F262DF"/>
    <w:rsid w:val="00F35515"/>
    <w:rsid w:val="00F41B50"/>
    <w:rsid w:val="00F75EED"/>
    <w:rsid w:val="00F7662A"/>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sChild>
                                                                                                                                                                                                                                                    <w:div w:id="731851967">
                                                                                                                                                                                                                                                      <w:marLeft w:val="0"/>
                                                                                                                                                                                                                                                      <w:marRight w:val="0"/>
                                                                                                                                                                                                                                                      <w:marTop w:val="0"/>
                                                                                                                                                                                                                                                      <w:marBottom w:val="0"/>
                                                                                                                                                                                                                                                      <w:divBdr>
                                                                                                                                                                                                                                                        <w:top w:val="none" w:sz="0" w:space="0" w:color="auto"/>
                                                                                                                                                                                                                                                        <w:left w:val="none" w:sz="0" w:space="0" w:color="auto"/>
                                                                                                                                                                                                                                                        <w:bottom w:val="none" w:sz="0" w:space="0" w:color="auto"/>
                                                                                                                                                                                                                                                        <w:right w:val="none" w:sz="0" w:space="0" w:color="auto"/>
                                                                                                                                                                                                                                                      </w:divBdr>
                                                                                                                                                                                                                                                      <w:divsChild>
                                                                                                                                                                                                                                                        <w:div w:id="1024480449">
                                                                                                                                                                                                                                                          <w:marLeft w:val="0"/>
                                                                                                                                                                                                                                                          <w:marRight w:val="0"/>
                                                                                                                                                                                                                                                          <w:marTop w:val="0"/>
                                                                                                                                                                                                                                                          <w:marBottom w:val="0"/>
                                                                                                                                                                                                                                                          <w:divBdr>
                                                                                                                                                                                                                                                            <w:top w:val="none" w:sz="0" w:space="0" w:color="auto"/>
                                                                                                                                                                                                                                                            <w:left w:val="none" w:sz="0" w:space="0" w:color="auto"/>
                                                                                                                                                                                                                                                            <w:bottom w:val="none" w:sz="0" w:space="0" w:color="auto"/>
                                                                                                                                                                                                                                                            <w:right w:val="none" w:sz="0" w:space="0" w:color="auto"/>
                                                                                                                                                                                                                                                          </w:divBdr>
                                                                                                                                                                                                                                                          <w:divsChild>
                                                                                                                                                                                                                                                            <w:div w:id="612519765">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1357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B1DE0-DB08-41A1-85EE-2A99E137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18217</Words>
  <Characters>103837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2015-06-08T08:40:00Z</dcterms:created>
  <dcterms:modified xsi:type="dcterms:W3CDTF">2015-06-29T12:29:00Z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