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722" w:rsidRPr="00E94C26" w:rsidRDefault="00D1587D" w:rsidP="00DE059E">
      <w:pPr>
        <w:spacing w:line="360" w:lineRule="auto"/>
        <w:contextualSpacing/>
        <w:rPr>
          <w:rFonts w:ascii="Arial" w:hAnsi="Arial" w:cs="Arial"/>
          <w:b/>
          <w:sz w:val="28"/>
        </w:rPr>
      </w:pPr>
      <w:r w:rsidRPr="00E94C26">
        <w:rPr>
          <w:rFonts w:ascii="Arial" w:hAnsi="Arial" w:cs="Arial"/>
          <w:b/>
          <w:sz w:val="28"/>
        </w:rPr>
        <w:t>M</w:t>
      </w:r>
      <w:r w:rsidR="00210A49" w:rsidRPr="00E94C26">
        <w:rPr>
          <w:rFonts w:ascii="Arial" w:hAnsi="Arial" w:cs="Arial"/>
          <w:b/>
          <w:sz w:val="28"/>
        </w:rPr>
        <w:t xml:space="preserve">ortality and recruitment </w:t>
      </w:r>
      <w:r w:rsidR="00E94C26" w:rsidRPr="00E94C26">
        <w:rPr>
          <w:rFonts w:ascii="Arial" w:hAnsi="Arial" w:cs="Arial"/>
          <w:b/>
          <w:sz w:val="28"/>
        </w:rPr>
        <w:t xml:space="preserve">in a woodland undergoing </w:t>
      </w:r>
      <w:r w:rsidR="00210A49" w:rsidRPr="00E94C26">
        <w:rPr>
          <w:rFonts w:ascii="Arial" w:hAnsi="Arial" w:cs="Arial"/>
          <w:b/>
          <w:sz w:val="28"/>
        </w:rPr>
        <w:t>collapse</w:t>
      </w:r>
    </w:p>
    <w:p w:rsidR="003B2EAA" w:rsidRDefault="003B2EAA" w:rsidP="003B2EAA">
      <w:pPr>
        <w:spacing w:line="360" w:lineRule="auto"/>
        <w:contextualSpacing/>
        <w:rPr>
          <w:rFonts w:ascii="Arial" w:hAnsi="Arial" w:cs="Arial"/>
        </w:rPr>
      </w:pPr>
    </w:p>
    <w:p w:rsidR="003B2EAA" w:rsidRPr="003B2EAA" w:rsidRDefault="003B2EAA" w:rsidP="003B2EAA">
      <w:pPr>
        <w:spacing w:line="360" w:lineRule="auto"/>
        <w:contextualSpacing/>
        <w:rPr>
          <w:rFonts w:ascii="Arial" w:hAnsi="Arial" w:cs="Arial"/>
        </w:rPr>
      </w:pPr>
      <w:r w:rsidRPr="003B2EAA">
        <w:rPr>
          <w:rFonts w:ascii="Arial" w:hAnsi="Arial" w:cs="Arial"/>
        </w:rPr>
        <w:t>Authors: Philip Martin</w:t>
      </w:r>
      <w:r w:rsidRPr="003B2EAA">
        <w:rPr>
          <w:rFonts w:ascii="Arial" w:hAnsi="Arial" w:cs="Arial"/>
          <w:vertAlign w:val="superscript"/>
        </w:rPr>
        <w:t>1</w:t>
      </w:r>
      <w:r w:rsidRPr="003B2EAA">
        <w:rPr>
          <w:rFonts w:ascii="Arial" w:hAnsi="Arial" w:cs="Arial"/>
        </w:rPr>
        <w:t>, Adrian C. Newton</w:t>
      </w:r>
      <w:r w:rsidRPr="003B2EAA">
        <w:rPr>
          <w:rFonts w:ascii="Arial" w:hAnsi="Arial" w:cs="Arial"/>
          <w:vertAlign w:val="superscript"/>
        </w:rPr>
        <w:t>1</w:t>
      </w:r>
      <w:r w:rsidRPr="003B2EAA">
        <w:rPr>
          <w:rFonts w:ascii="Arial" w:hAnsi="Arial" w:cs="Arial"/>
        </w:rPr>
        <w:t>, Elena Cantarello</w:t>
      </w:r>
      <w:r w:rsidRPr="003B2EAA">
        <w:rPr>
          <w:rFonts w:ascii="Arial" w:hAnsi="Arial" w:cs="Arial"/>
          <w:vertAlign w:val="superscript"/>
        </w:rPr>
        <w:t>1</w:t>
      </w:r>
      <w:r w:rsidRPr="003B2EAA">
        <w:rPr>
          <w:rFonts w:ascii="Arial" w:hAnsi="Arial" w:cs="Arial"/>
        </w:rPr>
        <w:t>, Paul Evans</w:t>
      </w:r>
      <w:r w:rsidRPr="003B2EAA">
        <w:rPr>
          <w:rFonts w:ascii="Arial" w:hAnsi="Arial" w:cs="Arial"/>
          <w:vertAlign w:val="superscript"/>
        </w:rPr>
        <w:t>1</w:t>
      </w:r>
      <w:r w:rsidR="005F5763">
        <w:rPr>
          <w:rFonts w:ascii="Arial" w:hAnsi="Arial" w:cs="Arial"/>
        </w:rPr>
        <w:t xml:space="preserve">, </w:t>
      </w:r>
      <w:r w:rsidR="005F5763" w:rsidRPr="005F5763">
        <w:rPr>
          <w:rFonts w:ascii="Arial" w:hAnsi="Arial" w:cs="Arial"/>
        </w:rPr>
        <w:t>Edward Mountford</w:t>
      </w:r>
      <w:r w:rsidR="005F5763" w:rsidRPr="005F5763">
        <w:rPr>
          <w:rFonts w:ascii="Arial" w:hAnsi="Arial" w:cs="Arial"/>
          <w:vertAlign w:val="superscript"/>
        </w:rPr>
        <w:t>2</w:t>
      </w:r>
      <w:r w:rsidR="005F5763" w:rsidRPr="005F5763">
        <w:rPr>
          <w:rFonts w:ascii="Arial" w:hAnsi="Arial" w:cs="Arial"/>
        </w:rPr>
        <w:t>.</w:t>
      </w:r>
    </w:p>
    <w:p w:rsidR="005F5763" w:rsidRDefault="005F5763" w:rsidP="003B2EAA">
      <w:pPr>
        <w:spacing w:line="360" w:lineRule="auto"/>
        <w:contextualSpacing/>
        <w:rPr>
          <w:rFonts w:ascii="Arial" w:hAnsi="Arial" w:cs="Arial"/>
        </w:rPr>
      </w:pPr>
    </w:p>
    <w:p w:rsidR="003B2EAA" w:rsidRPr="003B2EAA" w:rsidRDefault="003B2EAA" w:rsidP="003B2EAA">
      <w:pPr>
        <w:spacing w:line="360" w:lineRule="auto"/>
        <w:contextualSpacing/>
        <w:rPr>
          <w:rFonts w:ascii="Arial" w:hAnsi="Arial" w:cs="Arial"/>
        </w:rPr>
      </w:pPr>
      <w:r w:rsidRPr="003B2EAA">
        <w:rPr>
          <w:rFonts w:ascii="Arial" w:hAnsi="Arial" w:cs="Arial"/>
        </w:rPr>
        <w:t xml:space="preserve">Journal: </w:t>
      </w:r>
      <w:r>
        <w:rPr>
          <w:rFonts w:ascii="Arial" w:hAnsi="Arial" w:cs="Arial"/>
        </w:rPr>
        <w:t>Journal of Applied Ecology</w:t>
      </w:r>
    </w:p>
    <w:p w:rsidR="003B2EAA" w:rsidRPr="003B2EAA" w:rsidRDefault="003B2EAA" w:rsidP="003B2EAA">
      <w:pPr>
        <w:spacing w:line="360" w:lineRule="auto"/>
        <w:contextualSpacing/>
        <w:rPr>
          <w:rFonts w:ascii="Arial" w:hAnsi="Arial" w:cs="Arial"/>
        </w:rPr>
      </w:pPr>
    </w:p>
    <w:p w:rsidR="003B2EAA" w:rsidRPr="003B2EAA" w:rsidRDefault="003B2EAA" w:rsidP="003B2EAA">
      <w:pPr>
        <w:spacing w:line="360" w:lineRule="auto"/>
        <w:contextualSpacing/>
        <w:rPr>
          <w:rFonts w:ascii="Arial" w:hAnsi="Arial" w:cs="Arial"/>
        </w:rPr>
      </w:pPr>
      <w:proofErr w:type="gramStart"/>
      <w:r w:rsidRPr="003B2EAA">
        <w:rPr>
          <w:rFonts w:ascii="Arial" w:hAnsi="Arial" w:cs="Arial"/>
          <w:vertAlign w:val="superscript"/>
        </w:rPr>
        <w:t>1</w:t>
      </w:r>
      <w:r w:rsidRPr="003B2EAA">
        <w:rPr>
          <w:rFonts w:ascii="Arial" w:hAnsi="Arial" w:cs="Arial"/>
        </w:rPr>
        <w:t>Centre for Conservation Ecology and Environmental Sciences, Faculty of Science and Technology, Bournemouth University, Poole, BH12 5BB, UK.</w:t>
      </w:r>
      <w:proofErr w:type="gramEnd"/>
    </w:p>
    <w:p w:rsidR="003B2EAA" w:rsidRDefault="005F5763" w:rsidP="003B2EAA">
      <w:pPr>
        <w:spacing w:line="360" w:lineRule="auto"/>
        <w:contextualSpacing/>
        <w:rPr>
          <w:rFonts w:ascii="Arial" w:hAnsi="Arial" w:cs="Arial"/>
        </w:rPr>
      </w:pPr>
      <w:proofErr w:type="gramStart"/>
      <w:r w:rsidRPr="005F5763">
        <w:rPr>
          <w:rFonts w:ascii="Arial" w:hAnsi="Arial" w:cs="Arial"/>
          <w:vertAlign w:val="superscript"/>
        </w:rPr>
        <w:t>2</w:t>
      </w:r>
      <w:r w:rsidRPr="005F5763">
        <w:rPr>
          <w:rFonts w:ascii="Arial" w:hAnsi="Arial" w:cs="Arial"/>
        </w:rPr>
        <w:t xml:space="preserve">Joint Nature Conservation Committee, </w:t>
      </w:r>
      <w:proofErr w:type="spellStart"/>
      <w:r w:rsidRPr="005F5763">
        <w:rPr>
          <w:rFonts w:ascii="Arial" w:hAnsi="Arial" w:cs="Arial"/>
        </w:rPr>
        <w:t>Monkstone</w:t>
      </w:r>
      <w:proofErr w:type="spellEnd"/>
      <w:r w:rsidRPr="005F5763">
        <w:rPr>
          <w:rFonts w:ascii="Arial" w:hAnsi="Arial" w:cs="Arial"/>
        </w:rPr>
        <w:t xml:space="preserve"> House, City Road, Peterborough, PE1 1JY, UK.</w:t>
      </w:r>
      <w:proofErr w:type="gramEnd"/>
    </w:p>
    <w:p w:rsidR="005F5763" w:rsidRPr="003B2EAA" w:rsidRDefault="005F5763" w:rsidP="003B2EAA">
      <w:pPr>
        <w:spacing w:line="360" w:lineRule="auto"/>
        <w:contextualSpacing/>
        <w:rPr>
          <w:rFonts w:ascii="Arial" w:hAnsi="Arial" w:cs="Arial"/>
        </w:rPr>
      </w:pPr>
    </w:p>
    <w:p w:rsidR="003B2EAA" w:rsidRDefault="003B2EAA" w:rsidP="003B2EAA">
      <w:pPr>
        <w:spacing w:line="360" w:lineRule="auto"/>
        <w:contextualSpacing/>
        <w:rPr>
          <w:rFonts w:ascii="Arial" w:hAnsi="Arial" w:cs="Arial"/>
        </w:rPr>
      </w:pPr>
      <w:r w:rsidRPr="003B2EAA">
        <w:rPr>
          <w:rFonts w:ascii="Arial" w:hAnsi="Arial" w:cs="Arial"/>
        </w:rPr>
        <w:t xml:space="preserve">Keywords: forest dieback; regime shift; forest </w:t>
      </w:r>
      <w:r w:rsidR="005F5763">
        <w:rPr>
          <w:rFonts w:ascii="Arial" w:hAnsi="Arial" w:cs="Arial"/>
        </w:rPr>
        <w:t>collapse; ecosystem resilience;</w:t>
      </w:r>
    </w:p>
    <w:p w:rsidR="005F5763" w:rsidRPr="003B2EAA" w:rsidRDefault="005F5763" w:rsidP="003B2EAA">
      <w:pPr>
        <w:spacing w:line="360" w:lineRule="auto"/>
        <w:contextualSpacing/>
        <w:rPr>
          <w:rFonts w:ascii="Arial" w:hAnsi="Arial" w:cs="Arial"/>
        </w:rPr>
      </w:pPr>
    </w:p>
    <w:p w:rsidR="00210A49" w:rsidRPr="00E94C26" w:rsidRDefault="003B2EAA" w:rsidP="003B2EAA">
      <w:pPr>
        <w:spacing w:line="360" w:lineRule="auto"/>
        <w:contextualSpacing/>
        <w:rPr>
          <w:rFonts w:ascii="Arial" w:hAnsi="Arial" w:cs="Arial"/>
        </w:rPr>
      </w:pPr>
      <w:r w:rsidRPr="003B2EAA">
        <w:rPr>
          <w:rFonts w:ascii="Arial" w:hAnsi="Arial" w:cs="Arial"/>
        </w:rPr>
        <w:t>Corresponding author email: martinp@bournemouth.ac.uk</w:t>
      </w:r>
    </w:p>
    <w:p w:rsidR="003B2EAA" w:rsidRDefault="003B2EAA">
      <w:pPr>
        <w:rPr>
          <w:rFonts w:ascii="Arial" w:hAnsi="Arial" w:cs="Arial"/>
          <w:b/>
        </w:rPr>
      </w:pPr>
      <w:r>
        <w:rPr>
          <w:rFonts w:ascii="Arial" w:hAnsi="Arial" w:cs="Arial"/>
          <w:b/>
        </w:rPr>
        <w:br w:type="page"/>
      </w:r>
    </w:p>
    <w:p w:rsidR="00210A49" w:rsidRDefault="00210A49" w:rsidP="00DE059E">
      <w:pPr>
        <w:spacing w:line="360" w:lineRule="auto"/>
        <w:contextualSpacing/>
        <w:rPr>
          <w:rFonts w:ascii="Arial" w:hAnsi="Arial" w:cs="Arial"/>
          <w:b/>
        </w:rPr>
      </w:pPr>
      <w:r w:rsidRPr="00E94C26">
        <w:rPr>
          <w:rFonts w:ascii="Arial" w:hAnsi="Arial" w:cs="Arial"/>
          <w:b/>
        </w:rPr>
        <w:lastRenderedPageBreak/>
        <w:t>Introduction</w:t>
      </w:r>
    </w:p>
    <w:p w:rsidR="008C77A4" w:rsidRDefault="008C77A4" w:rsidP="008C77A4">
      <w:pPr>
        <w:spacing w:line="360" w:lineRule="auto"/>
        <w:contextualSpacing/>
        <w:rPr>
          <w:rFonts w:ascii="Arial" w:hAnsi="Arial" w:cs="Arial"/>
        </w:rPr>
      </w:pPr>
    </w:p>
    <w:p w:rsidR="00B439A6" w:rsidRDefault="00B439A6" w:rsidP="008016AC">
      <w:pPr>
        <w:spacing w:line="360" w:lineRule="auto"/>
        <w:ind w:firstLine="720"/>
        <w:contextualSpacing/>
        <w:rPr>
          <w:rFonts w:ascii="Arial" w:hAnsi="Arial" w:cs="Arial"/>
        </w:rPr>
      </w:pPr>
      <w:r>
        <w:rPr>
          <w:rFonts w:ascii="Arial" w:hAnsi="Arial" w:cs="Arial"/>
        </w:rPr>
        <w:t xml:space="preserve">In recent decades </w:t>
      </w:r>
      <w:r w:rsidR="008C77A4">
        <w:rPr>
          <w:rFonts w:ascii="Arial" w:hAnsi="Arial" w:cs="Arial"/>
        </w:rPr>
        <w:t xml:space="preserve">tree mortality </w:t>
      </w:r>
      <w:r w:rsidR="00976D3D">
        <w:rPr>
          <w:rFonts w:ascii="Arial" w:hAnsi="Arial" w:cs="Arial"/>
        </w:rPr>
        <w:t>has increased in many parts of the world</w:t>
      </w:r>
      <w:r w:rsidR="008C77A4">
        <w:rPr>
          <w:rFonts w:ascii="Arial" w:hAnsi="Arial" w:cs="Arial"/>
        </w:rPr>
        <w:t xml:space="preserve">. </w:t>
      </w:r>
      <w:r w:rsidR="008538A9">
        <w:rPr>
          <w:rFonts w:ascii="Arial" w:hAnsi="Arial" w:cs="Arial"/>
        </w:rPr>
        <w:t>I</w:t>
      </w:r>
      <w:r w:rsidR="004377EC">
        <w:rPr>
          <w:rFonts w:ascii="Arial" w:hAnsi="Arial" w:cs="Arial"/>
        </w:rPr>
        <w:t xml:space="preserve">n forests in the western USA </w:t>
      </w:r>
      <w:r w:rsidR="008538A9">
        <w:rPr>
          <w:rFonts w:ascii="Arial" w:hAnsi="Arial" w:cs="Arial"/>
        </w:rPr>
        <w:t xml:space="preserve">mortality rates </w:t>
      </w:r>
      <w:r w:rsidR="004377EC">
        <w:rPr>
          <w:rFonts w:ascii="Arial" w:hAnsi="Arial" w:cs="Arial"/>
        </w:rPr>
        <w:t xml:space="preserve">have more than doubled over the past 30 years </w:t>
      </w:r>
      <w:r w:rsidR="004377EC">
        <w:rPr>
          <w:rFonts w:ascii="Arial" w:hAnsi="Arial" w:cs="Arial"/>
        </w:rPr>
        <w:fldChar w:fldCharType="begin" w:fldLock="1"/>
      </w:r>
      <w:r w:rsidR="004377EC">
        <w:rPr>
          <w:rFonts w:ascii="Arial" w:hAnsi="Arial" w:cs="Arial"/>
        </w:rPr>
        <w:instrText>ADDIN CSL_CITATION { "citationItems" : [ { "id" : "ITEM-1",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"ITEM-1", "issued" : { "date-parts" : [ [ "2009" ] ] }, "page" : "521-524", "title" : "Widespread increase of tree mortality rates in the western United States.", "type" : "article-journal", "volume" : "323" }, "uris" : [ "http://www.mendeley.com/documents/?uuid=15c27db6-6b76-4aeb-9051-176089dca0fb" ] } ], "mendeley" : { "formattedCitation" : "(van Mantgem &lt;i&gt;et al.&lt;/i&gt; 2009)", "plainTextFormattedCitation" : "(van Mantgem et al. 2009)", "previouslyFormattedCitation" : "(van Mantgem &lt;i&gt;et al.&lt;/i&gt; 2009)" }, "properties" : { "noteIndex" : 0 }, "schema" : "https://github.com/citation-style-language/schema/raw/master/csl-citation.json" }</w:instrText>
      </w:r>
      <w:r w:rsidR="004377EC">
        <w:rPr>
          <w:rFonts w:ascii="Arial" w:hAnsi="Arial" w:cs="Arial"/>
        </w:rPr>
        <w:fldChar w:fldCharType="separate"/>
      </w:r>
      <w:r w:rsidR="004377EC" w:rsidRPr="004377EC">
        <w:rPr>
          <w:rFonts w:ascii="Arial" w:hAnsi="Arial" w:cs="Arial"/>
          <w:noProof/>
        </w:rPr>
        <w:t xml:space="preserve">(van Mantgem </w:t>
      </w:r>
      <w:r w:rsidR="004377EC" w:rsidRPr="004377EC">
        <w:rPr>
          <w:rFonts w:ascii="Arial" w:hAnsi="Arial" w:cs="Arial"/>
          <w:i/>
          <w:noProof/>
        </w:rPr>
        <w:t>et al.</w:t>
      </w:r>
      <w:r w:rsidR="004377EC" w:rsidRPr="004377EC">
        <w:rPr>
          <w:rFonts w:ascii="Arial" w:hAnsi="Arial" w:cs="Arial"/>
          <w:noProof/>
        </w:rPr>
        <w:t xml:space="preserve"> 2009)</w:t>
      </w:r>
      <w:r w:rsidR="004377EC">
        <w:rPr>
          <w:rFonts w:ascii="Arial" w:hAnsi="Arial" w:cs="Arial"/>
        </w:rPr>
        <w:fldChar w:fldCharType="end"/>
      </w:r>
      <w:r w:rsidR="004377EC">
        <w:rPr>
          <w:rFonts w:ascii="Arial" w:hAnsi="Arial" w:cs="Arial"/>
        </w:rPr>
        <w:t xml:space="preserve"> and have approximately tripled in boreal Canada since the 1960’s </w:t>
      </w:r>
      <w:r w:rsidR="004377EC">
        <w:rPr>
          <w:rFonts w:ascii="Arial" w:hAnsi="Arial" w:cs="Arial"/>
        </w:rPr>
        <w:fldChar w:fldCharType="begin" w:fldLock="1"/>
      </w:r>
      <w:r w:rsidR="00547264">
        <w:rPr>
          <w:rFonts w:ascii="Arial" w:hAnsi="Arial" w:cs="Arial"/>
        </w:rPr>
        <w:instrText>ADDIN CSL_CITATION { "citationItems" : [ { "id" : "ITEM-1", "itemData" : { "DOI" : "10.1038/nclimate1293", "ISSN" : "1758-678X", "author" : [ { "dropping-particle" : "", "family" : "Peng", "given" : "Changhui", "non-dropping-particle" : "", "parse-names" : false, "suffix" : "" }, { "dropping-particle" : "", "family" : "Ma", "given" : "Zhihai", "non-dropping-particle" : "", "parse-names" : false, "suffix" : "" }, { "dropping-particle" : "", "family" : "Lei", "given" : "Xiangdong", "non-dropping-particle" : "", "parse-names" : false, "suffix" : "" }, { "dropping-particle" : "", "family" : "Zhu", "given" : "Qiuan", "non-dropping-particle" : "", "parse-names" : false, "suffix" : "" }, { "dropping-particle" : "", "family" : "Chen", "given" : "Huai", "non-dropping-particle" : "", "parse-names" : false, "suffix" : "" }, { "dropping-particle" : "", "family" : "Wang", "given" : "Weifeng", "non-dropping-particle" : "", "parse-names" : false, "suffix" : "" }, { "dropping-particle" : "", "family" : "Liu", "given" : "Shirong", "non-dropping-particle" : "", "parse-names" : false, "suffix" : "" }, { "dropping-particle" : "", "family" : "Li", "given" : "Weizhong", "non-dropping-particle" : "", "parse-names" : false, "suffix" : "" }, { "dropping-particle" : "", "family" : "Fang", "given" : "Xiuqin", "non-dropping-particle" : "", "parse-names" : false, "suffix" : "" }, { "dropping-particle" : "", "family" : "Zhou", "given" : "Xiaolu", "non-dropping-particle" : "", "parse-names" : false, "suffix" : "" } ], "container-title" : "Nature Climate Change", "id" : "ITEM-1", "issue" : "9", "issued" : { "date-parts" : [ [ "2011", "11", "20" ] ] }, "language" : "en", "page" : "467-471", "publisher" : "Nature Publishing Group", "title" : "A drought-induced pervasive increase in tree mortality across Canada's boreal forests", "type" : "article-journal", "volume" : "1" }, "uris" : [ "http://www.mendeley.com/documents/?uuid=4d437544-ce7e-4aa0-9399-787666964a91" ] } ], "mendeley" : { "formattedCitation" : "(Peng &lt;i&gt;et al.&lt;/i&gt; 2011)", "plainTextFormattedCitation" : "(Peng et al. 2011)", "previouslyFormattedCitation" : "(Peng &lt;i&gt;et al.&lt;/i&gt; 2011)" }, "properties" : { "noteIndex" : 0 }, "schema" : "https://github.com/citation-style-language/schema/raw/master/csl-citation.json" }</w:instrText>
      </w:r>
      <w:r w:rsidR="004377EC">
        <w:rPr>
          <w:rFonts w:ascii="Arial" w:hAnsi="Arial" w:cs="Arial"/>
        </w:rPr>
        <w:fldChar w:fldCharType="separate"/>
      </w:r>
      <w:r w:rsidR="004377EC" w:rsidRPr="004377EC">
        <w:rPr>
          <w:rFonts w:ascii="Arial" w:hAnsi="Arial" w:cs="Arial"/>
          <w:noProof/>
        </w:rPr>
        <w:t xml:space="preserve">(Peng </w:t>
      </w:r>
      <w:r w:rsidR="004377EC" w:rsidRPr="004377EC">
        <w:rPr>
          <w:rFonts w:ascii="Arial" w:hAnsi="Arial" w:cs="Arial"/>
          <w:i/>
          <w:noProof/>
        </w:rPr>
        <w:t>et al.</w:t>
      </w:r>
      <w:r w:rsidR="004377EC" w:rsidRPr="004377EC">
        <w:rPr>
          <w:rFonts w:ascii="Arial" w:hAnsi="Arial" w:cs="Arial"/>
          <w:noProof/>
        </w:rPr>
        <w:t xml:space="preserve"> 2011)</w:t>
      </w:r>
      <w:r w:rsidR="004377EC">
        <w:rPr>
          <w:rFonts w:ascii="Arial" w:hAnsi="Arial" w:cs="Arial"/>
        </w:rPr>
        <w:fldChar w:fldCharType="end"/>
      </w:r>
      <w:r w:rsidR="004377EC">
        <w:rPr>
          <w:rFonts w:ascii="Arial" w:hAnsi="Arial" w:cs="Arial"/>
        </w:rPr>
        <w:t xml:space="preserve">. </w:t>
      </w:r>
      <w:r w:rsidR="00976D3D">
        <w:rPr>
          <w:rFonts w:ascii="Arial" w:hAnsi="Arial" w:cs="Arial"/>
        </w:rPr>
        <w:t>Drought-induced t</w:t>
      </w:r>
      <w:r>
        <w:rPr>
          <w:rFonts w:ascii="Arial" w:hAnsi="Arial" w:cs="Arial"/>
        </w:rPr>
        <w:t xml:space="preserve">ree mortality </w:t>
      </w:r>
      <w:r w:rsidR="00976D3D">
        <w:rPr>
          <w:rFonts w:ascii="Arial" w:hAnsi="Arial" w:cs="Arial"/>
        </w:rPr>
        <w:t>linked to</w:t>
      </w:r>
      <w:r>
        <w:rPr>
          <w:rFonts w:ascii="Arial" w:hAnsi="Arial" w:cs="Arial"/>
        </w:rPr>
        <w:t xml:space="preserve"> recent climate change has now been </w:t>
      </w:r>
      <w:r w:rsidR="008538A9">
        <w:rPr>
          <w:rFonts w:ascii="Arial" w:hAnsi="Arial" w:cs="Arial"/>
        </w:rPr>
        <w:t>seen</w:t>
      </w:r>
      <w:r>
        <w:rPr>
          <w:rFonts w:ascii="Arial" w:hAnsi="Arial" w:cs="Arial"/>
        </w:rPr>
        <w:t xml:space="preserve"> on all wooded continents</w:t>
      </w:r>
      <w:r w:rsidR="00976D3D">
        <w:rPr>
          <w:rFonts w:ascii="Arial" w:hAnsi="Arial" w:cs="Arial"/>
        </w:rPr>
        <w:t xml:space="preserve"> and is thought to be increasing in prevalence</w:t>
      </w:r>
      <w:r>
        <w:rPr>
          <w:rFonts w:ascii="Arial" w:hAnsi="Arial" w:cs="Arial"/>
        </w:rPr>
        <w:t xml:space="preserve"> </w:t>
      </w:r>
      <w:r>
        <w:rPr>
          <w:rFonts w:ascii="Arial" w:hAnsi="Arial" w:cs="Arial"/>
        </w:rPr>
        <w:fldChar w:fldCharType="begin" w:fldLock="1"/>
      </w:r>
      <w:r w:rsidR="008016AC">
        <w:rPr>
          <w:rFonts w:ascii="Arial" w:hAnsi="Arial" w:cs="Arial"/>
        </w:rPr>
        <w:instrText>ADDIN CSL_CITATION { "citationItems" : [ { "id" : "ITEM-1", "itemData" : { "DOI" : "10.1016/j.foreco.2009.09.001", "ISBN" : "0378-1127", "ISSN" : "03781127", "PMID" : "510", "abstract" : "Greenhouse gas emissions have significantly altered global climate, and will continue to do so in the future. Increases in the frequency, duration, and/or severity of drought and heat stress associated with climate change could fundamentally alter the composition, structure, and biogeography of forests in many regions. Of particular concern are potential increases in tree mortality associated with climate-induced physiological stress and interactions with other climate-mediated processes such as insect outbreaks and wildfire. Despite this risk, existing projections of tree mortality are based on models that lack functionally realistic mortality mechanisms, and there has been no attempt to track observations of climate-driven tree mortality globally. Here we present the first global assessment of recent tree mortality attributed to drought and heat stress. Although episodic mortality occurs in the absence of climate change, studies compiled here suggest that at least some of the world's forested ecosystems already may be responding to climate change and raise concern that forests may become increasingly vulnerable to higher background tree mortality rates and die-off in response to future warming and drought, even in environments that are not normally considered water-limited. This further suggests risks to ecosystem services, including the loss of sequestered forest carbon and associated atmospheric feedbacks. Our review also identifies key information gaps and scientific uncertainties that currently hinder our ability to predict tree mortality in response to climate change and emphasizes the need for a globally coordinated observation system. Overall, our review reveals the potential for amplified tree mortality due to drought and heat in forests worldwide.", "author" : [ { "dropping-particle" : "", "family" : "Allen", "given" : "Craig D.", "non-dropping-particle" : "", "parse-names" : false, "suffix" : "" }, { "dropping-particle" : "", "family" : "Macalady", "given" : "Alison K.", "non-dropping-particle" : "", "parse-names" : false, "suffix" : "" }, { "dropping-particle" : "", "family" : "Chenchouni", "given" : "Haroun", "non-dropping-particle" : "", "parse-names" : false, "suffix" : "" }, { "dropping-particle" : "", "family" : "Bachelet", "given" : "Dominique", "non-dropping-particle" : "", "parse-names" : false, "suffix" : "" }, { "dropping-particle" : "", "family" : "McDowell", "given" : "Nate", "non-dropping-particle" : "", "parse-names" : false, "suffix" : "" }, { "dropping-particle" : "", "family" : "Vennetier", "given" : "Michel", "non-dropping-particle" : "", "parse-names" : false, "suffix" : "" }, { "dropping-particle" : "", "family" : "Kitzberger", "given" : "Thomas", "non-dropping-particle" : "", "parse-names" : false, "suffix" : "" }, { "dropping-particle" : "", "family" : "Rigling", "given" : "Andreas", "non-dropping-particle" : "", "parse-names" : false, "suffix" : "" }, { "dropping-particle" : "", "family" : "Breshears", "given" : "David D.", "non-dropping-particle" : "", "parse-names" : false, "suffix" : "" }, { "dropping-particle" : "", "family" : "Hogg", "given" : "E. H (Ted)", "non-dropping-particle" : "", "parse-names" : false, "suffix" : "" }, { "dropping-particle" : "", "family" : "Gonzalez", "given" : "Patrick", "non-dropping-particle" : "", "parse-names" : false, "suffix" : "" }, { "dropping-particle" : "", "family" : "Fensham", "given" : "Rod", "non-dropping-particle" : "", "parse-names" : false, "suffix" : "" }, { "dropping-particle" : "", "family" : "Zhang", "given" : "Zhen", "non-dropping-particle" : "", "parse-names" : false, "suffix" : "" }, { "dropping-particle" : "", "family" : "Castro", "given" : "Jorge", "non-dropping-particle" : "", "parse-names" : false, "suffix" : "" }, { "dropping-particle" : "", "family" : "Demidova", "given" : "Natalia", "non-dropping-particle" : "", "parse-names" : false, "suffix" : "" }, { "dropping-particle" : "", "family" : "Lim", "given" : "Jong Hwan", "non-dropping-particle" : "", "parse-names" : false, "suffix" : "" }, { "dropping-particle" : "", "family" : "Allard", "given" : "Gillian", "non-dropping-particle" : "", "parse-names" : false, "suffix" : "" }, { "dropping-particle" : "", "family" : "Running", "given" : "Steven W.", "non-dropping-particle" : "", "parse-names" : false, "suffix" : "" }, { "dropping-particle" : "", "family" : "Semerci", "given" : "Akkin", "non-dropping-particle" : "", "parse-names" : false, "suffix" : "" }, { "dropping-particle" : "", "family" : "Cobb", "given" : "Neil", "non-dropping-particle" : "", "parse-names" : false, "suffix" : "" } ], "container-title" : "Forest Ecology and Management", "id" : "ITEM-1", "issue" : "4", "issued" : { "date-parts" : [ [ "2010" ] ] }, "page" : "660-684", "title" : "A global overview of drought and heat-induced tree mortality reveals emerging climate change risks for forests", "type" : "article-journal", "volume" : "259" }, "uris" : [ "http://www.mendeley.com/documents/?uuid=92ef513f-2d51-4d52-8181-d0e105282b55" ] }, { "id" : "ITEM-2", "itemData" : { "DOI" : "10.1111/1365-2745.12335", "ISSN" : "00220477", "author" : [ { "dropping-particle" : "", "family" : "Steinkamp", "given" : "J\u00f6rg", "non-dropping-particle" : "", "parse-names" : false, "suffix" : "" }, { "dropping-particle" : "", "family" : "Hickler", "given" : "Thomas", "non-dropping-particle" : "", "parse-names" : false, "suffix" : "" } ], "container-title" : "Journal of Ecology", "editor" : [ { "dropping-particle" : "", "family" : "Gibson", "given" : "David", "non-dropping-particle" : "", "parse-names" : false, "suffix" : "" } ], "id" : "ITEM-2", "issue" : "1", "issued" : { "date-parts" : [ [ "2015", "1", "7" ] ] }, "page" : "31-43", "title" : "Is drought-induced forest dieback globally increasing?", "type" : "article-journal", "volume" : "103" }, "uris" : [ "http://www.mendeley.com/documents/?uuid=9204056b-1ca8-4eda-a3aa-ac80f51aa338" ] } ], "mendeley" : { "formattedCitation" : "(Allen &lt;i&gt;et al.&lt;/i&gt; 2010; Steinkamp &amp; Hickler 2015)", "plainTextFormattedCitation" : "(Allen et al. 2010; Steinkamp &amp; Hickler 2015)", "previouslyFormattedCitation" : "(Allen &lt;i&gt;et al.&lt;/i&gt; 2010; Steinkamp &amp; Hickler 2015)" }, "properties" : { "noteIndex" : 0 }, "schema" : "https://github.com/citation-style-language/schema/raw/master/csl-citation.json" }</w:instrText>
      </w:r>
      <w:r>
        <w:rPr>
          <w:rFonts w:ascii="Arial" w:hAnsi="Arial" w:cs="Arial"/>
        </w:rPr>
        <w:fldChar w:fldCharType="separate"/>
      </w:r>
      <w:r w:rsidRPr="00B439A6">
        <w:rPr>
          <w:rFonts w:ascii="Arial" w:hAnsi="Arial" w:cs="Arial"/>
          <w:noProof/>
        </w:rPr>
        <w:t xml:space="preserve">(Allen </w:t>
      </w:r>
      <w:r w:rsidRPr="00B439A6">
        <w:rPr>
          <w:rFonts w:ascii="Arial" w:hAnsi="Arial" w:cs="Arial"/>
          <w:i/>
          <w:noProof/>
        </w:rPr>
        <w:t>et al.</w:t>
      </w:r>
      <w:r w:rsidRPr="00B439A6">
        <w:rPr>
          <w:rFonts w:ascii="Arial" w:hAnsi="Arial" w:cs="Arial"/>
          <w:noProof/>
        </w:rPr>
        <w:t xml:space="preserve"> 2010; Steinkamp &amp; Hickler 2015)</w:t>
      </w:r>
      <w:r>
        <w:rPr>
          <w:rFonts w:ascii="Arial" w:hAnsi="Arial" w:cs="Arial"/>
        </w:rPr>
        <w:fldChar w:fldCharType="end"/>
      </w:r>
      <w:r>
        <w:rPr>
          <w:rFonts w:ascii="Arial" w:hAnsi="Arial" w:cs="Arial"/>
        </w:rPr>
        <w:t>. At the same time intensity and regularity disturbances</w:t>
      </w:r>
      <w:r w:rsidR="008538A9">
        <w:rPr>
          <w:rFonts w:ascii="Arial" w:hAnsi="Arial" w:cs="Arial"/>
        </w:rPr>
        <w:t xml:space="preserve"> has also been increasing</w:t>
      </w:r>
      <w:r>
        <w:rPr>
          <w:rFonts w:ascii="Arial" w:hAnsi="Arial" w:cs="Arial"/>
        </w:rPr>
        <w:t xml:space="preserve">. Large wildfires have quadrupled in frequency in the Western USA in the past 30 years </w:t>
      </w:r>
      <w:r w:rsidR="00BF6271">
        <w:rPr>
          <w:rFonts w:ascii="Arial" w:hAnsi="Arial" w:cs="Arial"/>
        </w:rPr>
        <w:fldChar w:fldCharType="begin" w:fldLock="1"/>
      </w:r>
      <w:r w:rsidR="00BF6271">
        <w:rPr>
          <w:rFonts w:ascii="Arial" w:hAnsi="Arial" w:cs="Arial"/>
        </w:rPr>
        <w:instrText>ADDIN CSL_CITATION { "citationItems" : [ { "id" : "ITEM-1", "itemData" : { "DOI" : "10.1126/science.1128834", "ISSN" : "1095-9203", "PMID" : "16825536", "abstract" : "Western United States forest wildfire activity is widely thought to have increased in recent decades, yet neither the extent of recent changes nor the degree to which climate may be driving regional changes in wildfire has been systematically documented. Much of the public and scientific discussion of changes in western United States wildfire has focused instead on the effects of 19th- and 20th-century land-use history. We compiled a comprehensive database of large wildfires in western United States forests since 1970 and compared it with hydroclimatic and land-surface data. Here, we show that large wildfire activity increased suddenly and markedly in the mid-1980s, with higher large-wildfire frequency, longer wildfire durations, and longer wildfire seasons. The greatest increases occurred in mid-elevation, Northern Rockies forests, where land-use histories have relatively little effect on fire risks and are strongly associated with increased spring and summer temperatures and an earlier spring snowmelt.", "author" : [ { "dropping-particle" : "", "family" : "Westerling", "given" : "A L", "non-dropping-particle" : "", "parse-names" : false, "suffix" : "" }, { "dropping-particle" : "", "family" : "Hidalgo", "given" : "H G", "non-dropping-particle" : "", "parse-names" : false, "suffix" : "" }, { "dropping-particle" : "", "family" : "Cayan", "given" : "D R", "non-dropping-particle" : "", "parse-names" : false, "suffix" : "" }, { "dropping-particle" : "", "family" : "Swetnam", "given" : "T W", "non-dropping-particle" : "", "parse-names" : false, "suffix" : "" } ], "container-title" : "Science", "id" : "ITEM-1", "issue" : "5789", "issued" : { "date-parts" : [ [ "2006", "8", "18" ] ] }, "page" : "940-3", "title" : "Warming and earlier spring increase western U.S. forest wildfire activity.", "type" : "article-journal", "volume" : "313" }, "uris" : [ "http://www.mendeley.com/documents/?uuid=3ff1c285-7cf4-4078-b3c7-918a5181f4b8" ] } ], "mendeley" : { "formattedCitation" : "(Westerling &lt;i&gt;et al.&lt;/i&gt; 2006)", "plainTextFormattedCitation" : "(Westerling et al. 2006)", "previouslyFormattedCitation" : "(Westerling &lt;i&gt;et al.&lt;/i&gt; 2006)" }, "properties" : { "noteIndex" : 0 }, "schema" : "https://github.com/citation-style-language/schema/raw/master/csl-citation.json" }</w:instrText>
      </w:r>
      <w:r w:rsidR="00BF6271">
        <w:rPr>
          <w:rFonts w:ascii="Arial" w:hAnsi="Arial" w:cs="Arial"/>
        </w:rPr>
        <w:fldChar w:fldCharType="separate"/>
      </w:r>
      <w:r w:rsidR="00BF6271" w:rsidRPr="00BF6271">
        <w:rPr>
          <w:rFonts w:ascii="Arial" w:hAnsi="Arial" w:cs="Arial"/>
          <w:noProof/>
        </w:rPr>
        <w:t xml:space="preserve">(Westerling </w:t>
      </w:r>
      <w:r w:rsidR="00BF6271" w:rsidRPr="00BF6271">
        <w:rPr>
          <w:rFonts w:ascii="Arial" w:hAnsi="Arial" w:cs="Arial"/>
          <w:i/>
          <w:noProof/>
        </w:rPr>
        <w:t>et al.</w:t>
      </w:r>
      <w:r w:rsidR="00BF6271" w:rsidRPr="00BF6271">
        <w:rPr>
          <w:rFonts w:ascii="Arial" w:hAnsi="Arial" w:cs="Arial"/>
          <w:noProof/>
        </w:rPr>
        <w:t xml:space="preserve"> 2006)</w:t>
      </w:r>
      <w:r w:rsidR="00BF6271">
        <w:rPr>
          <w:rFonts w:ascii="Arial" w:hAnsi="Arial" w:cs="Arial"/>
        </w:rPr>
        <w:fldChar w:fldCharType="end"/>
      </w:r>
      <w:r w:rsidR="00BF6271">
        <w:rPr>
          <w:rFonts w:ascii="Arial" w:hAnsi="Arial" w:cs="Arial"/>
        </w:rPr>
        <w:t xml:space="preserve"> </w:t>
      </w:r>
      <w:r>
        <w:rPr>
          <w:rFonts w:ascii="Arial" w:hAnsi="Arial" w:cs="Arial"/>
        </w:rPr>
        <w:t>and bark beetle damage in the same region has reached unprecedented levels</w:t>
      </w:r>
      <w:r w:rsidR="00BF6271">
        <w:rPr>
          <w:rFonts w:ascii="Arial" w:hAnsi="Arial" w:cs="Arial"/>
        </w:rPr>
        <w:t xml:space="preserve"> </w:t>
      </w:r>
      <w:r w:rsidR="00BF6271">
        <w:rPr>
          <w:rFonts w:ascii="Arial" w:hAnsi="Arial" w:cs="Arial"/>
        </w:rPr>
        <w:fldChar w:fldCharType="begin" w:fldLock="1"/>
      </w:r>
      <w:r w:rsidR="00BF6271">
        <w:rPr>
          <w:rFonts w:ascii="Arial" w:hAnsi="Arial" w:cs="Arial"/>
        </w:rPr>
        <w:instrText>ADDIN CSL_CITATION { "citationItems" : [ { "id" : "ITEM-1", "itemData" : { "DOI" : "10.1890/11-1785.1", "ISSN" : "1051-0761", "abstract" : "Outbreaks of aggressive bark beetle species cause widespread tree mortality, affecting timber production, wildlife habitat, wildfire, forest composition and structure, biogeochemical cycling, and biogeophysical processes. As a result, agencies responsible for forest management in the United States and British Columbia conduct aerial surveys to map these forest disturbances. Here we combined aerial surveys from British Columbia (2001\u20132010) and the western conterminous United States (1997\u20132010), produced 1-km2 grids of the area of crown mortality from bark beetle attack, and analyzed spatial and temporal patterns. We converted aerial-survey polygon data for each combination of host type and bark beetle species available in the western United States, and for each bark beetle species available in British Columbia. We converted affected area (which includes live and killed trees) to mortality area (crown area of killed trees) using species-specific crown diameters and the number (U.S.) or percentage (British C...", "author" : [ { "dropping-particle" : "", "family" : "Meddens", "given" : "Arjan J. H.", "non-dropping-particle" : "", "parse-names" : false, "suffix" : "" }, { "dropping-particle" : "", "family" : "Hicke", "given" : "Jeffrey A.", "non-dropping-particle" : "", "parse-names" : false, "suffix" : "" }, { "dropping-particle" : "", "family" : "Ferguson", "given" : "Charles A.", "non-dropping-particle" : "", "parse-names" : false, "suffix" : "" } ], "container-title" : "Ecological Applications", "id" : "ITEM-1", "issue" : "7", "issued" : { "date-parts" : [ [ "2012", "10", "1" ] ] }, "language" : "EN", "page" : "1876-1891", "publisher" : "Ecological Society of America", "title" : "Spatiotemporal patterns of observed bark beetle-caused tree mortality in British Columbia and the western United States", "type" : "article-journal", "volume" : "22" }, "uris" : [ "http://www.mendeley.com/documents/?uuid=54ab5539-b26c-43e7-8b4c-22b6a0d82887" ] } ], "mendeley" : { "formattedCitation" : "(Meddens, Hicke &amp; Ferguson 2012)", "plainTextFormattedCitation" : "(Meddens, Hicke &amp; Ferguson 2012)", "previouslyFormattedCitation" : "(Meddens, Hicke &amp; Ferguson 2012)" }, "properties" : { "noteIndex" : 0 }, "schema" : "https://github.com/citation-style-language/schema/raw/master/csl-citation.json" }</w:instrText>
      </w:r>
      <w:r w:rsidR="00BF6271">
        <w:rPr>
          <w:rFonts w:ascii="Arial" w:hAnsi="Arial" w:cs="Arial"/>
        </w:rPr>
        <w:fldChar w:fldCharType="separate"/>
      </w:r>
      <w:r w:rsidR="00BF6271" w:rsidRPr="00BF6271">
        <w:rPr>
          <w:rFonts w:ascii="Arial" w:hAnsi="Arial" w:cs="Arial"/>
          <w:noProof/>
        </w:rPr>
        <w:t>(Meddens, Hicke &amp; Ferguson 2012)</w:t>
      </w:r>
      <w:r w:rsidR="00BF6271">
        <w:rPr>
          <w:rFonts w:ascii="Arial" w:hAnsi="Arial" w:cs="Arial"/>
        </w:rPr>
        <w:fldChar w:fldCharType="end"/>
      </w:r>
      <w:r>
        <w:rPr>
          <w:rFonts w:ascii="Arial" w:hAnsi="Arial" w:cs="Arial"/>
        </w:rPr>
        <w:t xml:space="preserve">. Similarly in Europe </w:t>
      </w:r>
      <w:r w:rsidR="008016AC">
        <w:rPr>
          <w:rFonts w:ascii="Arial" w:hAnsi="Arial" w:cs="Arial"/>
        </w:rPr>
        <w:t xml:space="preserve">the negative effects of wildfire, </w:t>
      </w:r>
      <w:proofErr w:type="spellStart"/>
      <w:r w:rsidR="008016AC">
        <w:rPr>
          <w:rFonts w:ascii="Arial" w:hAnsi="Arial" w:cs="Arial"/>
        </w:rPr>
        <w:t>windthrow</w:t>
      </w:r>
      <w:proofErr w:type="spellEnd"/>
      <w:r w:rsidR="00976D3D">
        <w:rPr>
          <w:rFonts w:ascii="Arial" w:hAnsi="Arial" w:cs="Arial"/>
        </w:rPr>
        <w:t>,</w:t>
      </w:r>
      <w:r w:rsidR="008016AC">
        <w:rPr>
          <w:rFonts w:ascii="Arial" w:hAnsi="Arial" w:cs="Arial"/>
        </w:rPr>
        <w:t xml:space="preserve"> and pathogen and pest speci</w:t>
      </w:r>
      <w:r w:rsidR="00BF6271">
        <w:rPr>
          <w:rFonts w:ascii="Arial" w:hAnsi="Arial" w:cs="Arial"/>
        </w:rPr>
        <w:t>es have all increased over the l</w:t>
      </w:r>
      <w:r w:rsidR="008016AC">
        <w:rPr>
          <w:rFonts w:ascii="Arial" w:hAnsi="Arial" w:cs="Arial"/>
        </w:rPr>
        <w:t xml:space="preserve">ast two decades </w:t>
      </w:r>
      <w:r w:rsidR="008016AC">
        <w:rPr>
          <w:rFonts w:ascii="Arial" w:hAnsi="Arial" w:cs="Arial"/>
        </w:rPr>
        <w:fldChar w:fldCharType="begin" w:fldLock="1"/>
      </w:r>
      <w:r w:rsidR="008016AC">
        <w:rPr>
          <w:rFonts w:ascii="Arial" w:hAnsi="Arial" w:cs="Arial"/>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008016AC">
        <w:rPr>
          <w:rFonts w:ascii="Arial" w:hAnsi="Arial" w:cs="Arial"/>
        </w:rPr>
        <w:fldChar w:fldCharType="separate"/>
      </w:r>
      <w:r w:rsidR="008016AC" w:rsidRPr="008016AC">
        <w:rPr>
          <w:rFonts w:ascii="Arial" w:hAnsi="Arial" w:cs="Arial"/>
          <w:noProof/>
        </w:rPr>
        <w:t xml:space="preserve">(Seidl </w:t>
      </w:r>
      <w:r w:rsidR="008016AC" w:rsidRPr="008016AC">
        <w:rPr>
          <w:rFonts w:ascii="Arial" w:hAnsi="Arial" w:cs="Arial"/>
          <w:i/>
          <w:noProof/>
        </w:rPr>
        <w:t>et al.</w:t>
      </w:r>
      <w:r w:rsidR="008016AC" w:rsidRPr="008016AC">
        <w:rPr>
          <w:rFonts w:ascii="Arial" w:hAnsi="Arial" w:cs="Arial"/>
          <w:noProof/>
        </w:rPr>
        <w:t xml:space="preserve"> 2014)</w:t>
      </w:r>
      <w:r w:rsidR="008016AC">
        <w:rPr>
          <w:rFonts w:ascii="Arial" w:hAnsi="Arial" w:cs="Arial"/>
        </w:rPr>
        <w:fldChar w:fldCharType="end"/>
      </w:r>
      <w:r w:rsidR="008016AC">
        <w:rPr>
          <w:rFonts w:ascii="Arial" w:hAnsi="Arial" w:cs="Arial"/>
        </w:rPr>
        <w:t>.</w:t>
      </w:r>
      <w:r w:rsidR="00976D3D">
        <w:rPr>
          <w:rFonts w:ascii="Arial" w:hAnsi="Arial" w:cs="Arial"/>
        </w:rPr>
        <w:t xml:space="preserve"> </w:t>
      </w:r>
      <w:r w:rsidR="008538A9">
        <w:rPr>
          <w:rFonts w:ascii="Arial" w:hAnsi="Arial" w:cs="Arial"/>
        </w:rPr>
        <w:t>T</w:t>
      </w:r>
      <w:r w:rsidR="00976D3D">
        <w:rPr>
          <w:rFonts w:ascii="Arial" w:hAnsi="Arial" w:cs="Arial"/>
        </w:rPr>
        <w:t xml:space="preserve">he intensity of disturbances and the severity of climate change are </w:t>
      </w:r>
      <w:r w:rsidR="008538A9">
        <w:rPr>
          <w:rFonts w:ascii="Arial" w:hAnsi="Arial" w:cs="Arial"/>
        </w:rPr>
        <w:t xml:space="preserve">both </w:t>
      </w:r>
      <w:r w:rsidR="00976D3D">
        <w:rPr>
          <w:rFonts w:ascii="Arial" w:hAnsi="Arial" w:cs="Arial"/>
        </w:rPr>
        <w:t xml:space="preserve">predicted to increase over the coming decades </w:t>
      </w:r>
      <w:r w:rsidR="008538A9">
        <w:rPr>
          <w:rFonts w:ascii="Arial" w:hAnsi="Arial" w:cs="Arial"/>
        </w:rPr>
        <w:t>resulting</w:t>
      </w:r>
      <w:r w:rsidR="00976D3D">
        <w:rPr>
          <w:rFonts w:ascii="Arial" w:hAnsi="Arial" w:cs="Arial"/>
        </w:rPr>
        <w:t xml:space="preserve"> </w:t>
      </w:r>
      <w:r w:rsidR="008538A9">
        <w:rPr>
          <w:rFonts w:ascii="Arial" w:hAnsi="Arial" w:cs="Arial"/>
        </w:rPr>
        <w:t>in further increases in tree mortality</w:t>
      </w:r>
      <w:r w:rsidR="00976D3D">
        <w:rPr>
          <w:rFonts w:ascii="Arial" w:hAnsi="Arial" w:cs="Arial"/>
        </w:rPr>
        <w:t>.</w:t>
      </w:r>
    </w:p>
    <w:p w:rsidR="008016AC" w:rsidRDefault="00F41B50" w:rsidP="00DC2328">
      <w:pPr>
        <w:spacing w:line="360" w:lineRule="auto"/>
        <w:ind w:firstLine="720"/>
        <w:contextualSpacing/>
        <w:rPr>
          <w:rFonts w:ascii="Arial" w:hAnsi="Arial" w:cs="Arial"/>
        </w:rPr>
      </w:pPr>
      <w:r>
        <w:rPr>
          <w:rFonts w:ascii="Arial" w:hAnsi="Arial" w:cs="Arial"/>
        </w:rPr>
        <w:t xml:space="preserve">In </w:t>
      </w:r>
      <w:r w:rsidR="006F5186">
        <w:rPr>
          <w:rFonts w:ascii="Arial" w:hAnsi="Arial" w:cs="Arial"/>
        </w:rPr>
        <w:t>forests</w:t>
      </w:r>
      <w:r>
        <w:rPr>
          <w:rFonts w:ascii="Arial" w:hAnsi="Arial" w:cs="Arial"/>
        </w:rPr>
        <w:t xml:space="preserve"> where recruitment has not kept </w:t>
      </w:r>
      <w:r w:rsidR="001F0817">
        <w:rPr>
          <w:rFonts w:ascii="Arial" w:hAnsi="Arial" w:cs="Arial"/>
        </w:rPr>
        <w:t xml:space="preserve">pace with </w:t>
      </w:r>
      <w:r w:rsidR="008016AC">
        <w:rPr>
          <w:rFonts w:ascii="Arial" w:hAnsi="Arial" w:cs="Arial"/>
        </w:rPr>
        <w:t xml:space="preserve">increased </w:t>
      </w:r>
      <w:r w:rsidR="001F0817">
        <w:rPr>
          <w:rFonts w:ascii="Arial" w:hAnsi="Arial" w:cs="Arial"/>
        </w:rPr>
        <w:t xml:space="preserve">mortality, </w:t>
      </w:r>
      <w:r w:rsidR="006F5186">
        <w:rPr>
          <w:rFonts w:ascii="Arial" w:hAnsi="Arial" w:cs="Arial"/>
        </w:rPr>
        <w:t>such as in the Western USA</w:t>
      </w:r>
      <w:r w:rsidR="001F0817">
        <w:rPr>
          <w:rFonts w:ascii="Arial" w:hAnsi="Arial" w:cs="Arial"/>
        </w:rPr>
        <w:t xml:space="preserve">, this </w:t>
      </w:r>
      <w:r w:rsidR="00B439A6">
        <w:rPr>
          <w:rFonts w:ascii="Arial" w:hAnsi="Arial" w:cs="Arial"/>
        </w:rPr>
        <w:t>has le</w:t>
      </w:r>
      <w:r w:rsidR="001F0817">
        <w:rPr>
          <w:rFonts w:ascii="Arial" w:hAnsi="Arial" w:cs="Arial"/>
        </w:rPr>
        <w:t xml:space="preserve">d to </w:t>
      </w:r>
      <w:r w:rsidR="008016AC">
        <w:rPr>
          <w:rFonts w:ascii="Arial" w:hAnsi="Arial" w:cs="Arial"/>
        </w:rPr>
        <w:t xml:space="preserve">changes in </w:t>
      </w:r>
      <w:r w:rsidR="008538A9">
        <w:rPr>
          <w:rFonts w:ascii="Arial" w:hAnsi="Arial" w:cs="Arial"/>
        </w:rPr>
        <w:t xml:space="preserve">the </w:t>
      </w:r>
      <w:r w:rsidR="008016AC">
        <w:rPr>
          <w:rFonts w:ascii="Arial" w:hAnsi="Arial" w:cs="Arial"/>
        </w:rPr>
        <w:t xml:space="preserve">dominant </w:t>
      </w:r>
      <w:r w:rsidR="008538A9">
        <w:rPr>
          <w:rFonts w:ascii="Arial" w:hAnsi="Arial" w:cs="Arial"/>
        </w:rPr>
        <w:t xml:space="preserve">tree </w:t>
      </w:r>
      <w:r w:rsidR="008016AC">
        <w:rPr>
          <w:rFonts w:ascii="Arial" w:hAnsi="Arial" w:cs="Arial"/>
        </w:rPr>
        <w:t xml:space="preserve">species </w:t>
      </w:r>
      <w:r w:rsidR="00343C56">
        <w:rPr>
          <w:rFonts w:ascii="Arial" w:hAnsi="Arial" w:cs="Arial"/>
        </w:rPr>
        <w:fldChar w:fldCharType="begin" w:fldLock="1"/>
      </w:r>
      <w:r w:rsidR="00343C56">
        <w:rPr>
          <w:rFonts w:ascii="Arial" w:hAnsi="Arial" w:cs="Arial"/>
        </w:rPr>
        <w:instrText>ADDIN CSL_CITATION { "citationItems" : [ { "id" : "ITEM-1", "itemData" : { "DOI" : "10.1073/pnas.1410186112", "author" : [ { "dropping-particle" : "", "family" : "Mcintyre", "given" : "Patrick J", "non-dropping-particle" : "", "parse-names" : false, "suffix" : "" }, { "dropping-particle" : "", "family" : "Thorne", "given" : "James H", "non-dropping-particle" : "", "parse-names" : false, "suffix" : "" }, { "dropping-particle" : "", "family" : "Dolanc", "given" : "Christopher R", "non-dropping-particle" : "", "parse-names" : false, "suffix" : "" }, { "dropping-particle" : "", "family" : "Flint", "given" : "Alan L", "non-dropping-particle" : "", "parse-names" : false, "suffix" : "" }, { "dropping-particle" : "", "family" : "Flint", "given" : "Lorraine E", "non-dropping-particle" : "", "parse-names" : false, "suffix" : "" }, { "dropping-particle" : "", "family" : "Kelly", "given" : "Maggi", "non-dropping-particle" : "", "parse-names" : false, "suffix" : "" }, { "dropping-particle" : "", "family" : "Ackerly", "given" : "David D", "non-dropping-particle" : "", "parse-names" : false, "suffix" : "" } ], "id" : "ITEM-1", "issued" : { "date-parts" : [ [ "2014" ] ] }, "page" : "1-6", "title" : "Twentieth-century shifts in forest structure in California : Denser forests , smaller trees , and increased dominance of oaks", "type" : "article-journal" }, "uris" : [ "http://www.mendeley.com/documents/?uuid=35486c45-3317-41f9-978b-f2734fbef1ab" ] } ], "mendeley" : { "formattedCitation" : "(Mcintyre &lt;i&gt;et al.&lt;/i&gt; 2014)", "plainTextFormattedCitation" : "(Mcintyre et al. 2014)", "previouslyFormattedCitation" : "(Mcintyre &lt;i&gt;et al.&lt;/i&gt; 2014)" }, "properties" : { "noteIndex" : 0 }, "schema" : "https://github.com/citation-style-language/schema/raw/master/csl-citation.json" }</w:instrText>
      </w:r>
      <w:r w:rsidR="00343C56">
        <w:rPr>
          <w:rFonts w:ascii="Arial" w:hAnsi="Arial" w:cs="Arial"/>
        </w:rPr>
        <w:fldChar w:fldCharType="separate"/>
      </w:r>
      <w:r w:rsidR="00343C56" w:rsidRPr="00343C56">
        <w:rPr>
          <w:rFonts w:ascii="Arial" w:hAnsi="Arial" w:cs="Arial"/>
          <w:noProof/>
        </w:rPr>
        <w:t xml:space="preserve">(Mcintyre </w:t>
      </w:r>
      <w:r w:rsidR="00343C56" w:rsidRPr="00343C56">
        <w:rPr>
          <w:rFonts w:ascii="Arial" w:hAnsi="Arial" w:cs="Arial"/>
          <w:i/>
          <w:noProof/>
        </w:rPr>
        <w:t>et al.</w:t>
      </w:r>
      <w:r w:rsidR="00343C56" w:rsidRPr="00343C56">
        <w:rPr>
          <w:rFonts w:ascii="Arial" w:hAnsi="Arial" w:cs="Arial"/>
          <w:noProof/>
        </w:rPr>
        <w:t xml:space="preserve"> 2014)</w:t>
      </w:r>
      <w:r w:rsidR="00343C56">
        <w:rPr>
          <w:rFonts w:ascii="Arial" w:hAnsi="Arial" w:cs="Arial"/>
        </w:rPr>
        <w:fldChar w:fldCharType="end"/>
      </w:r>
      <w:r w:rsidR="006F5186">
        <w:rPr>
          <w:rFonts w:ascii="Arial" w:hAnsi="Arial" w:cs="Arial"/>
        </w:rPr>
        <w:t>.</w:t>
      </w:r>
      <w:r>
        <w:rPr>
          <w:rFonts w:ascii="Arial" w:hAnsi="Arial" w:cs="Arial"/>
        </w:rPr>
        <w:t xml:space="preserve"> </w:t>
      </w:r>
      <w:r w:rsidR="00BF6271">
        <w:rPr>
          <w:rFonts w:ascii="Arial" w:hAnsi="Arial" w:cs="Arial"/>
        </w:rPr>
        <w:t>W</w:t>
      </w:r>
      <w:r w:rsidR="008538A9">
        <w:rPr>
          <w:rFonts w:ascii="Arial" w:hAnsi="Arial" w:cs="Arial"/>
        </w:rPr>
        <w:t>hen</w:t>
      </w:r>
      <w:r w:rsidR="006F5186">
        <w:rPr>
          <w:rFonts w:ascii="Arial" w:hAnsi="Arial" w:cs="Arial"/>
        </w:rPr>
        <w:t xml:space="preserve"> </w:t>
      </w:r>
      <w:r w:rsidR="00B439A6">
        <w:rPr>
          <w:rFonts w:ascii="Arial" w:hAnsi="Arial" w:cs="Arial"/>
        </w:rPr>
        <w:t xml:space="preserve">tree </w:t>
      </w:r>
      <w:r w:rsidR="006F5186">
        <w:rPr>
          <w:rFonts w:ascii="Arial" w:hAnsi="Arial" w:cs="Arial"/>
        </w:rPr>
        <w:t>mortality is particularly high</w:t>
      </w:r>
      <w:r w:rsidR="00547264">
        <w:rPr>
          <w:rFonts w:ascii="Arial" w:hAnsi="Arial" w:cs="Arial"/>
        </w:rPr>
        <w:t xml:space="preserve"> </w:t>
      </w:r>
      <w:r w:rsidR="00BF6271">
        <w:rPr>
          <w:rFonts w:ascii="Arial" w:hAnsi="Arial" w:cs="Arial"/>
        </w:rPr>
        <w:t xml:space="preserve">or recruitment low </w:t>
      </w:r>
      <w:r w:rsidR="00343C56">
        <w:rPr>
          <w:rFonts w:ascii="Arial" w:hAnsi="Arial" w:cs="Arial"/>
        </w:rPr>
        <w:t xml:space="preserve">this can result in shifts to relatively treeless </w:t>
      </w:r>
      <w:r w:rsidR="008016AC">
        <w:rPr>
          <w:rFonts w:ascii="Arial" w:hAnsi="Arial" w:cs="Arial"/>
        </w:rPr>
        <w:t xml:space="preserve">savannah </w:t>
      </w:r>
      <w:r w:rsidR="00BF6271">
        <w:rPr>
          <w:rFonts w:ascii="Arial" w:hAnsi="Arial" w:cs="Arial"/>
        </w:rPr>
        <w:t xml:space="preserve">or grassland </w:t>
      </w:r>
      <w:r w:rsidR="00343C56">
        <w:rPr>
          <w:rFonts w:ascii="Arial" w:hAnsi="Arial" w:cs="Arial"/>
        </w:rPr>
        <w:t>states</w:t>
      </w:r>
      <w:r w:rsidR="001F0817">
        <w:rPr>
          <w:rFonts w:ascii="Arial" w:hAnsi="Arial" w:cs="Arial"/>
        </w:rPr>
        <w:t xml:space="preserve"> </w:t>
      </w:r>
      <w:r w:rsidR="001F0817">
        <w:rPr>
          <w:rFonts w:ascii="Arial" w:hAnsi="Arial" w:cs="Arial"/>
        </w:rPr>
        <w:fldChar w:fldCharType="begin" w:fldLock="1"/>
      </w:r>
      <w:r w:rsidR="001D554F">
        <w:rPr>
          <w:rFonts w:ascii="Arial" w:hAnsi="Arial" w:cs="Arial"/>
        </w:rPr>
        <w:instrText>ADDIN CSL_CITATION { "citationItems" : [ { "id" : "ITEM-1", "itemData" : { "DOI" : "10.1098/rstb.2007.0013", "ISSN" : "0962-8436", "PMID" : "18267911", "abstract" : "The only fully coupled land-atmosphere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10-20cm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of London. Series B, Biological sciences", "id" : "ITEM-1", "issue" : "1498", "issued" : { "date-parts" : [ [ "2008", "5", "27" ] ] }, "page" : "1787-94", "title" : "Fire-mediated dieback and compositional cascade in an Amazonian forest.", "type" : "article-journal", "volume" : "363" }, "uris" : [ "http://www.mendeley.com/documents/?uuid=00f67383-2dfa-4601-b21a-cf66f936b25c" ] }, { "id" : "ITEM-2", "itemData" : { "DOI" : "10.1073/pnas.1305499111", "ISSN" : "1091-6490", "PMID" : "24733937", "abstract" : "Interactions between climate and land-use change may drive widespread degradation of Amazonian forests. High-intensity fires associated with extreme weather events could accelerate this degradation by abruptly increasing tree mortality, but this process remains poorly understood. Here we present, to our knowledge, the first field-based evidence of a tipping point in Amazon forests due to altered fire regimes. Based on results of a large-scale, long-term experiment with annual and triennial burn regimes (B1yr and B3yr, respectively) in the Amazon, we found abrupt increases in fire-induced tree mortality (226 and 462%) during a severe drought event, when fuel loads and air temperatures were substantially higher and relative humidity was lower than long-term averages. This threshold mortality response had a cascading effect, causing sharp declines in canopy cover (23 and 31%) and aboveground live biomass (12 and 30%) and favoring widespread invasion by flammable grasses across the forest edge area (80 and 63%), where fires were most intense (e.g., 220 and 820 kW\u22c5m(-1)). During the droughts of 2007 and 2010, regional forest fires burned 12 and 5% of southeastern Amazon forests, respectively, compared with &lt;1% in nondrought years. These results show that a few extreme drought events, coupled with forest fragmentation and anthropogenic ignition sources, are already causing widespread fire-induced tree mortality and forest degradation across southeastern Amazon forests. Future projections of vegetation responses to climate change across drier portions of the Amazon require more than simulation of global climate forcing alone and must also include interactions of extreme weather events, fire, and land-use change.", "author" : [ { "dropping-particle" : "", "family" : "Brando", "given" : "Paulo Monteiro", "non-dropping-particle" : "", "parse-names" : false, "suffix" : "" }, { "dropping-particle" : "", "family" : "Balch", "given" : "Jennifer K", "non-dropping-particle" : "", "parse-names" : false, "suffix" : "" }, { "dropping-particle" : "", "family" : "Nepstad", "given" : "Daniel C", "non-dropping-particle" : "", "parse-names" : false, "suffix" : "" }, { "dropping-particle" : "", "family" : "Morton", "given" : "Douglas C", "non-dropping-particle" : "", "parse-names" : false, "suffix" : "" }, { "dropping-particle" : "", "family" : "Putz", "given" : "Francis E", "non-dropping-particle" : "", "parse-names" : false, "suffix" : "" }, { "dropping-particle" : "", "family" : "Coe", "given" : "Michael T", "non-dropping-particle" : "", "parse-names" : false, "suffix" : "" }, { "dropping-particle" : "", "family" : "Silv\u00e9rio", "given" : "Divino", "non-dropping-particle" : "", "parse-names" : false, "suffix" : "" }, { "dropping-particle" : "", "family" : "Macedo", "given" : "Marcia N", "non-dropping-particle" : "", "parse-names" : false, "suffix" : "" }, { "dropping-particle" : "", "family" : "Davidson", "given" : "Eric A", "non-dropping-particle" : "", "parse-names" : false, "suffix" : "" }, { "dropping-particle" : "", "family" : "N\u00f3brega", "given" : "Caroline C", "non-dropping-particle" : "", "parse-names" : false, "suffix" : "" }, { "dropping-particle" : "", "family" : "Alencar", "given" : "Ane", "non-dropping-particle" : "", "parse-names" : false, "suffix" : "" }, { "dropping-particle" : "", "family" : "Soares-Filho", "given" : "Britaldo S", "non-dropping-particle" : "", "parse-names" : false, "suffix" : "" } ], "container-title" : "Proceedings of the National Academy of Sciences of the United States of America", "id" : "ITEM-2", "issue" : "17", "issued" : { "date-parts" : [ [ "2014", "4", "29" ] ] }, "page" : "6347-52", "title" : "Abrupt increases in Amazonian tree mortality due to drought-fire interactions.", "type" : "article-journal", "volume" : "111" }, "uris" : [ "http://www.mendeley.com/documents/?uuid=640c3339-44c4-4a0f-bfa1-a91bd2c74aa8" ] } ], "mendeley" : { "formattedCitation" : "(Barlow &amp; Peres 2008; Brando &lt;i&gt;et al.&lt;/i&gt; 2014)", "plainTextFormattedCitation" : "(Barlow &amp; Peres 2008; Brando et al. 2014)", "previouslyFormattedCitation" : "(Barlow &amp; Peres 2008; Brando &lt;i&gt;et al.&lt;/i&gt; 2014)" }, "properties" : { "noteIndex" : 0 }, "schema" : "https://github.com/citation-style-language/schema/raw/master/csl-citation.json" }</w:instrText>
      </w:r>
      <w:r w:rsidR="001F0817">
        <w:rPr>
          <w:rFonts w:ascii="Arial" w:hAnsi="Arial" w:cs="Arial"/>
        </w:rPr>
        <w:fldChar w:fldCharType="separate"/>
      </w:r>
      <w:r w:rsidR="001D554F" w:rsidRPr="001D554F">
        <w:rPr>
          <w:rFonts w:ascii="Arial" w:hAnsi="Arial" w:cs="Arial"/>
          <w:noProof/>
        </w:rPr>
        <w:t xml:space="preserve">(Barlow &amp; Peres 2008; Brando </w:t>
      </w:r>
      <w:r w:rsidR="001D554F" w:rsidRPr="001D554F">
        <w:rPr>
          <w:rFonts w:ascii="Arial" w:hAnsi="Arial" w:cs="Arial"/>
          <w:i/>
          <w:noProof/>
        </w:rPr>
        <w:t>et al.</w:t>
      </w:r>
      <w:r w:rsidR="001D554F" w:rsidRPr="001D554F">
        <w:rPr>
          <w:rFonts w:ascii="Arial" w:hAnsi="Arial" w:cs="Arial"/>
          <w:noProof/>
        </w:rPr>
        <w:t xml:space="preserve"> 2014)</w:t>
      </w:r>
      <w:r w:rsidR="001F0817">
        <w:rPr>
          <w:rFonts w:ascii="Arial" w:hAnsi="Arial" w:cs="Arial"/>
        </w:rPr>
        <w:fldChar w:fldCharType="end"/>
      </w:r>
      <w:r>
        <w:rPr>
          <w:rFonts w:ascii="Arial" w:hAnsi="Arial" w:cs="Arial"/>
        </w:rPr>
        <w:t xml:space="preserve">. </w:t>
      </w:r>
      <w:r w:rsidR="00BF6271">
        <w:rPr>
          <w:rFonts w:ascii="Arial" w:hAnsi="Arial" w:cs="Arial"/>
        </w:rPr>
        <w:t xml:space="preserve">There are widespread concerns that such ‘regime shifts’ </w:t>
      </w:r>
      <w:r w:rsidR="00DC2328">
        <w:rPr>
          <w:rFonts w:ascii="Arial" w:hAnsi="Arial" w:cs="Arial"/>
        </w:rPr>
        <w:t xml:space="preserve">in forests may be more likely to occur as a result of interactions between changes in disturbances, land-use and climate </w:t>
      </w:r>
      <w:r w:rsidR="008016AC">
        <w:rPr>
          <w:rFonts w:ascii="Arial" w:hAnsi="Arial" w:cs="Arial"/>
        </w:rPr>
        <w:fldChar w:fldCharType="begin" w:fldLock="1"/>
      </w:r>
      <w:r w:rsidR="00BF6271">
        <w:rPr>
          <w:rFonts w:ascii="Arial" w:hAnsi="Arial" w:cs="Arial"/>
        </w:rPr>
        <w:instrText>ADDIN CSL_CITATION { "citationItems" : [ { "id" : "ITEM-1", "itemData" : { "DOI" : "10.1126/science.1210465", "ISSN" : "1095-9203", "PMID" : "21998389", "abstract" : "Theoretically, fire-tree cover feedbacks can maintain savanna and forest as alternative stable states. However, the global extent of fire-driven discontinuities in tree cover is unknown, especially accounting for seasonality and soils. We use tree cover, climate, fire, and soils data sets to show that tree cover is globally discontinuous. Climate influences tree cover globally but, at intermediate rainfall (1000 to 2500 millimeters) with mild seasonality (less than 7 months), tree cover is bimodal, and only fire differentiates between savanna and forest. These may be alternative states over large areas, including parts of Amazonia and the Congo. Changes in biome distributions, whether at the cost of savanna (due to fragmentation) or forest (due to climate), will be neither smooth nor easily reversible.", "author" : [ { "dropping-particle" : "", "family" : "Staver", "given" : "a Carla", "non-dropping-particle" : "", "parse-names" : false, "suffix" : "" }, { "dropping-particle" : "", "family" : "Archibald", "given" : "Sally", "non-dropping-particle" : "", "parse-names" : false, "suffix" : "" }, { "dropping-particle" : "", "family" : "Levin", "given" : "Simon a", "non-dropping-particle" : "", "parse-names" : false, "suffix" : "" } ], "container-title" : "Science (New York, N.Y.)", "id" : "ITEM-1", "issue" : "6053", "issued" : { "date-parts" : [ [ "2011", "10", "14" ] ] }, "page" : "230-2", "title" : "The global extent and determinants of savanna and forest as alternative biome states.", "type" : "article-journal", "volume" : "334" }, "uris" : [ "http://www.mendeley.com/documents/?uuid=3f34b40e-5651-40c1-8481-d74168400d14" ] }, { "id" : "ITEM-2",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"ITEM-2", "issue" : "52", "issued" : { "date-parts" : [ [ "2012", "12", "26" ] ] }, "page" : "21384-9", "title" : "Thresholds for boreal biome transitions.", "type" : "article-journal", "volume" : "109" }, "uris" : [ "http://www.mendeley.com/documents/?uuid=e8bd7493-960e-430d-9bb7-2a828d9f2b6b" ] } ], "mendeley" : { "formattedCitation" : "(Staver, Archibald &amp; Levin 2011; Scheffer &lt;i&gt;et al.&lt;/i&gt; 2012)", "plainTextFormattedCitation" : "(Staver, Archibald &amp; Levin 2011; Scheffer et al. 2012)", "previouslyFormattedCitation" : "(Staver, Archibald &amp; Levin 2011; Scheffer &lt;i&gt;et al.&lt;/i&gt; 2012)" }, "properties" : { "noteIndex" : 0 }, "schema" : "https://github.com/citation-style-language/schema/raw/master/csl-citation.json" }</w:instrText>
      </w:r>
      <w:r w:rsidR="008016AC">
        <w:rPr>
          <w:rFonts w:ascii="Arial" w:hAnsi="Arial" w:cs="Arial"/>
        </w:rPr>
        <w:fldChar w:fldCharType="separate"/>
      </w:r>
      <w:r w:rsidR="008016AC" w:rsidRPr="008016AC">
        <w:rPr>
          <w:rFonts w:ascii="Arial" w:hAnsi="Arial" w:cs="Arial"/>
          <w:noProof/>
        </w:rPr>
        <w:t xml:space="preserve">(Staver, Archibald &amp; Levin 2011; Scheffer </w:t>
      </w:r>
      <w:r w:rsidR="008016AC" w:rsidRPr="008016AC">
        <w:rPr>
          <w:rFonts w:ascii="Arial" w:hAnsi="Arial" w:cs="Arial"/>
          <w:i/>
          <w:noProof/>
        </w:rPr>
        <w:t>et al.</w:t>
      </w:r>
      <w:r w:rsidR="008016AC" w:rsidRPr="008016AC">
        <w:rPr>
          <w:rFonts w:ascii="Arial" w:hAnsi="Arial" w:cs="Arial"/>
          <w:noProof/>
        </w:rPr>
        <w:t xml:space="preserve"> 2012)</w:t>
      </w:r>
      <w:r w:rsidR="008016AC">
        <w:rPr>
          <w:rFonts w:ascii="Arial" w:hAnsi="Arial" w:cs="Arial"/>
        </w:rPr>
        <w:fldChar w:fldCharType="end"/>
      </w:r>
      <w:r w:rsidR="008016AC">
        <w:rPr>
          <w:rFonts w:ascii="Arial" w:hAnsi="Arial" w:cs="Arial"/>
        </w:rPr>
        <w:t xml:space="preserve">. </w:t>
      </w:r>
      <w:r w:rsidR="00BF6271">
        <w:rPr>
          <w:rFonts w:ascii="Arial" w:hAnsi="Arial" w:cs="Arial"/>
        </w:rPr>
        <w:t>T</w:t>
      </w:r>
      <w:r w:rsidR="008016AC">
        <w:rPr>
          <w:rFonts w:ascii="Arial" w:hAnsi="Arial" w:cs="Arial"/>
        </w:rPr>
        <w:t>hough the consequences of transitions to non-forest states are severe</w:t>
      </w:r>
      <w:r w:rsidR="006D0493">
        <w:rPr>
          <w:rFonts w:ascii="Arial" w:hAnsi="Arial" w:cs="Arial"/>
        </w:rPr>
        <w:t>,</w:t>
      </w:r>
      <w:r w:rsidR="008016AC">
        <w:rPr>
          <w:rFonts w:ascii="Arial" w:hAnsi="Arial" w:cs="Arial"/>
        </w:rPr>
        <w:t xml:space="preserve"> </w:t>
      </w:r>
      <w:r w:rsidR="006D0493">
        <w:rPr>
          <w:rFonts w:ascii="Arial" w:hAnsi="Arial" w:cs="Arial"/>
        </w:rPr>
        <w:t>relatively little is known about the mechanisms underlying such shifts</w:t>
      </w:r>
      <w:r w:rsidR="00BF6271">
        <w:rPr>
          <w:rFonts w:ascii="Arial" w:hAnsi="Arial" w:cs="Arial"/>
        </w:rPr>
        <w:t xml:space="preserve"> </w:t>
      </w:r>
      <w:r w:rsidR="00BF6271">
        <w:rPr>
          <w:rFonts w:ascii="Arial" w:hAnsi="Arial" w:cs="Arial"/>
        </w:rPr>
        <w:fldChar w:fldCharType="begin" w:fldLock="1"/>
      </w:r>
      <w:r w:rsidR="00B058F4">
        <w:rPr>
          <w:rFonts w:ascii="Arial" w:hAnsi="Arial" w:cs="Arial"/>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BF6271">
        <w:rPr>
          <w:rFonts w:ascii="Arial" w:hAnsi="Arial" w:cs="Arial"/>
        </w:rPr>
        <w:fldChar w:fldCharType="separate"/>
      </w:r>
      <w:r w:rsidR="00BF6271" w:rsidRPr="00BF6271">
        <w:rPr>
          <w:rFonts w:ascii="Arial" w:hAnsi="Arial" w:cs="Arial"/>
          <w:noProof/>
        </w:rPr>
        <w:t xml:space="preserve">(Reyer </w:t>
      </w:r>
      <w:r w:rsidR="00BF6271" w:rsidRPr="00BF6271">
        <w:rPr>
          <w:rFonts w:ascii="Arial" w:hAnsi="Arial" w:cs="Arial"/>
          <w:i/>
          <w:noProof/>
        </w:rPr>
        <w:t>et al.</w:t>
      </w:r>
      <w:r w:rsidR="00BF6271" w:rsidRPr="00BF6271">
        <w:rPr>
          <w:rFonts w:ascii="Arial" w:hAnsi="Arial" w:cs="Arial"/>
          <w:noProof/>
        </w:rPr>
        <w:t xml:space="preserve"> 2015)</w:t>
      </w:r>
      <w:r w:rsidR="00BF6271">
        <w:rPr>
          <w:rFonts w:ascii="Arial" w:hAnsi="Arial" w:cs="Arial"/>
        </w:rPr>
        <w:fldChar w:fldCharType="end"/>
      </w:r>
      <w:r w:rsidR="006D0493">
        <w:rPr>
          <w:rFonts w:ascii="Arial" w:hAnsi="Arial" w:cs="Arial"/>
        </w:rPr>
        <w:t xml:space="preserve">. Improving this understanding would aid our ability to predict when transitions may occur and how to stop </w:t>
      </w:r>
      <w:r w:rsidR="008538A9">
        <w:rPr>
          <w:rFonts w:ascii="Arial" w:hAnsi="Arial" w:cs="Arial"/>
        </w:rPr>
        <w:t>them</w:t>
      </w:r>
      <w:r w:rsidR="00A83601">
        <w:rPr>
          <w:rFonts w:ascii="Arial" w:hAnsi="Arial" w:cs="Arial"/>
        </w:rPr>
        <w:t xml:space="preserve"> before they occur.</w:t>
      </w:r>
    </w:p>
    <w:p w:rsidR="00B058F4" w:rsidRDefault="008538A9" w:rsidP="00A948B8">
      <w:pPr>
        <w:spacing w:line="360" w:lineRule="auto"/>
        <w:ind w:firstLine="720"/>
        <w:contextualSpacing/>
        <w:rPr>
          <w:rFonts w:ascii="Arial" w:hAnsi="Arial" w:cs="Arial"/>
        </w:rPr>
      </w:pPr>
      <w:r>
        <w:rPr>
          <w:rFonts w:ascii="Arial" w:hAnsi="Arial" w:cs="Arial"/>
        </w:rPr>
        <w:t>The occurrence of a</w:t>
      </w:r>
      <w:r w:rsidR="002778ED">
        <w:rPr>
          <w:rFonts w:ascii="Arial" w:hAnsi="Arial" w:cs="Arial"/>
        </w:rPr>
        <w:t xml:space="preserve"> regime shift is determined by the balance between recruitment and mortality </w:t>
      </w:r>
      <w:r>
        <w:rPr>
          <w:rFonts w:ascii="Arial" w:hAnsi="Arial" w:cs="Arial"/>
        </w:rPr>
        <w:t>for each species in a community.</w:t>
      </w:r>
      <w:r w:rsidR="002778ED">
        <w:rPr>
          <w:rFonts w:ascii="Arial" w:hAnsi="Arial" w:cs="Arial"/>
        </w:rPr>
        <w:t xml:space="preserve"> </w:t>
      </w:r>
      <w:r w:rsidR="005901C5">
        <w:rPr>
          <w:rFonts w:ascii="Arial" w:hAnsi="Arial" w:cs="Arial"/>
        </w:rPr>
        <w:t xml:space="preserve">As such, </w:t>
      </w:r>
      <w:r w:rsidR="002778ED">
        <w:rPr>
          <w:rFonts w:ascii="Arial" w:hAnsi="Arial" w:cs="Arial"/>
        </w:rPr>
        <w:t xml:space="preserve">it is important to understand what determines these vital rates. </w:t>
      </w:r>
      <w:r w:rsidR="00C11569">
        <w:rPr>
          <w:rFonts w:ascii="Arial" w:hAnsi="Arial" w:cs="Arial"/>
        </w:rPr>
        <w:t xml:space="preserve">In forests undergoing disturbance larger trees are likely to be prone to an increased probability of death </w:t>
      </w:r>
      <w:r w:rsidR="00C11569">
        <w:rPr>
          <w:rFonts w:ascii="Arial" w:hAnsi="Arial" w:cs="Arial"/>
        </w:rPr>
        <w:fldChar w:fldCharType="begin" w:fldLock="1"/>
      </w:r>
      <w:r w:rsidR="00A948B8">
        <w:rPr>
          <w:rFonts w:ascii="Arial" w:hAnsi="Arial" w:cs="Arial"/>
        </w:rPr>
        <w:instrText>ADDIN CSL_CITATION { "citationItems" : [ { "id" : "ITEM-1", "itemData" : { "DOI" : "10.1046/j.1461-0248.2003.00520.x", "ISBN" : "1461-023X", "ISSN" : "1461023X", "abstract" : "Enquist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 "author" : [ { "dropping-particle" : "", "family" : "Coomes", "given" : "David a.", "non-dropping-particle" : "", "parse-names" : false, "suffix" : "" }, { "dropping-particle" : "", "family" : "Duncan", "given" : "Richard P.", "non-dropping-particle" : "", "parse-names" : false, "suffix" : "" }, { "dropping-particle" : "", "family" : "Allen", "given" : "Robert B.", "non-dropping-particle" : "", "parse-names" : false, "suffix" : "" }, { "dropping-particle" : "", "family" : "Truscott", "given" : "James", "non-dropping-particle" : "", "parse-names" : false, "suffix" : "" } ], "container-title" : "Ecology Letters", "id" : "ITEM-1", "issued" : { "date-parts" : [ [ "2003" ] ] }, "page" : "980-989", "title" : "Disturbances prevent stem size-density distributions in natural forests from following scaling relationships", "type" : "article-journal", "volume" : "6" }, "uris" : [ "http://www.mendeley.com/documents/?uuid=7226124d-560b-4493-b6ea-6ee861fe3201" ] } ], "mendeley" : { "formattedCitation" : "(Coomes &lt;i&gt;et al.&lt;/i&gt; 2003)", "plainTextFormattedCitation" : "(Coomes et al. 2003)", "previouslyFormattedCitation" : "(Coomes &lt;i&gt;et al.&lt;/i&gt; 2003)" }, "properties" : { "noteIndex" : 0 }, "schema" : "https://github.com/citation-style-language/schema/raw/master/csl-citation.json" }</w:instrText>
      </w:r>
      <w:r w:rsidR="00C11569">
        <w:rPr>
          <w:rFonts w:ascii="Arial" w:hAnsi="Arial" w:cs="Arial"/>
        </w:rPr>
        <w:fldChar w:fldCharType="separate"/>
      </w:r>
      <w:r w:rsidR="00C11569" w:rsidRPr="00C11569">
        <w:rPr>
          <w:rFonts w:ascii="Arial" w:hAnsi="Arial" w:cs="Arial"/>
          <w:noProof/>
        </w:rPr>
        <w:t xml:space="preserve">(Coomes </w:t>
      </w:r>
      <w:r w:rsidR="00C11569" w:rsidRPr="00C11569">
        <w:rPr>
          <w:rFonts w:ascii="Arial" w:hAnsi="Arial" w:cs="Arial"/>
          <w:i/>
          <w:noProof/>
        </w:rPr>
        <w:t>et al.</w:t>
      </w:r>
      <w:r w:rsidR="00C11569" w:rsidRPr="00C11569">
        <w:rPr>
          <w:rFonts w:ascii="Arial" w:hAnsi="Arial" w:cs="Arial"/>
          <w:noProof/>
        </w:rPr>
        <w:t xml:space="preserve"> 2003)</w:t>
      </w:r>
      <w:r w:rsidR="00C11569">
        <w:rPr>
          <w:rFonts w:ascii="Arial" w:hAnsi="Arial" w:cs="Arial"/>
        </w:rPr>
        <w:fldChar w:fldCharType="end"/>
      </w:r>
      <w:r w:rsidR="00C11569">
        <w:rPr>
          <w:rFonts w:ascii="Arial" w:hAnsi="Arial" w:cs="Arial"/>
        </w:rPr>
        <w:t xml:space="preserve">. Following the mortality of large trees gaps in the canopy tend to stimulate recruitment of seedlings. However, </w:t>
      </w:r>
      <w:r w:rsidR="00A948B8">
        <w:rPr>
          <w:rFonts w:ascii="Arial" w:hAnsi="Arial" w:cs="Arial"/>
        </w:rPr>
        <w:t xml:space="preserve">in systems undergoing a transition there must be some recruitment limitation of the previously dominant species. </w:t>
      </w:r>
      <w:r w:rsidR="00EA7F18">
        <w:rPr>
          <w:rFonts w:ascii="Arial" w:hAnsi="Arial" w:cs="Arial"/>
        </w:rPr>
        <w:t>T</w:t>
      </w:r>
      <w:r w:rsidR="00A948B8">
        <w:rPr>
          <w:rFonts w:ascii="Arial" w:hAnsi="Arial" w:cs="Arial"/>
        </w:rPr>
        <w:t xml:space="preserve">his has been seen </w:t>
      </w:r>
      <w:r w:rsidR="00EA7F18">
        <w:rPr>
          <w:rFonts w:ascii="Arial" w:hAnsi="Arial" w:cs="Arial"/>
        </w:rPr>
        <w:t xml:space="preserve">in forests </w:t>
      </w:r>
      <w:r w:rsidR="00A948B8">
        <w:rPr>
          <w:rFonts w:ascii="Arial" w:hAnsi="Arial" w:cs="Arial"/>
        </w:rPr>
        <w:t xml:space="preserve">when disturbances are large, leading to </w:t>
      </w:r>
      <w:r w:rsidR="00EA7F18">
        <w:rPr>
          <w:rFonts w:ascii="Arial" w:hAnsi="Arial" w:cs="Arial"/>
        </w:rPr>
        <w:t>unfavourable</w:t>
      </w:r>
      <w:r w:rsidR="00A948B8">
        <w:rPr>
          <w:rFonts w:ascii="Arial" w:hAnsi="Arial" w:cs="Arial"/>
        </w:rPr>
        <w:t xml:space="preserve"> microclimatic conditions </w:t>
      </w:r>
      <w:r w:rsidR="00EA7F18">
        <w:rPr>
          <w:rFonts w:ascii="Arial" w:hAnsi="Arial" w:cs="Arial"/>
        </w:rPr>
        <w:t xml:space="preserve">for seedling growth </w:t>
      </w:r>
      <w:r w:rsidR="00A948B8">
        <w:rPr>
          <w:rFonts w:ascii="Arial" w:hAnsi="Arial" w:cs="Arial"/>
        </w:rPr>
        <w:t xml:space="preserve">and </w:t>
      </w:r>
      <w:r w:rsidR="00EA7F18">
        <w:rPr>
          <w:rFonts w:ascii="Arial" w:hAnsi="Arial" w:cs="Arial"/>
        </w:rPr>
        <w:t xml:space="preserve">in some cases a </w:t>
      </w:r>
      <w:r w:rsidR="00A948B8">
        <w:rPr>
          <w:rFonts w:ascii="Arial" w:hAnsi="Arial" w:cs="Arial"/>
        </w:rPr>
        <w:t xml:space="preserve">lack of </w:t>
      </w:r>
      <w:proofErr w:type="spellStart"/>
      <w:r w:rsidR="00A948B8">
        <w:rPr>
          <w:rFonts w:ascii="Arial" w:hAnsi="Arial" w:cs="Arial"/>
        </w:rPr>
        <w:t>propagules</w:t>
      </w:r>
      <w:proofErr w:type="spellEnd"/>
      <w:r w:rsidR="00A948B8">
        <w:rPr>
          <w:rFonts w:ascii="Arial" w:hAnsi="Arial" w:cs="Arial"/>
        </w:rPr>
        <w:t xml:space="preserve"> </w:t>
      </w:r>
      <w:r w:rsidR="00EA7F18">
        <w:rPr>
          <w:rFonts w:ascii="Arial" w:hAnsi="Arial" w:cs="Arial"/>
        </w:rPr>
        <w:t xml:space="preserve">for dispersal limited species </w:t>
      </w:r>
      <w:r w:rsidR="00A948B8">
        <w:rPr>
          <w:rFonts w:ascii="Arial" w:hAnsi="Arial" w:cs="Arial"/>
        </w:rPr>
        <w:fldChar w:fldCharType="begin" w:fldLock="1"/>
      </w:r>
      <w:r w:rsidR="00A948B8">
        <w:rPr>
          <w:rFonts w:ascii="Arial" w:hAnsi="Arial" w:cs="Arial"/>
        </w:rPr>
        <w:instrText>ADDIN CSL_CITATION { "citationItems" : [ { "id" : "ITEM-1", "itemData" : { "DOI" : "10.1016/S0378-1127(01)00574-6", "ISBN" : "0378-1127", "ISSN" : "03781127", "PMID" : "1412", "abstract" : "Tree seedling recruitment was monitored after various types of logging in mixed conifer and deciduous forests of northern British Columbia, Canada. Predicting tree seedling recruitment after disturbance is fundamental to understanding forest dynamics and succession and is vital for forest management purposes. Seedling recruitment success in multi-species northern latitude forests varied as a function of mature tree canopy cover, gap size and position in a gap. Recruitment was abundant within canopy gaps across a wide range of gap sizes (20-5000 m2), but recruit numbers dropped off rapidly under the closed forest canopy and in the open conditions of clearcuts. Inside canopy gaps, recruitment was similar by gap position in small gaps (&lt;300 m2) but, in these northern latitude forests, exhibited a trend of increasing density from the sunny north to shady south end of larger gaps. This was true for all tree species regardless of their shade tolerance ranking. There was no evidence of gap partitioning by any of the tree species during the regeneration phase suggesting that adaptation to the subtleties of gap size during early recruitment are not well developed in these tree species. Favorable locations for emergence and early establishment of germinants were less favorable for growth and survival of established seedlings, i.e. the regeneration niches in these forests were discordant. Tree abundance and species diversity appears to be controlled more by differentiation among growth and survival niches than by the regeneration niches. From the perspective of forest management, abundant natural regeneration of all the dominant tree species of these mixed-species forests can be obtained after partial cutting. ?? 2002 Elsevier Science B.V. All rights reserved.", "author" : [ { "dropping-particle" : "", "family" : "Coates", "given" : "K. Dave", "non-dropping-particle" : "", "parse-names" : false, "suffix" : "" } ], "container-title" : "Forest Ecology and Management", "id" : "ITEM-1", "issue" : "1-3", "issued" : { "date-parts" : [ [ "2002" ] ] }, "page" : "387-398", "title" : "Tree recruitment in gaps of various size, clearcuts and undisturbed mixed forest of interior British Columbia, Canada", "type" : "article-journal", "volume" : "155" }, "uris" : [ "http://www.mendeley.com/documents/?uuid=329df967-e86f-4250-996f-aaa118e15f92" ] }, { "id" : "ITEM-2",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"ITEM-2",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"(Coates 2002; Ac\u00e1cio &lt;i&gt;et al.&lt;/i&gt; 2007)", "plainTextFormattedCitation" : "(Coates 2002; Ac\u00e1cio et al. 2007)", "previouslyFormattedCitation" : "(Coates 2002; Ac\u00e1cio &lt;i&gt;et al.&lt;/i&gt; 2007)" }, "properties" : { "noteIndex" : 0 }, "schema" : "https://github.com/citation-style-language/schema/raw/master/csl-citation.json" }</w:instrText>
      </w:r>
      <w:r w:rsidR="00A948B8">
        <w:rPr>
          <w:rFonts w:ascii="Arial" w:hAnsi="Arial" w:cs="Arial"/>
        </w:rPr>
        <w:fldChar w:fldCharType="separate"/>
      </w:r>
      <w:r w:rsidR="00A948B8" w:rsidRPr="00A948B8">
        <w:rPr>
          <w:rFonts w:ascii="Arial" w:hAnsi="Arial" w:cs="Arial"/>
          <w:noProof/>
        </w:rPr>
        <w:t xml:space="preserve">(Coates 2002; Acácio </w:t>
      </w:r>
      <w:r w:rsidR="00A948B8" w:rsidRPr="00A948B8">
        <w:rPr>
          <w:rFonts w:ascii="Arial" w:hAnsi="Arial" w:cs="Arial"/>
          <w:i/>
          <w:noProof/>
        </w:rPr>
        <w:t>et al.</w:t>
      </w:r>
      <w:r w:rsidR="00A948B8" w:rsidRPr="00A948B8">
        <w:rPr>
          <w:rFonts w:ascii="Arial" w:hAnsi="Arial" w:cs="Arial"/>
          <w:noProof/>
        </w:rPr>
        <w:t xml:space="preserve"> 2007)</w:t>
      </w:r>
      <w:r w:rsidR="00A948B8">
        <w:rPr>
          <w:rFonts w:ascii="Arial" w:hAnsi="Arial" w:cs="Arial"/>
        </w:rPr>
        <w:fldChar w:fldCharType="end"/>
      </w:r>
      <w:r w:rsidR="00A948B8">
        <w:rPr>
          <w:rFonts w:ascii="Arial" w:hAnsi="Arial" w:cs="Arial"/>
        </w:rPr>
        <w:t xml:space="preserve">. </w:t>
      </w:r>
      <w:r w:rsidR="00BF6823">
        <w:rPr>
          <w:rFonts w:ascii="Arial" w:hAnsi="Arial" w:cs="Arial"/>
        </w:rPr>
        <w:t>Seedling r</w:t>
      </w:r>
      <w:r w:rsidR="00FB42E3">
        <w:rPr>
          <w:rFonts w:ascii="Arial" w:hAnsi="Arial" w:cs="Arial"/>
        </w:rPr>
        <w:t xml:space="preserve">ecruitment </w:t>
      </w:r>
      <w:r w:rsidR="00EA7F18">
        <w:rPr>
          <w:rFonts w:ascii="Arial" w:hAnsi="Arial" w:cs="Arial"/>
        </w:rPr>
        <w:t>may</w:t>
      </w:r>
      <w:r w:rsidR="00FB42E3">
        <w:rPr>
          <w:rFonts w:ascii="Arial" w:hAnsi="Arial" w:cs="Arial"/>
        </w:rPr>
        <w:t xml:space="preserve"> </w:t>
      </w:r>
      <w:r w:rsidR="00BF6823">
        <w:rPr>
          <w:rFonts w:ascii="Arial" w:hAnsi="Arial" w:cs="Arial"/>
        </w:rPr>
        <w:t xml:space="preserve">also </w:t>
      </w:r>
      <w:r w:rsidR="00FB42E3">
        <w:rPr>
          <w:rFonts w:ascii="Arial" w:hAnsi="Arial" w:cs="Arial"/>
        </w:rPr>
        <w:t xml:space="preserve">be limited </w:t>
      </w:r>
      <w:r w:rsidR="00BF6823">
        <w:rPr>
          <w:rFonts w:ascii="Arial" w:hAnsi="Arial" w:cs="Arial"/>
        </w:rPr>
        <w:t xml:space="preserve">by grazing of domesticated </w:t>
      </w:r>
      <w:r w:rsidR="00A948B8">
        <w:rPr>
          <w:rFonts w:ascii="Arial" w:hAnsi="Arial" w:cs="Arial"/>
        </w:rPr>
        <w:t>animals</w:t>
      </w:r>
      <w:r w:rsidR="0045030F">
        <w:rPr>
          <w:rFonts w:ascii="Arial" w:hAnsi="Arial" w:cs="Arial"/>
        </w:rPr>
        <w:t>, which in some cases can be so severe that it leads to a transition from woodland to grassland</w:t>
      </w:r>
      <w:r w:rsidR="002710E3">
        <w:rPr>
          <w:rFonts w:ascii="Arial" w:hAnsi="Arial" w:cs="Arial"/>
        </w:rPr>
        <w:t xml:space="preserve"> that resemble</w:t>
      </w:r>
      <w:r w:rsidR="00A948B8">
        <w:rPr>
          <w:rFonts w:ascii="Arial" w:hAnsi="Arial" w:cs="Arial"/>
        </w:rPr>
        <w:t>s</w:t>
      </w:r>
      <w:r w:rsidR="002710E3">
        <w:rPr>
          <w:rFonts w:ascii="Arial" w:hAnsi="Arial" w:cs="Arial"/>
        </w:rPr>
        <w:t xml:space="preserve"> a regime shift</w:t>
      </w:r>
      <w:r w:rsidR="0045030F">
        <w:rPr>
          <w:rFonts w:ascii="Arial" w:hAnsi="Arial" w:cs="Arial"/>
        </w:rPr>
        <w:t xml:space="preserve"> </w:t>
      </w:r>
      <w:r w:rsidR="0045030F">
        <w:rPr>
          <w:rFonts w:ascii="Arial" w:hAnsi="Arial" w:cs="Arial"/>
        </w:rPr>
        <w:fldChar w:fldCharType="begin" w:fldLock="1"/>
      </w:r>
      <w:r w:rsidR="00E00C5D">
        <w:rPr>
          <w:rFonts w:ascii="Arial" w:hAnsi="Arial" w:cs="Arial"/>
        </w:rPr>
        <w:instrText>ADDIN CSL_CITATION { "citationItems" : [ { "id" : "ITEM-1", "itemData" : { "DOI" : "10.1073/pnas.0900110106", "ISSN" : "1091-6490", "PMID" : "19497886", "abstract" : "Global food demand is growing rapidly. Livestock grazing can provide a valuable source of protein, but conventional grazing is often unsustainable. We studied an 800,000-ha section of a threatened ecoregion in southeastern Australia. Conventional management in the region involves continuous livestock grazing with few rest periods and regular fertilizer application. By using remotely sensed data on tree cover and extensive field data on livestock grazing regimes, soil chemistry, tree diameters, and tree regeneration, we show that the region is facing a tree regeneration crisis. Under conventional management, across the region, millions of hectares of land currently supporting tens of millions of trees will be treeless within decades from now. This would have severe negative ramifications for biodiversity and key ecosystem services, including water infiltration and shade provision for livestock. However, we identified an unexpected win-win solution for tree regeneration and commercial grazing. A relatively new practice in the region is fast-rotational grazing, characterized by prolonged rest periods in between short, intensive grazing events. The probability of regeneration under fast-rotational grazing was up to 4-fold higher than under conventional grazing, and it did not differ significantly from the probability of regeneration in ungrazed areas. In addition, trees were more likely to regenerate where soil nutrient levels were low. These findings suggest that the tree regeneration crisis can be reversed by applying low-input, fast-rotational grazing. New policy settings supporting these practices could signal a turning point for the region, from ecological decline to ecological recovery.", "author" : [ { "dropping-particle" : "", "family" : "Fischer", "given" : "Joern", "non-dropping-particle" : "", "parse-names" : false, "suffix" : "" }, { "dropping-particle" : "", "family" : "Stott", "given" : "Jenny", "non-dropping-particle" : "", "parse-names" : false, "suffix" : "" }, { "dropping-particle" : "", "family" : "Zerger", "given" : "Andre", "non-dropping-particle" : "", "parse-names" : false, "suffix" : "" }, { "dropping-particle" : "", "family" : "Warren", "given" : "Garth", "non-dropping-particle" : "", "parse-names" : false, "suffix" : "" }, { "dropping-particle" : "", "family" : "Sherren", "given" : "Kate", "non-dropping-particle" : "", "parse-names" : false, "suffix" : "" }, { "dropping-particle" : "", "family" : "Forrester", "given" : "Robert I", "non-dropping-particle" : "", "parse-names" : false, "suffix" : "" } ], "container-title" : "Proceedings of the National Academy of Sciences of the United States of America", "id" : "ITEM-1", "issue" : "25", "issued" : { "date-parts" : [ [ "2009", "6", "23" ] ] }, "page" : "10386-91", "title" : "Reversing a tree regeneration crisis in an endangered ecoregion.", "type" : "article-journal", "volume" : "106" }, "uris" : [ "http://www.mendeley.com/documents/?uuid=65c2a4df-e97b-44cf-8aaa-fcb291b440d5" ] } ], "mendeley" : { "formattedCitation" : "(Fischer &lt;i&gt;et al.&lt;/i&gt; 2009)", "plainTextFormattedCitation" : "(Fischer et al. 2009)", "previouslyFormattedCitation" : "(Fischer &lt;i&gt;et al.&lt;/i&gt; 2009)" }, "properties" : { "noteIndex" : 0 }, "schema" : "https://github.com/citation-style-language/schema/raw/master/csl-citation.json" }</w:instrText>
      </w:r>
      <w:r w:rsidR="0045030F">
        <w:rPr>
          <w:rFonts w:ascii="Arial" w:hAnsi="Arial" w:cs="Arial"/>
        </w:rPr>
        <w:fldChar w:fldCharType="separate"/>
      </w:r>
      <w:r w:rsidR="0045030F" w:rsidRPr="0045030F">
        <w:rPr>
          <w:rFonts w:ascii="Arial" w:hAnsi="Arial" w:cs="Arial"/>
          <w:noProof/>
        </w:rPr>
        <w:t xml:space="preserve">(Fischer </w:t>
      </w:r>
      <w:r w:rsidR="0045030F" w:rsidRPr="0045030F">
        <w:rPr>
          <w:rFonts w:ascii="Arial" w:hAnsi="Arial" w:cs="Arial"/>
          <w:i/>
          <w:noProof/>
        </w:rPr>
        <w:t>et al.</w:t>
      </w:r>
      <w:r w:rsidR="0045030F" w:rsidRPr="0045030F">
        <w:rPr>
          <w:rFonts w:ascii="Arial" w:hAnsi="Arial" w:cs="Arial"/>
          <w:noProof/>
        </w:rPr>
        <w:t xml:space="preserve"> 2009)</w:t>
      </w:r>
      <w:r w:rsidR="0045030F">
        <w:rPr>
          <w:rFonts w:ascii="Arial" w:hAnsi="Arial" w:cs="Arial"/>
        </w:rPr>
        <w:fldChar w:fldCharType="end"/>
      </w:r>
      <w:r w:rsidR="00C11569">
        <w:rPr>
          <w:rFonts w:ascii="Arial" w:hAnsi="Arial" w:cs="Arial"/>
        </w:rPr>
        <w:t>.</w:t>
      </w:r>
    </w:p>
    <w:p w:rsidR="00EA7F18" w:rsidRDefault="00EA7F18" w:rsidP="00EA7F18">
      <w:pPr>
        <w:pStyle w:val="ListParagraph"/>
        <w:numPr>
          <w:ilvl w:val="0"/>
          <w:numId w:val="14"/>
        </w:numPr>
        <w:spacing w:line="360" w:lineRule="auto"/>
        <w:rPr>
          <w:rFonts w:ascii="Arial" w:hAnsi="Arial" w:cs="Arial"/>
        </w:rPr>
      </w:pPr>
      <w:r>
        <w:rPr>
          <w:rFonts w:ascii="Arial" w:hAnsi="Arial" w:cs="Arial"/>
        </w:rPr>
        <w:lastRenderedPageBreak/>
        <w:t>The impact of climate on tree mortality and recruitment</w:t>
      </w:r>
    </w:p>
    <w:p w:rsidR="00EA7F18" w:rsidRPr="00EA7F18" w:rsidRDefault="00EA7F18" w:rsidP="00EA7F18">
      <w:pPr>
        <w:spacing w:line="360" w:lineRule="auto"/>
        <w:rPr>
          <w:rFonts w:ascii="Arial" w:hAnsi="Arial" w:cs="Arial"/>
        </w:rPr>
      </w:pPr>
      <w:r w:rsidRPr="00EA7F18">
        <w:rPr>
          <w:rFonts w:ascii="Arial" w:hAnsi="Arial" w:cs="Arial"/>
        </w:rPr>
        <w:t xml:space="preserve">Changes in temperature and water supply can alter the growth of trees. Slow growing trees tend to have increased risk of mortality, since this measure provides a proxy of tree vigour. Previous studies have suggested that widespread slow growth of trees may be an early-warning signal of tipping points in response to climatic change </w:t>
      </w:r>
      <w:r w:rsidRPr="00EA7F18">
        <w:rPr>
          <w:rFonts w:ascii="Arial" w:hAnsi="Arial" w:cs="Arial"/>
        </w:rPr>
        <w:fldChar w:fldCharType="begin" w:fldLock="1"/>
      </w:r>
      <w:r w:rsidRPr="00EA7F18">
        <w:rPr>
          <w:rFonts w:ascii="Arial" w:hAnsi="Arial" w:cs="Arial"/>
        </w:rPr>
        <w:instrText>ADDIN CSL_CITATION { "citationItems" : [ { "id" : "ITEM-1", "itemData" : { "DOI" : "10.1111/1365-2745.12295", "ISSN" : "00220477", "author" : [ { "dropping-particle" : "", "family" : "Camarero", "given" : "J. Julio", "non-dropping-particle" : "", "parse-names" : false, "suffix" : "" }, { "dropping-particle" : "", "family" : "Gazol", "given" : "Antonio", "non-dropping-particle" : "", "parse-names" : false, "suffix" : "" }, { "dropping-particle" : "", "family" : "Sang\u00fcesa-Barreda", "given" : "Gabriel", "non-dropping-particle" : "", "parse-names" : false, "suffix" : "" }, { "dropping-particle" : "", "family" : "Oliva", "given" : "Jon\u00e0s", "non-dropping-particle" : "", "parse-names" : false, "suffix" : "" }, { "dropping-particle" : "", "family" : "Vicente-Serrano", "given" : "Sergio M.", "non-dropping-particle" : "", "parse-names" : false, "suffix" : "" } ], "container-title" : "Journal of Ecology", "editor" : [ { "dropping-particle" : "", "family" : "Gibson", "given" : "David", "non-dropping-particle" : "", "parse-names" : false, "suffix" : "" } ], "id" : "ITEM-1", "issue" : "1", "issued" : { "date-parts" : [ [ "2015", "1", "7" ] ] }, "page" : "44-57", "title" : "To die or not to die: early warnings of tree dieback in response to a severe drought", "type" : "article-journal", "volume" : "103" }, "uris" : [ "http://www.mendeley.com/documents/?uuid=b9630280-c1b7-4b33-9d7d-e83ca6e8a05b" ] } ], "mendeley" : { "formattedCitation" : "(Camarero &lt;i&gt;et al.&lt;/i&gt; 2015)", "plainTextFormattedCitation" : "(Camarero et al. 2015)", "previouslyFormattedCitation" : "(Camarero &lt;i&gt;et al.&lt;/i&gt; 2015)" }, "properties" : { "noteIndex" : 0 }, "schema" : "https://github.com/citation-style-language/schema/raw/master/csl-citation.json" }</w:instrText>
      </w:r>
      <w:r w:rsidRPr="00EA7F18">
        <w:rPr>
          <w:rFonts w:ascii="Arial" w:hAnsi="Arial" w:cs="Arial"/>
        </w:rPr>
        <w:fldChar w:fldCharType="separate"/>
      </w:r>
      <w:r w:rsidRPr="00EA7F18">
        <w:rPr>
          <w:rFonts w:ascii="Arial" w:hAnsi="Arial" w:cs="Arial"/>
          <w:noProof/>
        </w:rPr>
        <w:t xml:space="preserve">(Camarero </w:t>
      </w:r>
      <w:r w:rsidRPr="00EA7F18">
        <w:rPr>
          <w:rFonts w:ascii="Arial" w:hAnsi="Arial" w:cs="Arial"/>
          <w:i/>
          <w:noProof/>
        </w:rPr>
        <w:t>et al.</w:t>
      </w:r>
      <w:r w:rsidRPr="00EA7F18">
        <w:rPr>
          <w:rFonts w:ascii="Arial" w:hAnsi="Arial" w:cs="Arial"/>
          <w:noProof/>
        </w:rPr>
        <w:t xml:space="preserve"> 2015)</w:t>
      </w:r>
      <w:r w:rsidRPr="00EA7F18">
        <w:rPr>
          <w:rFonts w:ascii="Arial" w:hAnsi="Arial" w:cs="Arial"/>
        </w:rPr>
        <w:fldChar w:fldCharType="end"/>
      </w:r>
      <w:r w:rsidRPr="00EA7F18">
        <w:rPr>
          <w:rFonts w:ascii="Arial" w:hAnsi="Arial" w:cs="Arial"/>
        </w:rPr>
        <w:t>.</w:t>
      </w:r>
    </w:p>
    <w:p w:rsidR="00EA7F18" w:rsidRDefault="00EA7F18" w:rsidP="00EA7F18">
      <w:pPr>
        <w:pStyle w:val="ListParagraph"/>
        <w:numPr>
          <w:ilvl w:val="0"/>
          <w:numId w:val="14"/>
        </w:numPr>
        <w:spacing w:line="360" w:lineRule="auto"/>
        <w:rPr>
          <w:rFonts w:ascii="Arial" w:hAnsi="Arial" w:cs="Arial"/>
        </w:rPr>
      </w:pPr>
      <w:r>
        <w:rPr>
          <w:rFonts w:ascii="Arial" w:hAnsi="Arial" w:cs="Arial"/>
        </w:rPr>
        <w:t>Potential for feedback between disturbances and climate</w:t>
      </w:r>
    </w:p>
    <w:p w:rsidR="00EA7F18" w:rsidRPr="00EA7F18" w:rsidRDefault="00EA7F18" w:rsidP="00EA7F18">
      <w:pPr>
        <w:spacing w:line="360" w:lineRule="auto"/>
        <w:ind w:firstLine="360"/>
        <w:rPr>
          <w:rFonts w:ascii="Arial" w:hAnsi="Arial" w:cs="Arial"/>
        </w:rPr>
      </w:pPr>
      <w:r w:rsidRPr="00EA7F18">
        <w:rPr>
          <w:rFonts w:ascii="Arial" w:hAnsi="Arial" w:cs="Arial"/>
        </w:rPr>
        <w:t xml:space="preserve">When regime shifts occur there is evidence that that mortality and recruitment are governed in part by feedback loops. For example, in forests the presence of a canopy maintains relatively moist, dark conditions on the forest floor which results in relatively low ground flora biomass. However, some positive feedbacks can cause transition from one ecosystem state to another such as when forest canopies are subject to large disturbances leading to reduced seedling recruitment and invasion by grasses and shrubs in Mediterranean climates </w:t>
      </w:r>
      <w:r w:rsidRPr="00EA7F18">
        <w:rPr>
          <w:rFonts w:ascii="Arial" w:hAnsi="Arial" w:cs="Arial"/>
        </w:rPr>
        <w:fldChar w:fldCharType="begin" w:fldLock="1"/>
      </w:r>
      <w:r w:rsidRPr="00EA7F18">
        <w:rPr>
          <w:rFonts w:ascii="Arial" w:hAnsi="Arial" w:cs="Arial"/>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Pr="00EA7F18">
        <w:rPr>
          <w:rFonts w:ascii="Arial" w:hAnsi="Arial" w:cs="Arial"/>
        </w:rPr>
        <w:fldChar w:fldCharType="separate"/>
      </w:r>
      <w:r w:rsidRPr="00EA7F18">
        <w:rPr>
          <w:rFonts w:ascii="Arial" w:hAnsi="Arial" w:cs="Arial"/>
          <w:noProof/>
        </w:rPr>
        <w:t xml:space="preserve">(Acácio </w:t>
      </w:r>
      <w:r w:rsidRPr="00EA7F18">
        <w:rPr>
          <w:rFonts w:ascii="Arial" w:hAnsi="Arial" w:cs="Arial"/>
          <w:i/>
          <w:noProof/>
        </w:rPr>
        <w:t>et al.</w:t>
      </w:r>
      <w:r w:rsidRPr="00EA7F18">
        <w:rPr>
          <w:rFonts w:ascii="Arial" w:hAnsi="Arial" w:cs="Arial"/>
          <w:noProof/>
        </w:rPr>
        <w:t xml:space="preserve"> 2007)</w:t>
      </w:r>
      <w:r w:rsidRPr="00EA7F18">
        <w:rPr>
          <w:rFonts w:ascii="Arial" w:hAnsi="Arial" w:cs="Arial"/>
        </w:rPr>
        <w:fldChar w:fldCharType="end"/>
      </w:r>
      <w:r w:rsidRPr="00EA7F18">
        <w:rPr>
          <w:rFonts w:ascii="Arial" w:hAnsi="Arial" w:cs="Arial"/>
        </w:rPr>
        <w:t xml:space="preserve">. Positive feedbacks can also occur between different drivers such as when degradation and fragmentation increase fire risk in forests </w:t>
      </w:r>
      <w:r w:rsidRPr="00EA7F18">
        <w:rPr>
          <w:rFonts w:ascii="Arial" w:hAnsi="Arial" w:cs="Arial"/>
        </w:rPr>
        <w:fldChar w:fldCharType="begin" w:fldLock="1"/>
      </w:r>
      <w:r w:rsidRPr="00EA7F18">
        <w:rPr>
          <w:rFonts w:ascii="Arial" w:hAnsi="Arial" w:cs="Arial"/>
        </w:rPr>
        <w:instrText>ADDIN CSL_CITATION { "citationItems" : [ { "id" : "ITEM-1", "itemData" : { "DOI" : "10.1111/1365-2745.12371", "author" : [ { "dropping-particle" : "", "family" : "Benchimol", "given" : "Ma\u00edra", "non-dropping-particle" : "", "parse-names" : false, "suffix" : "" }, { "dropping-particle" : "", "family" : "Peres", "given" : "Carlos A", "non-dropping-particle" : "", "parse-names" : false, "suffix" : "" } ], "id" : "ITEM-1", "issued" : { "date-parts" : [ [ "2015" ] ] }, "title" : "Edge-mediated compositional and functional decay of tree assemblages in Amazonian forest islands after 26 years of isolation", "type" : "article-journal" }, "uris" : [ "http://www.mendeley.com/documents/?uuid=f3b13799-dcf6-47d6-b3d0-a6eb9bc16e7d" ] } ], "mendeley" : { "formattedCitation" : "(Benchimol &amp; Peres 2015)", "plainTextFormattedCitation" : "(Benchimol &amp; Peres 2015)", "previouslyFormattedCitation" : "(Benchimol &amp; Peres 2015)" }, "properties" : { "noteIndex" : 0 }, "schema" : "https://github.com/citation-style-language/schema/raw/master/csl-citation.json" }</w:instrText>
      </w:r>
      <w:r w:rsidRPr="00EA7F18">
        <w:rPr>
          <w:rFonts w:ascii="Arial" w:hAnsi="Arial" w:cs="Arial"/>
        </w:rPr>
        <w:fldChar w:fldCharType="separate"/>
      </w:r>
      <w:r w:rsidRPr="00EA7F18">
        <w:rPr>
          <w:rFonts w:ascii="Arial" w:hAnsi="Arial" w:cs="Arial"/>
          <w:noProof/>
        </w:rPr>
        <w:t>(Benchimol &amp; Peres 2015)</w:t>
      </w:r>
      <w:r w:rsidRPr="00EA7F18">
        <w:rPr>
          <w:rFonts w:ascii="Arial" w:hAnsi="Arial" w:cs="Arial"/>
        </w:rPr>
        <w:fldChar w:fldCharType="end"/>
      </w:r>
      <w:r w:rsidRPr="00EA7F18">
        <w:rPr>
          <w:rFonts w:ascii="Arial" w:hAnsi="Arial" w:cs="Arial"/>
        </w:rPr>
        <w:t xml:space="preserve">. However, feedbacks such as these can occur at multiple different scales and thus are difficult to identify </w:t>
      </w:r>
      <w:r w:rsidRPr="00EA7F18">
        <w:rPr>
          <w:rFonts w:ascii="Arial" w:hAnsi="Arial" w:cs="Arial"/>
        </w:rPr>
        <w:fldChar w:fldCharType="begin" w:fldLock="1"/>
      </w:r>
      <w:r w:rsidRPr="00EA7F18">
        <w:rPr>
          <w:rFonts w:ascii="Arial" w:hAnsi="Arial" w:cs="Arial"/>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EA7F18">
        <w:rPr>
          <w:rFonts w:ascii="Arial" w:hAnsi="Arial" w:cs="Arial"/>
        </w:rPr>
        <w:fldChar w:fldCharType="separate"/>
      </w:r>
      <w:r w:rsidRPr="00EA7F18">
        <w:rPr>
          <w:rFonts w:ascii="Arial" w:hAnsi="Arial" w:cs="Arial"/>
          <w:noProof/>
        </w:rPr>
        <w:t xml:space="preserve">(Reyer </w:t>
      </w:r>
      <w:r w:rsidRPr="00EA7F18">
        <w:rPr>
          <w:rFonts w:ascii="Arial" w:hAnsi="Arial" w:cs="Arial"/>
          <w:i/>
          <w:noProof/>
        </w:rPr>
        <w:t>et al.</w:t>
      </w:r>
      <w:r w:rsidRPr="00EA7F18">
        <w:rPr>
          <w:rFonts w:ascii="Arial" w:hAnsi="Arial" w:cs="Arial"/>
          <w:noProof/>
        </w:rPr>
        <w:t xml:space="preserve"> 2015)</w:t>
      </w:r>
      <w:r w:rsidRPr="00EA7F18">
        <w:rPr>
          <w:rFonts w:ascii="Arial" w:hAnsi="Arial" w:cs="Arial"/>
        </w:rPr>
        <w:fldChar w:fldCharType="end"/>
      </w:r>
      <w:r w:rsidRPr="00EA7F18">
        <w:rPr>
          <w:rFonts w:ascii="Arial" w:hAnsi="Arial" w:cs="Arial"/>
        </w:rPr>
        <w:t>.</w:t>
      </w:r>
    </w:p>
    <w:p w:rsidR="00EA7F18" w:rsidRPr="00EA7F18" w:rsidRDefault="00EA7F18" w:rsidP="00EA7F18">
      <w:pPr>
        <w:pStyle w:val="ListParagraph"/>
        <w:numPr>
          <w:ilvl w:val="0"/>
          <w:numId w:val="14"/>
        </w:numPr>
        <w:spacing w:line="360" w:lineRule="auto"/>
        <w:rPr>
          <w:rFonts w:ascii="Arial" w:hAnsi="Arial" w:cs="Arial"/>
        </w:rPr>
      </w:pPr>
      <w:r>
        <w:rPr>
          <w:rFonts w:ascii="Arial" w:hAnsi="Arial" w:cs="Arial"/>
        </w:rPr>
        <w:t>Brief description of study site</w:t>
      </w:r>
    </w:p>
    <w:p w:rsidR="005C3479" w:rsidRDefault="005C3479" w:rsidP="00DE059E">
      <w:pPr>
        <w:spacing w:line="360" w:lineRule="auto"/>
        <w:contextualSpacing/>
        <w:rPr>
          <w:rFonts w:ascii="Arial" w:hAnsi="Arial" w:cs="Arial"/>
          <w:b/>
        </w:rPr>
      </w:pPr>
    </w:p>
    <w:p w:rsidR="00E94C26" w:rsidRPr="00E94C26" w:rsidRDefault="002E1A3D" w:rsidP="00DE059E">
      <w:pPr>
        <w:spacing w:line="360" w:lineRule="auto"/>
        <w:contextualSpacing/>
        <w:rPr>
          <w:rFonts w:ascii="Arial" w:hAnsi="Arial" w:cs="Arial"/>
          <w:b/>
        </w:rPr>
      </w:pPr>
      <w:r>
        <w:rPr>
          <w:rFonts w:ascii="Arial" w:hAnsi="Arial" w:cs="Arial"/>
          <w:b/>
        </w:rPr>
        <w:t>Statement of aims</w:t>
      </w:r>
    </w:p>
    <w:p w:rsidR="002E1A3D" w:rsidRDefault="002E1A3D" w:rsidP="00DE059E">
      <w:pPr>
        <w:pStyle w:val="ListParagraph"/>
        <w:numPr>
          <w:ilvl w:val="0"/>
          <w:numId w:val="7"/>
        </w:numPr>
        <w:spacing w:line="360" w:lineRule="auto"/>
        <w:rPr>
          <w:rFonts w:ascii="Arial" w:hAnsi="Arial" w:cs="Arial"/>
        </w:rPr>
      </w:pPr>
      <w:r>
        <w:rPr>
          <w:rFonts w:ascii="Arial" w:hAnsi="Arial" w:cs="Arial"/>
        </w:rPr>
        <w:t>To test the influence of tree size, growth rate, competition and proximity to dead trees on determining tree mortality.</w:t>
      </w:r>
    </w:p>
    <w:p w:rsidR="002E1A3D" w:rsidRDefault="00C46459" w:rsidP="00DE059E">
      <w:pPr>
        <w:pStyle w:val="ListParagraph"/>
        <w:numPr>
          <w:ilvl w:val="0"/>
          <w:numId w:val="7"/>
        </w:numPr>
        <w:spacing w:line="360" w:lineRule="auto"/>
        <w:rPr>
          <w:rFonts w:ascii="Arial" w:hAnsi="Arial" w:cs="Arial"/>
        </w:rPr>
      </w:pPr>
      <w:r>
        <w:rPr>
          <w:rFonts w:ascii="Arial" w:hAnsi="Arial" w:cs="Arial"/>
        </w:rPr>
        <w:t>To test the factors t</w:t>
      </w:r>
      <w:r w:rsidR="002E1A3D">
        <w:rPr>
          <w:rFonts w:ascii="Arial" w:hAnsi="Arial" w:cs="Arial"/>
        </w:rPr>
        <w:t>hat influenced seedling and sapling density to enable an understanding of recruitment</w:t>
      </w:r>
    </w:p>
    <w:p w:rsidR="00654F32" w:rsidRDefault="00654F32" w:rsidP="00DE059E">
      <w:pPr>
        <w:pStyle w:val="ListParagraph"/>
        <w:numPr>
          <w:ilvl w:val="0"/>
          <w:numId w:val="7"/>
        </w:numPr>
        <w:spacing w:line="360" w:lineRule="auto"/>
        <w:rPr>
          <w:rFonts w:ascii="Arial" w:hAnsi="Arial" w:cs="Arial"/>
        </w:rPr>
      </w:pPr>
      <w:r>
        <w:rPr>
          <w:rFonts w:ascii="Arial" w:hAnsi="Arial" w:cs="Arial"/>
        </w:rPr>
        <w:t>Test the influence of tree size and competition on growth rate</w:t>
      </w:r>
    </w:p>
    <w:p w:rsidR="00654F32" w:rsidRDefault="00654F32" w:rsidP="00DE059E">
      <w:pPr>
        <w:pStyle w:val="ListParagraph"/>
        <w:numPr>
          <w:ilvl w:val="0"/>
          <w:numId w:val="7"/>
        </w:numPr>
        <w:spacing w:line="360" w:lineRule="auto"/>
        <w:rPr>
          <w:rFonts w:ascii="Arial" w:hAnsi="Arial" w:cs="Arial"/>
        </w:rPr>
      </w:pPr>
      <w:r>
        <w:rPr>
          <w:rFonts w:ascii="Arial" w:hAnsi="Arial" w:cs="Arial"/>
        </w:rPr>
        <w:t>Use parameter estimates from these models along with estimates from the literature to produce an individual based model to look at the potential for regime shift in the system, in particular:</w:t>
      </w:r>
    </w:p>
    <w:p w:rsidR="00654F32" w:rsidRDefault="00654F32" w:rsidP="00DE059E">
      <w:pPr>
        <w:pStyle w:val="ListParagraph"/>
        <w:numPr>
          <w:ilvl w:val="1"/>
          <w:numId w:val="7"/>
        </w:numPr>
        <w:spacing w:line="360" w:lineRule="auto"/>
        <w:rPr>
          <w:rFonts w:ascii="Arial" w:hAnsi="Arial" w:cs="Arial"/>
        </w:rPr>
      </w:pPr>
      <w:r>
        <w:rPr>
          <w:rFonts w:ascii="Arial" w:hAnsi="Arial" w:cs="Arial"/>
        </w:rPr>
        <w:t>Hysteresis – does the system recover along the same trajectory it declined over</w:t>
      </w:r>
    </w:p>
    <w:p w:rsidR="00654F32" w:rsidRPr="002E1A3D" w:rsidRDefault="00654F32" w:rsidP="00DE059E">
      <w:pPr>
        <w:pStyle w:val="ListParagraph"/>
        <w:numPr>
          <w:ilvl w:val="1"/>
          <w:numId w:val="7"/>
        </w:numPr>
        <w:spacing w:line="360" w:lineRule="auto"/>
        <w:rPr>
          <w:rFonts w:ascii="Arial" w:hAnsi="Arial" w:cs="Arial"/>
        </w:rPr>
      </w:pPr>
    </w:p>
    <w:p w:rsidR="00E94C26" w:rsidRPr="00E94C26" w:rsidRDefault="00E94C26" w:rsidP="00DE059E">
      <w:pPr>
        <w:spacing w:line="360" w:lineRule="auto"/>
        <w:contextualSpacing/>
        <w:rPr>
          <w:rFonts w:ascii="Arial" w:hAnsi="Arial" w:cs="Arial"/>
          <w:b/>
        </w:rPr>
      </w:pPr>
      <w:r w:rsidRPr="00E94C26">
        <w:rPr>
          <w:rFonts w:ascii="Arial" w:hAnsi="Arial" w:cs="Arial"/>
          <w:b/>
        </w:rPr>
        <w:t>Hypotheses</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lastRenderedPageBreak/>
        <w:t>Recruitment did not keep pace with mortality for any species during any of the survey periods</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Mortality likelihood is u-shaped in relation to tree size</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Slow growing trees are more likely to die</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Proximity to trees that have died is more likely to result in tree death</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Under current conditions the woodland will show increased loss of tree cover. In situations where recruitment is maximized dramatic losses will be averted.</w:t>
      </w:r>
    </w:p>
    <w:p w:rsidR="00E94C26" w:rsidRPr="00E94C26" w:rsidRDefault="00E94C26" w:rsidP="00DE059E">
      <w:pPr>
        <w:spacing w:line="360" w:lineRule="auto"/>
        <w:contextualSpacing/>
        <w:rPr>
          <w:rFonts w:ascii="Arial" w:hAnsi="Arial" w:cs="Arial"/>
        </w:rPr>
      </w:pPr>
    </w:p>
    <w:p w:rsidR="00210A49" w:rsidRDefault="00210A49" w:rsidP="00DE059E">
      <w:pPr>
        <w:spacing w:line="360" w:lineRule="auto"/>
        <w:contextualSpacing/>
        <w:rPr>
          <w:rFonts w:ascii="Arial" w:hAnsi="Arial" w:cs="Arial"/>
          <w:b/>
        </w:rPr>
      </w:pPr>
      <w:r w:rsidRPr="00E94C26">
        <w:rPr>
          <w:rFonts w:ascii="Arial" w:hAnsi="Arial" w:cs="Arial"/>
          <w:b/>
        </w:rPr>
        <w:t>Methods</w:t>
      </w:r>
    </w:p>
    <w:p w:rsidR="00FA7178" w:rsidRPr="00FA7178" w:rsidRDefault="00FA7178" w:rsidP="00DE059E">
      <w:pPr>
        <w:spacing w:line="360" w:lineRule="auto"/>
        <w:contextualSpacing/>
        <w:rPr>
          <w:rFonts w:ascii="Arial" w:hAnsi="Arial" w:cs="Arial"/>
          <w:b/>
        </w:rPr>
      </w:pPr>
      <w:r w:rsidRPr="00FA7178">
        <w:rPr>
          <w:rFonts w:ascii="Arial" w:hAnsi="Arial" w:cs="Arial"/>
          <w:b/>
        </w:rPr>
        <w:t>Site history and characteristics</w:t>
      </w:r>
    </w:p>
    <w:p w:rsidR="00FA7178" w:rsidRDefault="00FA7178" w:rsidP="00DE059E">
      <w:pPr>
        <w:spacing w:line="360" w:lineRule="auto"/>
        <w:contextualSpacing/>
        <w:rPr>
          <w:rFonts w:ascii="Arial" w:hAnsi="Arial" w:cs="Arial"/>
          <w:lang w:eastAsia="en-GB"/>
        </w:rPr>
      </w:pPr>
      <w:r w:rsidRPr="00FA7178">
        <w:rPr>
          <w:rFonts w:ascii="Arial" w:hAnsi="Arial" w:cs="Arial"/>
        </w:rPr>
        <w:t>The site used in this study, Denny Wood, is located in the New Forest National Park in Southern England (</w:t>
      </w:r>
      <w:proofErr w:type="spellStart"/>
      <w:r w:rsidRPr="00FA7178">
        <w:rPr>
          <w:rFonts w:ascii="Arial" w:hAnsi="Arial" w:cs="Arial"/>
        </w:rPr>
        <w:t>Lat</w:t>
      </w:r>
      <w:proofErr w:type="spellEnd"/>
      <w:r w:rsidRPr="00FA7178">
        <w:rPr>
          <w:rFonts w:ascii="Arial" w:hAnsi="Arial" w:cs="Arial"/>
        </w:rPr>
        <w:t>: 50</w:t>
      </w:r>
      <w:r w:rsidRPr="00FA7178">
        <w:rPr>
          <w:rFonts w:ascii="Arial" w:hAnsi="Arial" w:cs="Arial"/>
          <w:vertAlign w:val="superscript"/>
        </w:rPr>
        <w:t>o</w:t>
      </w:r>
      <w:r w:rsidRPr="00FA7178">
        <w:rPr>
          <w:rFonts w:ascii="Arial" w:hAnsi="Arial" w:cs="Arial"/>
        </w:rPr>
        <w:t xml:space="preserve"> 51.5’ N and 1</w:t>
      </w:r>
      <w:r w:rsidRPr="00FA7178">
        <w:rPr>
          <w:rFonts w:ascii="Arial" w:hAnsi="Arial" w:cs="Arial"/>
          <w:vertAlign w:val="superscript"/>
        </w:rPr>
        <w:t>o</w:t>
      </w:r>
      <w:r w:rsidRPr="00FA7178">
        <w:rPr>
          <w:rFonts w:ascii="Arial" w:hAnsi="Arial" w:cs="Arial"/>
        </w:rPr>
        <w:t xml:space="preserve"> 32.5’ W). Detailed site descriptions are provided by </w:t>
      </w:r>
      <w:proofErr w:type="spellStart"/>
      <w:r w:rsidRPr="00FA7178">
        <w:rPr>
          <w:rFonts w:ascii="Arial" w:hAnsi="Arial" w:cs="Arial"/>
        </w:rPr>
        <w:t>Mountford</w:t>
      </w:r>
      <w:proofErr w:type="spellEnd"/>
      <w:r w:rsidRPr="00FA7178">
        <w:rPr>
          <w:rFonts w:ascii="Arial" w:hAnsi="Arial" w:cs="Arial"/>
        </w:rPr>
        <w:t xml:space="preserve"> </w:t>
      </w:r>
      <w:r w:rsidRPr="00FA7178">
        <w:rPr>
          <w:rFonts w:ascii="Arial" w:hAnsi="Arial" w:cs="Arial"/>
          <w:i/>
        </w:rPr>
        <w:t>et al</w:t>
      </w:r>
      <w:r w:rsidRPr="00FA7178">
        <w:rPr>
          <w:rFonts w:ascii="Arial" w:hAnsi="Arial" w:cs="Arial"/>
        </w:rPr>
        <w:t>. (1999), and are briefly summarized here. The site is situated on gentle slopes (</w:t>
      </w:r>
      <w:r w:rsidRPr="00FA7178">
        <w:rPr>
          <w:rFonts w:ascii="Arial" w:hAnsi="Arial" w:cs="Arial"/>
          <w:lang w:eastAsia="en-GB"/>
        </w:rPr>
        <w:t xml:space="preserve">1–3°), primarily on clay-rich brown earth soils (pH 4.5–5.0 at 10 cm depth) that are prone to winter waterlogging and summer drying, with localised areas of strongly acid (pH 3.5–4.5) </w:t>
      </w:r>
      <w:proofErr w:type="spellStart"/>
      <w:r w:rsidRPr="00FA7178">
        <w:rPr>
          <w:rFonts w:ascii="Arial" w:hAnsi="Arial" w:cs="Arial"/>
          <w:lang w:eastAsia="en-GB"/>
        </w:rPr>
        <w:t>podsols</w:t>
      </w:r>
      <w:proofErr w:type="spellEnd"/>
      <w:r w:rsidRPr="00FA7178">
        <w:rPr>
          <w:rFonts w:ascii="Arial" w:hAnsi="Arial" w:cs="Arial"/>
          <w:lang w:eastAsia="en-GB"/>
        </w:rPr>
        <w:t xml:space="preserve"> developed on sandier substrates. Woodland vegetation is dominated by old-growth beech (</w:t>
      </w:r>
      <w:proofErr w:type="spellStart"/>
      <w:r w:rsidRPr="00FA7178">
        <w:rPr>
          <w:rFonts w:ascii="Arial" w:hAnsi="Arial" w:cs="Arial"/>
          <w:i/>
          <w:iCs/>
          <w:lang w:eastAsia="en-GB"/>
        </w:rPr>
        <w:t>Fagus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sylvatica</w:t>
      </w:r>
      <w:proofErr w:type="spellEnd"/>
      <w:r w:rsidRPr="00FA7178">
        <w:rPr>
          <w:rFonts w:ascii="Arial" w:hAnsi="Arial" w:cs="Arial"/>
          <w:iCs/>
          <w:lang w:eastAsia="en-GB"/>
        </w:rPr>
        <w:t>)</w:t>
      </w:r>
      <w:r w:rsidRPr="00FA7178">
        <w:rPr>
          <w:rFonts w:ascii="Arial" w:hAnsi="Arial" w:cs="Arial"/>
          <w:i/>
          <w:iCs/>
          <w:lang w:eastAsia="en-GB"/>
        </w:rPr>
        <w:t xml:space="preserve"> </w:t>
      </w:r>
      <w:r w:rsidRPr="00FA7178">
        <w:rPr>
          <w:rFonts w:ascii="Arial" w:hAnsi="Arial" w:cs="Arial"/>
          <w:iCs/>
          <w:lang w:eastAsia="en-GB"/>
        </w:rPr>
        <w:t>with</w:t>
      </w:r>
      <w:r w:rsidRPr="00FA7178">
        <w:rPr>
          <w:rFonts w:ascii="Arial" w:hAnsi="Arial" w:cs="Arial"/>
          <w:i/>
          <w:iCs/>
          <w:lang w:eastAsia="en-GB"/>
        </w:rPr>
        <w:t xml:space="preserve"> </w:t>
      </w:r>
      <w:r w:rsidRPr="00FA7178">
        <w:rPr>
          <w:rFonts w:ascii="Arial" w:hAnsi="Arial" w:cs="Arial"/>
          <w:lang w:eastAsia="en-GB"/>
        </w:rPr>
        <w:t xml:space="preserve">frequent </w:t>
      </w:r>
      <w:proofErr w:type="spellStart"/>
      <w:r w:rsidRPr="00FA7178">
        <w:rPr>
          <w:rFonts w:ascii="Arial" w:hAnsi="Arial" w:cs="Arial"/>
          <w:lang w:eastAsia="en-GB"/>
        </w:rPr>
        <w:t>pedunculate</w:t>
      </w:r>
      <w:proofErr w:type="spellEnd"/>
      <w:r w:rsidRPr="00FA7178">
        <w:rPr>
          <w:rFonts w:ascii="Arial" w:hAnsi="Arial" w:cs="Arial"/>
          <w:lang w:eastAsia="en-GB"/>
        </w:rPr>
        <w:t xml:space="preserve"> oak (</w:t>
      </w:r>
      <w:proofErr w:type="spellStart"/>
      <w:r w:rsidRPr="00FA7178">
        <w:rPr>
          <w:rFonts w:ascii="Arial" w:hAnsi="Arial" w:cs="Arial"/>
          <w:i/>
          <w:iCs/>
          <w:lang w:eastAsia="en-GB"/>
        </w:rPr>
        <w:t>Quercus</w:t>
      </w:r>
      <w:proofErr w:type="spellEnd"/>
      <w:r w:rsidRPr="00FA7178">
        <w:rPr>
          <w:rFonts w:ascii="Arial" w:hAnsi="Arial" w:cs="Arial"/>
          <w:i/>
          <w:iCs/>
          <w:lang w:eastAsia="en-GB"/>
        </w:rPr>
        <w:t xml:space="preserve"> </w:t>
      </w:r>
      <w:proofErr w:type="spellStart"/>
      <w:r w:rsidRPr="00FA7178">
        <w:rPr>
          <w:rFonts w:ascii="Arial" w:hAnsi="Arial" w:cs="Arial"/>
          <w:iCs/>
          <w:lang w:eastAsia="en-GB"/>
        </w:rPr>
        <w:t>robur</w:t>
      </w:r>
      <w:proofErr w:type="spellEnd"/>
      <w:r w:rsidRPr="00FA7178">
        <w:rPr>
          <w:rFonts w:ascii="Arial" w:hAnsi="Arial" w:cs="Arial"/>
          <w:iCs/>
          <w:lang w:eastAsia="en-GB"/>
        </w:rPr>
        <w:t xml:space="preserve">) and </w:t>
      </w:r>
      <w:r w:rsidRPr="00FA7178">
        <w:rPr>
          <w:rFonts w:ascii="Arial" w:hAnsi="Arial" w:cs="Arial"/>
          <w:lang w:eastAsia="en-GB"/>
        </w:rPr>
        <w:t>birch (</w:t>
      </w:r>
      <w:proofErr w:type="spellStart"/>
      <w:r w:rsidRPr="00FA7178">
        <w:rPr>
          <w:rFonts w:ascii="Arial" w:hAnsi="Arial" w:cs="Arial"/>
          <w:i/>
          <w:iCs/>
          <w:lang w:eastAsia="en-GB"/>
        </w:rPr>
        <w:t>Betula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pendula</w:t>
      </w:r>
      <w:proofErr w:type="spellEnd"/>
      <w:r w:rsidRPr="00FA7178">
        <w:rPr>
          <w:rFonts w:ascii="Arial" w:hAnsi="Arial" w:cs="Arial"/>
          <w:i/>
          <w:iCs/>
          <w:lang w:eastAsia="en-GB"/>
        </w:rPr>
        <w:t xml:space="preserve">, B. </w:t>
      </w:r>
      <w:proofErr w:type="spellStart"/>
      <w:r w:rsidRPr="00FA7178">
        <w:rPr>
          <w:rFonts w:ascii="Arial" w:hAnsi="Arial" w:cs="Arial"/>
          <w:i/>
          <w:iCs/>
          <w:lang w:eastAsia="en-GB"/>
        </w:rPr>
        <w:t>pubescens</w:t>
      </w:r>
      <w:proofErr w:type="spellEnd"/>
      <w:r w:rsidRPr="00FA7178">
        <w:rPr>
          <w:rFonts w:ascii="Arial" w:hAnsi="Arial" w:cs="Arial"/>
          <w:iCs/>
          <w:lang w:eastAsia="en-GB"/>
        </w:rPr>
        <w:t>), and</w:t>
      </w:r>
      <w:r w:rsidRPr="00FA7178">
        <w:rPr>
          <w:rFonts w:ascii="Arial" w:hAnsi="Arial" w:cs="Arial"/>
          <w:lang w:eastAsia="en-GB"/>
        </w:rPr>
        <w:t xml:space="preserve"> an </w:t>
      </w:r>
      <w:r w:rsidR="003A2B2F" w:rsidRPr="00FA7178">
        <w:rPr>
          <w:rFonts w:ascii="Arial" w:hAnsi="Arial" w:cs="Arial"/>
          <w:lang w:eastAsia="en-GB"/>
        </w:rPr>
        <w:t>understory</w:t>
      </w:r>
      <w:r w:rsidRPr="00FA7178">
        <w:rPr>
          <w:rFonts w:ascii="Arial" w:hAnsi="Arial" w:cs="Arial"/>
          <w:lang w:eastAsia="en-GB"/>
        </w:rPr>
        <w:t xml:space="preserve"> primarily of holly (</w:t>
      </w:r>
      <w:r w:rsidRPr="00FA7178">
        <w:rPr>
          <w:rFonts w:ascii="Arial" w:hAnsi="Arial" w:cs="Arial"/>
          <w:i/>
          <w:iCs/>
          <w:lang w:eastAsia="en-GB"/>
        </w:rPr>
        <w:t xml:space="preserve">Ilex </w:t>
      </w:r>
      <w:proofErr w:type="spellStart"/>
      <w:r w:rsidRPr="00FA7178">
        <w:rPr>
          <w:rFonts w:ascii="Arial" w:hAnsi="Arial" w:cs="Arial"/>
          <w:i/>
          <w:iCs/>
          <w:lang w:eastAsia="en-GB"/>
        </w:rPr>
        <w:t>aquifolium</w:t>
      </w:r>
      <w:proofErr w:type="spellEnd"/>
      <w:r w:rsidRPr="00FA7178">
        <w:rPr>
          <w:rFonts w:ascii="Arial" w:hAnsi="Arial" w:cs="Arial"/>
          <w:lang w:eastAsia="en-GB"/>
        </w:rPr>
        <w:t xml:space="preserve">). In open areas the ground vegetation is mostly comprised of </w:t>
      </w:r>
      <w:proofErr w:type="spellStart"/>
      <w:r w:rsidRPr="00FA7178">
        <w:rPr>
          <w:rFonts w:ascii="Arial" w:hAnsi="Arial" w:cs="Arial"/>
          <w:i/>
          <w:iCs/>
          <w:lang w:eastAsia="en-GB"/>
        </w:rPr>
        <w:t>Agrostis</w:t>
      </w:r>
      <w:proofErr w:type="spellEnd"/>
      <w:r w:rsidRPr="00FA7178">
        <w:rPr>
          <w:rFonts w:ascii="Arial" w:hAnsi="Arial" w:cs="Arial"/>
          <w:lang w:eastAsia="en-GB"/>
        </w:rPr>
        <w:t>-dominated grassland or stands of bracken (</w:t>
      </w:r>
      <w:proofErr w:type="spellStart"/>
      <w:r w:rsidRPr="00FA7178">
        <w:rPr>
          <w:rFonts w:ascii="Arial" w:hAnsi="Arial" w:cs="Arial"/>
          <w:i/>
          <w:iCs/>
          <w:lang w:eastAsia="en-GB"/>
        </w:rPr>
        <w:t>Pteridium</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aquilinum</w:t>
      </w:r>
      <w:proofErr w:type="spellEnd"/>
      <w:r w:rsidRPr="00FA7178">
        <w:rPr>
          <w:rFonts w:ascii="Arial" w:hAnsi="Arial" w:cs="Arial"/>
          <w:lang w:eastAsia="en-GB"/>
        </w:rPr>
        <w:t xml:space="preserve">); </w:t>
      </w:r>
      <w:proofErr w:type="spellStart"/>
      <w:r w:rsidRPr="00FA7178">
        <w:rPr>
          <w:rFonts w:ascii="Arial" w:hAnsi="Arial" w:cs="Arial"/>
          <w:i/>
          <w:lang w:eastAsia="en-GB"/>
        </w:rPr>
        <w:t>Rubus</w:t>
      </w:r>
      <w:proofErr w:type="spellEnd"/>
      <w:r w:rsidRPr="00FA7178">
        <w:rPr>
          <w:rFonts w:ascii="Arial" w:hAnsi="Arial" w:cs="Arial"/>
          <w:i/>
          <w:lang w:eastAsia="en-GB"/>
        </w:rPr>
        <w:t xml:space="preserve"> </w:t>
      </w:r>
      <w:proofErr w:type="spellStart"/>
      <w:r w:rsidRPr="00FA7178">
        <w:rPr>
          <w:rFonts w:ascii="Arial" w:hAnsi="Arial" w:cs="Arial"/>
          <w:i/>
          <w:lang w:eastAsia="en-GB"/>
        </w:rPr>
        <w:t>fruticosus</w:t>
      </w:r>
      <w:proofErr w:type="spellEnd"/>
      <w:r w:rsidRPr="00FA7178">
        <w:rPr>
          <w:rFonts w:ascii="Arial" w:hAnsi="Arial" w:cs="Arial"/>
          <w:i/>
          <w:lang w:eastAsia="en-GB"/>
        </w:rPr>
        <w:t xml:space="preserve"> </w:t>
      </w:r>
      <w:proofErr w:type="spellStart"/>
      <w:proofErr w:type="gramStart"/>
      <w:r w:rsidRPr="00FA7178">
        <w:rPr>
          <w:rFonts w:ascii="Arial" w:hAnsi="Arial" w:cs="Arial"/>
          <w:lang w:eastAsia="en-GB"/>
        </w:rPr>
        <w:t>agg</w:t>
      </w:r>
      <w:proofErr w:type="spellEnd"/>
      <w:r w:rsidRPr="00FA7178">
        <w:rPr>
          <w:rFonts w:ascii="Arial" w:hAnsi="Arial" w:cs="Arial"/>
          <w:lang w:eastAsia="en-GB"/>
        </w:rPr>
        <w:t>.,</w:t>
      </w:r>
      <w:proofErr w:type="gramEnd"/>
      <w:r w:rsidRPr="00FA7178">
        <w:rPr>
          <w:rFonts w:ascii="Arial" w:hAnsi="Arial" w:cs="Arial"/>
          <w:lang w:eastAsia="en-GB"/>
        </w:rPr>
        <w:t xml:space="preserve"> </w:t>
      </w:r>
      <w:proofErr w:type="spellStart"/>
      <w:r w:rsidRPr="00FA7178">
        <w:rPr>
          <w:rFonts w:ascii="Arial" w:hAnsi="Arial" w:cs="Arial"/>
          <w:i/>
          <w:iCs/>
          <w:lang w:eastAsia="en-GB"/>
        </w:rPr>
        <w:t>Juncus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effusus</w:t>
      </w:r>
      <w:proofErr w:type="spellEnd"/>
      <w:r w:rsidRPr="00FA7178">
        <w:rPr>
          <w:rFonts w:ascii="Arial" w:hAnsi="Arial" w:cs="Arial"/>
          <w:i/>
          <w:iCs/>
          <w:lang w:eastAsia="en-GB"/>
        </w:rPr>
        <w:t xml:space="preserve"> </w:t>
      </w:r>
      <w:r w:rsidRPr="00FA7178">
        <w:rPr>
          <w:rFonts w:ascii="Arial" w:hAnsi="Arial" w:cs="Arial"/>
          <w:iCs/>
          <w:lang w:eastAsia="en-GB"/>
        </w:rPr>
        <w:t>and</w:t>
      </w:r>
      <w:r w:rsidRPr="00FA7178">
        <w:rPr>
          <w:rFonts w:ascii="Arial" w:hAnsi="Arial" w:cs="Arial"/>
          <w:i/>
          <w:iCs/>
          <w:lang w:eastAsia="en-GB"/>
        </w:rPr>
        <w:t xml:space="preserve"> </w:t>
      </w:r>
      <w:proofErr w:type="spellStart"/>
      <w:r w:rsidRPr="00FA7178">
        <w:rPr>
          <w:rFonts w:ascii="Arial" w:hAnsi="Arial" w:cs="Arial"/>
          <w:i/>
          <w:iCs/>
          <w:lang w:eastAsia="en-GB"/>
        </w:rPr>
        <w:t>Molinia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caerulea</w:t>
      </w:r>
      <w:proofErr w:type="spellEnd"/>
      <w:r w:rsidRPr="00FA7178">
        <w:rPr>
          <w:rFonts w:ascii="Arial" w:hAnsi="Arial" w:cs="Arial"/>
          <w:i/>
          <w:iCs/>
          <w:lang w:eastAsia="en-GB"/>
        </w:rPr>
        <w:t xml:space="preserve"> </w:t>
      </w:r>
      <w:r w:rsidR="003A2B2F">
        <w:rPr>
          <w:rFonts w:ascii="Arial" w:hAnsi="Arial" w:cs="Arial"/>
          <w:lang w:eastAsia="en-GB"/>
        </w:rPr>
        <w:t>are also locally abundant. There are large population</w:t>
      </w:r>
      <w:r w:rsidR="001D554F">
        <w:rPr>
          <w:rFonts w:ascii="Arial" w:hAnsi="Arial" w:cs="Arial"/>
          <w:lang w:eastAsia="en-GB"/>
        </w:rPr>
        <w:t>s of deer, ponies and cattle in</w:t>
      </w:r>
      <w:r w:rsidR="003A2B2F">
        <w:rPr>
          <w:rFonts w:ascii="Arial" w:hAnsi="Arial" w:cs="Arial"/>
          <w:lang w:eastAsia="en-GB"/>
        </w:rPr>
        <w:t xml:space="preserve"> </w:t>
      </w:r>
      <w:r w:rsidR="001D554F">
        <w:rPr>
          <w:rFonts w:ascii="Arial" w:hAnsi="Arial" w:cs="Arial"/>
          <w:lang w:eastAsia="en-GB"/>
        </w:rPr>
        <w:t>the</w:t>
      </w:r>
      <w:r w:rsidR="003A2B2F">
        <w:rPr>
          <w:rFonts w:ascii="Arial" w:hAnsi="Arial" w:cs="Arial"/>
          <w:lang w:eastAsia="en-GB"/>
        </w:rPr>
        <w:t xml:space="preserve"> New Forest, resulting in high herbivore pressure. The portion of the site which we use</w:t>
      </w:r>
      <w:r w:rsidR="0075283D">
        <w:rPr>
          <w:rFonts w:ascii="Arial" w:hAnsi="Arial" w:cs="Arial"/>
          <w:lang w:eastAsia="en-GB"/>
        </w:rPr>
        <w:t>d</w:t>
      </w:r>
      <w:r w:rsidR="003A2B2F">
        <w:rPr>
          <w:rFonts w:ascii="Arial" w:hAnsi="Arial" w:cs="Arial"/>
          <w:lang w:eastAsia="en-GB"/>
        </w:rPr>
        <w:t xml:space="preserve"> for this study is likely to have experienced high browsing pressure since the 1960s </w:t>
      </w:r>
      <w:r w:rsidR="003A2B2F">
        <w:rPr>
          <w:rFonts w:ascii="Arial" w:hAnsi="Arial" w:cs="Arial"/>
          <w:lang w:eastAsia="en-GB"/>
        </w:rPr>
        <w:fldChar w:fldCharType="begin" w:fldLock="1"/>
      </w:r>
      <w:r w:rsidR="00214A19">
        <w:rPr>
          <w:rFonts w:ascii="Arial" w:hAnsi="Arial" w:cs="Arial"/>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003A2B2F">
        <w:rPr>
          <w:rFonts w:ascii="Arial" w:hAnsi="Arial" w:cs="Arial"/>
          <w:lang w:eastAsia="en-GB"/>
        </w:rPr>
        <w:fldChar w:fldCharType="separate"/>
      </w:r>
      <w:r w:rsidR="003A2B2F" w:rsidRPr="003A2B2F">
        <w:rPr>
          <w:rFonts w:ascii="Arial" w:hAnsi="Arial" w:cs="Arial"/>
          <w:noProof/>
          <w:lang w:eastAsia="en-GB"/>
        </w:rPr>
        <w:t>(Mountford &amp; Peterken 2003)</w:t>
      </w:r>
      <w:r w:rsidR="003A2B2F">
        <w:rPr>
          <w:rFonts w:ascii="Arial" w:hAnsi="Arial" w:cs="Arial"/>
          <w:lang w:eastAsia="en-GB"/>
        </w:rPr>
        <w:fldChar w:fldCharType="end"/>
      </w:r>
      <w:r w:rsidR="003A2B2F">
        <w:rPr>
          <w:rFonts w:ascii="Arial" w:hAnsi="Arial" w:cs="Arial"/>
          <w:lang w:eastAsia="en-GB"/>
        </w:rPr>
        <w:t>.</w:t>
      </w:r>
    </w:p>
    <w:p w:rsidR="003A2B2F" w:rsidRDefault="003A2B2F" w:rsidP="00DE059E">
      <w:pPr>
        <w:spacing w:line="360" w:lineRule="auto"/>
        <w:contextualSpacing/>
        <w:rPr>
          <w:rFonts w:ascii="Arial" w:hAnsi="Arial" w:cs="Arial"/>
          <w:lang w:eastAsia="en-GB"/>
        </w:rPr>
      </w:pPr>
    </w:p>
    <w:p w:rsidR="00A7669F" w:rsidRPr="00A7669F" w:rsidRDefault="00A7669F" w:rsidP="00DE059E">
      <w:pPr>
        <w:spacing w:line="360" w:lineRule="auto"/>
        <w:contextualSpacing/>
        <w:rPr>
          <w:rFonts w:ascii="Arial" w:hAnsi="Arial" w:cs="Arial"/>
          <w:b/>
          <w:lang w:eastAsia="en-GB"/>
        </w:rPr>
      </w:pPr>
      <w:r w:rsidRPr="00A7669F">
        <w:rPr>
          <w:rFonts w:ascii="Arial" w:hAnsi="Arial" w:cs="Arial"/>
          <w:b/>
          <w:lang w:eastAsia="en-GB"/>
        </w:rPr>
        <w:t>Data collection</w:t>
      </w:r>
    </w:p>
    <w:p w:rsidR="00A7669F" w:rsidRDefault="0024119F" w:rsidP="00DE059E">
      <w:pPr>
        <w:spacing w:line="360" w:lineRule="auto"/>
        <w:ind w:firstLine="720"/>
        <w:contextualSpacing/>
        <w:rPr>
          <w:rFonts w:ascii="Arial" w:hAnsi="Arial" w:cs="Arial"/>
        </w:rPr>
      </w:pPr>
      <w:r w:rsidRPr="0024119F">
        <w:rPr>
          <w:rFonts w:ascii="Arial" w:hAnsi="Arial" w:cs="Arial"/>
        </w:rPr>
        <w:t xml:space="preserve">Measurements were conducted in </w:t>
      </w:r>
      <w:r w:rsidR="00A7669F">
        <w:rPr>
          <w:rFonts w:ascii="Arial" w:hAnsi="Arial" w:cs="Arial"/>
        </w:rPr>
        <w:t>one 20 m-wide 1 km long transect</w:t>
      </w:r>
      <w:r w:rsidRPr="0024119F">
        <w:rPr>
          <w:rFonts w:ascii="Arial" w:hAnsi="Arial" w:cs="Arial"/>
        </w:rPr>
        <w:t xml:space="preserve">, which </w:t>
      </w:r>
      <w:r w:rsidR="00A7669F">
        <w:rPr>
          <w:rFonts w:ascii="Arial" w:hAnsi="Arial" w:cs="Arial"/>
        </w:rPr>
        <w:t>was</w:t>
      </w:r>
      <w:r w:rsidRPr="0024119F">
        <w:rPr>
          <w:rFonts w:ascii="Arial" w:hAnsi="Arial" w:cs="Arial"/>
        </w:rPr>
        <w:t xml:space="preserve"> originally established in the 1950s. </w:t>
      </w:r>
      <w:proofErr w:type="gramStart"/>
      <w:r w:rsidR="00A7669F">
        <w:rPr>
          <w:rFonts w:ascii="Arial" w:hAnsi="Arial" w:cs="Arial"/>
        </w:rPr>
        <w:t>The transect</w:t>
      </w:r>
      <w:proofErr w:type="gramEnd"/>
      <w:r w:rsidRPr="0024119F">
        <w:rPr>
          <w:rFonts w:ascii="Arial" w:hAnsi="Arial" w:cs="Arial"/>
        </w:rPr>
        <w:t xml:space="preserve"> </w:t>
      </w:r>
      <w:r w:rsidR="00A7669F">
        <w:rPr>
          <w:rFonts w:ascii="Arial" w:hAnsi="Arial" w:cs="Arial"/>
        </w:rPr>
        <w:t>was</w:t>
      </w:r>
      <w:r w:rsidRPr="0024119F">
        <w:rPr>
          <w:rFonts w:ascii="Arial" w:hAnsi="Arial" w:cs="Arial"/>
        </w:rPr>
        <w:t xml:space="preserve"> subdivided into contiguous </w:t>
      </w:r>
      <w:r w:rsidR="00D644F8">
        <w:rPr>
          <w:rFonts w:ascii="Arial" w:hAnsi="Arial" w:cs="Arial"/>
        </w:rPr>
        <w:t>45</w:t>
      </w:r>
      <w:r w:rsidR="00A7669F">
        <w:rPr>
          <w:rFonts w:ascii="Arial" w:hAnsi="Arial" w:cs="Arial"/>
        </w:rPr>
        <w:t xml:space="preserve"> 20 x 20 m (0.04 ha) subplot</w:t>
      </w:r>
      <w:r w:rsidR="00D4426B">
        <w:rPr>
          <w:rFonts w:ascii="Arial" w:hAnsi="Arial" w:cs="Arial"/>
        </w:rPr>
        <w:t>s</w:t>
      </w:r>
      <w:r w:rsidR="00A7669F">
        <w:rPr>
          <w:rFonts w:ascii="Arial" w:hAnsi="Arial" w:cs="Arial"/>
        </w:rPr>
        <w:t xml:space="preserve"> and surveyed in 1964, 1984, 1988, 1996 and 2014</w:t>
      </w:r>
      <w:r w:rsidRPr="0024119F">
        <w:rPr>
          <w:rFonts w:ascii="Arial" w:hAnsi="Arial" w:cs="Arial"/>
        </w:rPr>
        <w:t xml:space="preserve">. Details of earlier measurements are presented by </w:t>
      </w:r>
      <w:r w:rsidR="001D554F">
        <w:rPr>
          <w:rFonts w:ascii="Arial" w:hAnsi="Arial" w:cs="Arial"/>
        </w:rPr>
        <w:fldChar w:fldCharType="begin" w:fldLock="1"/>
      </w:r>
      <w:r w:rsidR="001D554F">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&lt;i&gt;et al.&lt;/i&gt; 1999)", "manualFormatting" : "Mountford et al. (1999)", "plainTextFormattedCitation" : "(Mountford et al. 1999)", "previouslyFormattedCitation" : "(Mountford &lt;i&gt;et al.&lt;/i&gt; 1999)" }, "properties" : { "noteIndex" : 0 }, "schema" : "https://github.com/citation-style-language/schema/raw/master/csl-citation.json" }</w:instrText>
      </w:r>
      <w:r w:rsidR="001D554F">
        <w:rPr>
          <w:rFonts w:ascii="Arial" w:hAnsi="Arial" w:cs="Arial"/>
        </w:rPr>
        <w:fldChar w:fldCharType="separate"/>
      </w:r>
      <w:r w:rsidR="001D554F" w:rsidRPr="001D554F">
        <w:rPr>
          <w:rFonts w:ascii="Arial" w:hAnsi="Arial" w:cs="Arial"/>
          <w:noProof/>
        </w:rPr>
        <w:t xml:space="preserve">Mountford </w:t>
      </w:r>
      <w:r w:rsidR="001D554F" w:rsidRPr="001D554F">
        <w:rPr>
          <w:rFonts w:ascii="Arial" w:hAnsi="Arial" w:cs="Arial"/>
          <w:i/>
          <w:noProof/>
        </w:rPr>
        <w:t>et al.</w:t>
      </w:r>
      <w:r w:rsidR="001D554F" w:rsidRPr="001D554F">
        <w:rPr>
          <w:rFonts w:ascii="Arial" w:hAnsi="Arial" w:cs="Arial"/>
          <w:noProof/>
        </w:rPr>
        <w:t xml:space="preserve"> </w:t>
      </w:r>
      <w:r w:rsidR="001D554F">
        <w:rPr>
          <w:rFonts w:ascii="Arial" w:hAnsi="Arial" w:cs="Arial"/>
          <w:noProof/>
        </w:rPr>
        <w:t>(</w:t>
      </w:r>
      <w:r w:rsidR="001D554F" w:rsidRPr="001D554F">
        <w:rPr>
          <w:rFonts w:ascii="Arial" w:hAnsi="Arial" w:cs="Arial"/>
          <w:noProof/>
        </w:rPr>
        <w:t>1999)</w:t>
      </w:r>
      <w:r w:rsidR="001D554F">
        <w:rPr>
          <w:rFonts w:ascii="Arial" w:hAnsi="Arial" w:cs="Arial"/>
        </w:rPr>
        <w:fldChar w:fldCharType="end"/>
      </w:r>
      <w:r w:rsidR="001D554F">
        <w:rPr>
          <w:rFonts w:ascii="Arial" w:hAnsi="Arial" w:cs="Arial"/>
        </w:rPr>
        <w:t xml:space="preserve"> </w:t>
      </w:r>
      <w:r w:rsidRPr="0024119F">
        <w:rPr>
          <w:rFonts w:ascii="Arial" w:hAnsi="Arial" w:cs="Arial"/>
        </w:rPr>
        <w:t>and</w:t>
      </w:r>
      <w:r>
        <w:rPr>
          <w:rFonts w:ascii="Arial" w:hAnsi="Arial" w:cs="Arial"/>
        </w:rPr>
        <w:t xml:space="preserve"> </w:t>
      </w:r>
      <w:proofErr w:type="spellStart"/>
      <w:r>
        <w:rPr>
          <w:rFonts w:ascii="Arial" w:hAnsi="Arial" w:cs="Arial"/>
        </w:rPr>
        <w:t>Mountford</w:t>
      </w:r>
      <w:proofErr w:type="spellEnd"/>
      <w:r>
        <w:rPr>
          <w:rFonts w:ascii="Arial" w:hAnsi="Arial" w:cs="Arial"/>
        </w:rPr>
        <w:t xml:space="preserve"> and </w:t>
      </w:r>
      <w:proofErr w:type="spellStart"/>
      <w:r>
        <w:rPr>
          <w:rFonts w:ascii="Arial" w:hAnsi="Arial" w:cs="Arial"/>
        </w:rPr>
        <w:t>Peterken</w:t>
      </w:r>
      <w:proofErr w:type="spellEnd"/>
      <w:r>
        <w:rPr>
          <w:rFonts w:ascii="Arial" w:hAnsi="Arial" w:cs="Arial"/>
        </w:rPr>
        <w:t xml:space="preserve"> (2003) and those </w:t>
      </w:r>
      <w:r w:rsidRPr="0024119F">
        <w:rPr>
          <w:rFonts w:ascii="Arial" w:hAnsi="Arial" w:cs="Arial"/>
        </w:rPr>
        <w:t xml:space="preserve">for 2014 </w:t>
      </w:r>
      <w:r>
        <w:rPr>
          <w:rFonts w:ascii="Arial" w:hAnsi="Arial" w:cs="Arial"/>
        </w:rPr>
        <w:t>in</w:t>
      </w:r>
      <w:r w:rsidR="00EC6403">
        <w:rPr>
          <w:rFonts w:ascii="Arial" w:hAnsi="Arial" w:cs="Arial"/>
        </w:rPr>
        <w:t xml:space="preserve"> </w:t>
      </w:r>
      <w:r w:rsidR="00EC6403">
        <w:rPr>
          <w:rFonts w:ascii="Arial" w:hAnsi="Arial" w:cs="Arial"/>
        </w:rPr>
        <w:fldChar w:fldCharType="begin" w:fldLock="1"/>
      </w:r>
      <w:r w:rsidR="00EC6403">
        <w:rPr>
          <w:rFonts w:ascii="Arial" w:hAnsi="Arial" w:cs="Arial"/>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"uris" : [ "http://www.mendeley.com/documents/?uuid=4d0132e6-102f-4c9e-a936-8b81dbcd7607" ] } ], "mendeley" : { "formattedCitation" : "(Martin &lt;i&gt;et al.&lt;/i&gt; 2015)", "manualFormatting" : "Martin et al. (2015)", "plainTextFormattedCitation" : "(Martin et al. 2015)", "previouslyFormattedCitation" : "(Martin &lt;i&gt;et al.&lt;/i&gt; 2015)" }, "properties" : { "noteIndex" : 0 }, "schema" : "https://github.com/citation-style-language/schema/raw/master/csl-citation.json" }</w:instrText>
      </w:r>
      <w:r w:rsidR="00EC6403">
        <w:rPr>
          <w:rFonts w:ascii="Arial" w:hAnsi="Arial" w:cs="Arial"/>
        </w:rPr>
        <w:fldChar w:fldCharType="separate"/>
      </w:r>
      <w:r w:rsidR="00EC6403" w:rsidRPr="00EC6403">
        <w:rPr>
          <w:rFonts w:ascii="Arial" w:hAnsi="Arial" w:cs="Arial"/>
          <w:noProof/>
        </w:rPr>
        <w:t xml:space="preserve">Martin </w:t>
      </w:r>
      <w:r w:rsidR="00EC6403" w:rsidRPr="00EC6403">
        <w:rPr>
          <w:rFonts w:ascii="Arial" w:hAnsi="Arial" w:cs="Arial"/>
          <w:i/>
          <w:noProof/>
        </w:rPr>
        <w:t>et al.</w:t>
      </w:r>
      <w:r w:rsidR="00EC6403" w:rsidRPr="00EC6403">
        <w:rPr>
          <w:rFonts w:ascii="Arial" w:hAnsi="Arial" w:cs="Arial"/>
          <w:noProof/>
        </w:rPr>
        <w:t xml:space="preserve"> </w:t>
      </w:r>
      <w:r w:rsidR="00EC6403">
        <w:rPr>
          <w:rFonts w:ascii="Arial" w:hAnsi="Arial" w:cs="Arial"/>
          <w:noProof/>
        </w:rPr>
        <w:t>(</w:t>
      </w:r>
      <w:r w:rsidR="00EC6403" w:rsidRPr="00EC6403">
        <w:rPr>
          <w:rFonts w:ascii="Arial" w:hAnsi="Arial" w:cs="Arial"/>
          <w:noProof/>
        </w:rPr>
        <w:t>2015)</w:t>
      </w:r>
      <w:r w:rsidR="00EC6403">
        <w:rPr>
          <w:rFonts w:ascii="Arial" w:hAnsi="Arial" w:cs="Arial"/>
        </w:rPr>
        <w:fldChar w:fldCharType="end"/>
      </w:r>
      <w:r w:rsidRPr="0024119F">
        <w:rPr>
          <w:rFonts w:ascii="Arial" w:hAnsi="Arial" w:cs="Arial"/>
        </w:rPr>
        <w:t xml:space="preserve">. In each survey, the location and species name of all </w:t>
      </w:r>
      <w:r>
        <w:rPr>
          <w:rFonts w:ascii="Arial" w:hAnsi="Arial" w:cs="Arial"/>
        </w:rPr>
        <w:t>woody</w:t>
      </w:r>
      <w:r w:rsidRPr="0024119F">
        <w:rPr>
          <w:rFonts w:ascii="Arial" w:hAnsi="Arial" w:cs="Arial"/>
        </w:rPr>
        <w:t xml:space="preserve"> stems </w:t>
      </w:r>
      <w:r>
        <w:rPr>
          <w:rFonts w:ascii="Arial" w:hAnsi="Arial" w:cs="Arial"/>
        </w:rPr>
        <w:t xml:space="preserve">&gt;1.3 m in height </w:t>
      </w:r>
      <w:r w:rsidRPr="0024119F">
        <w:rPr>
          <w:rFonts w:ascii="Arial" w:hAnsi="Arial" w:cs="Arial"/>
        </w:rPr>
        <w:t xml:space="preserve">were recorded, their </w:t>
      </w:r>
      <w:r>
        <w:rPr>
          <w:rFonts w:ascii="Arial" w:hAnsi="Arial" w:cs="Arial"/>
        </w:rPr>
        <w:t>diameter at breast height</w:t>
      </w:r>
      <w:r w:rsidRPr="0024119F">
        <w:rPr>
          <w:rFonts w:ascii="Arial" w:hAnsi="Arial" w:cs="Arial"/>
        </w:rPr>
        <w:t xml:space="preserve"> measured using </w:t>
      </w:r>
      <w:r w:rsidR="00A7669F">
        <w:rPr>
          <w:rFonts w:ascii="Arial" w:hAnsi="Arial" w:cs="Arial"/>
        </w:rPr>
        <w:t>diameter</w:t>
      </w:r>
      <w:r w:rsidRPr="0024119F">
        <w:rPr>
          <w:rFonts w:ascii="Arial" w:hAnsi="Arial" w:cs="Arial"/>
        </w:rPr>
        <w:t xml:space="preserve"> tapes, and their status assessed as either alive or dead. </w:t>
      </w:r>
      <w:r>
        <w:rPr>
          <w:rFonts w:ascii="Arial" w:hAnsi="Arial" w:cs="Arial"/>
        </w:rPr>
        <w:t xml:space="preserve">Each stem &gt;1.3m height was given a unique ID number to allow individual trees to be tracked. </w:t>
      </w:r>
      <w:r w:rsidR="00EC6403">
        <w:rPr>
          <w:rFonts w:ascii="Arial" w:hAnsi="Arial" w:cs="Arial"/>
        </w:rPr>
        <w:t>Stems &lt;10 cm DBH were classified as saplings and those &gt;10 cm DBH as mature.</w:t>
      </w:r>
    </w:p>
    <w:p w:rsidR="00AC7BB4" w:rsidRDefault="00A7669F" w:rsidP="00DE059E">
      <w:pPr>
        <w:spacing w:line="360" w:lineRule="auto"/>
        <w:contextualSpacing/>
        <w:rPr>
          <w:rFonts w:ascii="Arial" w:hAnsi="Arial" w:cs="Arial"/>
        </w:rPr>
      </w:pPr>
      <w:r>
        <w:rPr>
          <w:rFonts w:ascii="Arial" w:hAnsi="Arial" w:cs="Arial"/>
        </w:rPr>
        <w:lastRenderedPageBreak/>
        <w:tab/>
        <w:t xml:space="preserve">In 2014 </w:t>
      </w:r>
      <w:r w:rsidR="00DC1C53">
        <w:rPr>
          <w:rFonts w:ascii="Arial" w:hAnsi="Arial" w:cs="Arial"/>
        </w:rPr>
        <w:t xml:space="preserve">a number of variables </w:t>
      </w:r>
      <w:r w:rsidR="00E00C5D">
        <w:rPr>
          <w:rFonts w:ascii="Arial" w:hAnsi="Arial" w:cs="Arial"/>
        </w:rPr>
        <w:t xml:space="preserve">that </w:t>
      </w:r>
      <w:r w:rsidR="00DC1C53">
        <w:rPr>
          <w:rFonts w:ascii="Arial" w:hAnsi="Arial" w:cs="Arial"/>
        </w:rPr>
        <w:t xml:space="preserve">were not recorded in previous surveys were collected: seedling density, canopy openness, soil </w:t>
      </w:r>
      <w:r w:rsidR="00D644F8">
        <w:rPr>
          <w:rFonts w:ascii="Arial" w:hAnsi="Arial" w:cs="Arial"/>
        </w:rPr>
        <w:t>characteristics</w:t>
      </w:r>
      <w:r w:rsidR="00D4426B">
        <w:rPr>
          <w:rFonts w:ascii="Arial" w:hAnsi="Arial" w:cs="Arial"/>
        </w:rPr>
        <w:t>, and</w:t>
      </w:r>
      <w:r w:rsidR="00DC1C53">
        <w:rPr>
          <w:rFonts w:ascii="Arial" w:hAnsi="Arial" w:cs="Arial"/>
        </w:rPr>
        <w:t xml:space="preserve"> herbivore pressure. T</w:t>
      </w:r>
      <w:r>
        <w:rPr>
          <w:rFonts w:ascii="Arial" w:hAnsi="Arial" w:cs="Arial"/>
        </w:rPr>
        <w:t xml:space="preserve">he density of tree seedlings </w:t>
      </w:r>
      <w:r w:rsidR="00DC1C53">
        <w:rPr>
          <w:rFonts w:ascii="Arial" w:hAnsi="Arial" w:cs="Arial"/>
        </w:rPr>
        <w:t xml:space="preserve">of all species present </w:t>
      </w:r>
      <w:r>
        <w:rPr>
          <w:rFonts w:ascii="Arial" w:hAnsi="Arial" w:cs="Arial"/>
        </w:rPr>
        <w:t xml:space="preserve">in 10 x 10 m plots located in the centre of the 20 x 20 m plots was recorded. In addition the canopy openness of plots was assessed using a concave spherical densitometer in all </w:t>
      </w:r>
      <w:r w:rsidR="00AC7BB4">
        <w:rPr>
          <w:rFonts w:ascii="Arial" w:hAnsi="Arial" w:cs="Arial"/>
        </w:rPr>
        <w:t xml:space="preserve">four </w:t>
      </w:r>
      <w:r>
        <w:rPr>
          <w:rFonts w:ascii="Arial" w:hAnsi="Arial" w:cs="Arial"/>
        </w:rPr>
        <w:t xml:space="preserve">corners and the centre of 20 x 20 m plots. </w:t>
      </w:r>
      <w:r w:rsidR="00D4426B">
        <w:rPr>
          <w:rFonts w:ascii="Arial" w:hAnsi="Arial" w:cs="Arial"/>
        </w:rPr>
        <w:t xml:space="preserve">The mean of these measurements for each subplot was subsequently calculated for use analyses. </w:t>
      </w:r>
      <w:r w:rsidR="008B325C">
        <w:rPr>
          <w:rFonts w:ascii="Arial" w:hAnsi="Arial" w:cs="Arial"/>
        </w:rPr>
        <w:t>T</w:t>
      </w:r>
      <w:r w:rsidR="00D4426B">
        <w:rPr>
          <w:rFonts w:ascii="Arial" w:hAnsi="Arial" w:cs="Arial"/>
        </w:rPr>
        <w:t>he soil type</w:t>
      </w:r>
      <w:r w:rsidR="00DC1C53">
        <w:rPr>
          <w:rFonts w:ascii="Arial" w:hAnsi="Arial" w:cs="Arial"/>
        </w:rPr>
        <w:t xml:space="preserve"> in each </w:t>
      </w:r>
      <w:r w:rsidR="00D4426B">
        <w:rPr>
          <w:rFonts w:ascii="Arial" w:hAnsi="Arial" w:cs="Arial"/>
        </w:rPr>
        <w:t>sub</w:t>
      </w:r>
      <w:r w:rsidR="00DC1C53">
        <w:rPr>
          <w:rFonts w:ascii="Arial" w:hAnsi="Arial" w:cs="Arial"/>
        </w:rPr>
        <w:t xml:space="preserve">plot </w:t>
      </w:r>
      <w:r w:rsidR="00D4426B">
        <w:rPr>
          <w:rFonts w:ascii="Arial" w:hAnsi="Arial" w:cs="Arial"/>
        </w:rPr>
        <w:t>was</w:t>
      </w:r>
      <w:r w:rsidR="00DC1C53">
        <w:rPr>
          <w:rFonts w:ascii="Arial" w:hAnsi="Arial" w:cs="Arial"/>
        </w:rPr>
        <w:t xml:space="preserve"> assessed by </w:t>
      </w:r>
      <w:r w:rsidR="008B325C">
        <w:rPr>
          <w:rFonts w:ascii="Arial" w:hAnsi="Arial" w:cs="Arial"/>
        </w:rPr>
        <w:t xml:space="preserve">collecting 3 soil </w:t>
      </w:r>
      <w:r w:rsidR="00DC1C53">
        <w:rPr>
          <w:rFonts w:ascii="Arial" w:hAnsi="Arial" w:cs="Arial"/>
        </w:rPr>
        <w:t>sampl</w:t>
      </w:r>
      <w:r w:rsidR="008B325C">
        <w:rPr>
          <w:rFonts w:ascii="Arial" w:hAnsi="Arial" w:cs="Arial"/>
        </w:rPr>
        <w:t>es</w:t>
      </w:r>
      <w:r w:rsidR="00DC1C53">
        <w:rPr>
          <w:rFonts w:ascii="Arial" w:hAnsi="Arial" w:cs="Arial"/>
        </w:rPr>
        <w:t xml:space="preserve"> fro</w:t>
      </w:r>
      <w:r w:rsidR="00D644F8">
        <w:rPr>
          <w:rFonts w:ascii="Arial" w:hAnsi="Arial" w:cs="Arial"/>
        </w:rPr>
        <w:t xml:space="preserve">m within each 20 x 20m </w:t>
      </w:r>
      <w:r w:rsidR="00D4426B">
        <w:rPr>
          <w:rFonts w:ascii="Arial" w:hAnsi="Arial" w:cs="Arial"/>
        </w:rPr>
        <w:t>sub</w:t>
      </w:r>
      <w:r w:rsidR="00D644F8">
        <w:rPr>
          <w:rFonts w:ascii="Arial" w:hAnsi="Arial" w:cs="Arial"/>
        </w:rPr>
        <w:t>plot</w:t>
      </w:r>
      <w:r w:rsidR="008B325C">
        <w:rPr>
          <w:rFonts w:ascii="Arial" w:hAnsi="Arial" w:cs="Arial"/>
        </w:rPr>
        <w:t xml:space="preserve"> using a 5 cm diameter soil corer</w:t>
      </w:r>
      <w:r w:rsidR="00D644F8">
        <w:rPr>
          <w:rFonts w:ascii="Arial" w:hAnsi="Arial" w:cs="Arial"/>
        </w:rPr>
        <w:t xml:space="preserve">. </w:t>
      </w:r>
      <w:r w:rsidR="00D4426B">
        <w:rPr>
          <w:rFonts w:ascii="Arial" w:hAnsi="Arial" w:cs="Arial"/>
        </w:rPr>
        <w:t>T</w:t>
      </w:r>
      <w:r w:rsidR="008B325C">
        <w:rPr>
          <w:rFonts w:ascii="Arial" w:hAnsi="Arial" w:cs="Arial"/>
        </w:rPr>
        <w:t>he fi</w:t>
      </w:r>
      <w:r w:rsidR="00EC6403">
        <w:rPr>
          <w:rFonts w:ascii="Arial" w:hAnsi="Arial" w:cs="Arial"/>
        </w:rPr>
        <w:t>r</w:t>
      </w:r>
      <w:r w:rsidR="008B325C">
        <w:rPr>
          <w:rFonts w:ascii="Arial" w:hAnsi="Arial" w:cs="Arial"/>
        </w:rPr>
        <w:t>st 20 cm of</w:t>
      </w:r>
      <w:r w:rsidR="00D4426B">
        <w:rPr>
          <w:rFonts w:ascii="Arial" w:hAnsi="Arial" w:cs="Arial"/>
        </w:rPr>
        <w:t xml:space="preserve"> the mineral layer was retained. S</w:t>
      </w:r>
      <w:r w:rsidR="00D644F8">
        <w:rPr>
          <w:rFonts w:ascii="Arial" w:hAnsi="Arial" w:cs="Arial"/>
        </w:rPr>
        <w:t xml:space="preserve">oil samples were sent to the Forest </w:t>
      </w:r>
      <w:r w:rsidR="00D4426B">
        <w:rPr>
          <w:rFonts w:ascii="Arial" w:hAnsi="Arial" w:cs="Arial"/>
        </w:rPr>
        <w:t xml:space="preserve">Research laboratories in </w:t>
      </w:r>
      <w:r w:rsidR="00EC6403">
        <w:rPr>
          <w:rFonts w:ascii="Arial" w:hAnsi="Arial" w:cs="Arial"/>
        </w:rPr>
        <w:t>Surrey</w:t>
      </w:r>
      <w:r w:rsidR="00D4426B">
        <w:rPr>
          <w:rFonts w:ascii="Arial" w:hAnsi="Arial" w:cs="Arial"/>
        </w:rPr>
        <w:t>, UK</w:t>
      </w:r>
      <w:r w:rsidR="00EC6403">
        <w:rPr>
          <w:rFonts w:ascii="Arial" w:hAnsi="Arial" w:cs="Arial"/>
        </w:rPr>
        <w:t xml:space="preserve"> </w:t>
      </w:r>
      <w:r w:rsidR="00D644F8">
        <w:rPr>
          <w:rFonts w:ascii="Arial" w:hAnsi="Arial" w:cs="Arial"/>
        </w:rPr>
        <w:t xml:space="preserve">where particle size distribution of the soil was determined by suspending 30 g of soil in water which was passed through the flow cell of a laser diffraction particle size analyser </w:t>
      </w:r>
      <w:r w:rsidR="00D644F8" w:rsidRPr="00D644F8">
        <w:rPr>
          <w:rFonts w:ascii="Arial" w:hAnsi="Arial" w:cs="Arial"/>
        </w:rPr>
        <w:t>(Beckman Coulter LS13320</w:t>
      </w:r>
      <w:r w:rsidR="008B325C">
        <w:rPr>
          <w:rFonts w:ascii="Arial" w:hAnsi="Arial" w:cs="Arial"/>
        </w:rPr>
        <w:t xml:space="preserve">). </w:t>
      </w:r>
      <w:r w:rsidR="00D644F8">
        <w:rPr>
          <w:rFonts w:ascii="Arial" w:hAnsi="Arial" w:cs="Arial"/>
        </w:rPr>
        <w:t xml:space="preserve">To estimate herbivore abundance a manual dung count was carried out in each sub-plot </w:t>
      </w:r>
      <w:r w:rsidR="005F05BA">
        <w:rPr>
          <w:rFonts w:ascii="Arial" w:hAnsi="Arial" w:cs="Arial"/>
        </w:rPr>
        <w:t xml:space="preserve">following the commonly used faecal standing crop method </w:t>
      </w:r>
      <w:r w:rsidR="005F05BA">
        <w:rPr>
          <w:rFonts w:ascii="Arial" w:hAnsi="Arial" w:cs="Arial"/>
        </w:rPr>
        <w:fldChar w:fldCharType="begin" w:fldLock="1"/>
      </w:r>
      <w:r w:rsidR="008B325C">
        <w:rPr>
          <w:rFonts w:ascii="Arial" w:hAnsi="Arial" w:cs="Arial"/>
        </w:rPr>
        <w:instrText>ADDIN CSL_CITATION { "citationItems" : [ { "id" : "ITEM-1", "itemData" : { "DOI" : "10.1046/j.1365-2664.2001.00584.x", "ISSN" : "0021-8901", "author" : [ { "dropping-particle" : "", "family" : "Marques", "given" : "Fernanda F.C.", "non-dropping-particle" : "", "parse-names" : false, "suffix" : "" }, { "dropping-particle" : "", "family" : "Buckland", "given" : "Stephen T.", "non-dropping-particle" : "", "parse-names" : false, "suffix" : "" }, { "dropping-particle" : "", "family" : "Goffin", "given" : "David", "non-dropping-particle" : "", "parse-names" : false, "suffix" : "" }, { "dropping-particle" : "", "family" : "Dixon", "given" : "Camilla E.", "non-dropping-particle" : "", "parse-names" : false, "suffix" : "" }, { "dropping-particle" : "", "family" : "Borchers", "given" : "David L.", "non-dropping-particle" : "", "parse-names" : false, "suffix" : "" }, { "dropping-particle" : "", "family" : "Mayle", "given" : "Brenda A.", "non-dropping-particle" : "", "parse-names" : false, "suffix" : "" }, { "dropping-particle" : "", "family" : "Peace", "given" : "Andrew J.", "non-dropping-particle" : "", "parse-names" : false, "suffix" : "" } ], "container-title" : "Journal of Applied Ecology", "id" : "ITEM-1", "issue" : "2", "issued" : { "date-parts" : [ [ "2001", "4" ] ] }, "page" : "349-363", "title" : "Estimating deer abundance from line transect surveys of dung: sika deer in southern Scotland", "type" : "article-journal", "volume" : "38" }, "uris" : [ "http://www.mendeley.com/documents/?uuid=a3dba351-d98c-46d0-aea3-6fa1f162483a" ] }, { "id" : "ITEM-2", "itemData" : { "DOI" : "10.1111/j.0021-8901.2004.00964.x", "ISSN" : "00218901", "author" : [ { "dropping-particle" : "", "family" : "Campbell", "given" : "D.", "non-dropping-particle" : "", "parse-names" : false, "suffix" : "" }, { "dropping-particle" : "", "family" : "Swanson", "given" : "G. M.", "non-dropping-particle" : "", "parse-names" : false, "suffix" : "" }, { "dropping-particle" : "", "family" : "Sales", "given" : "J.", "non-dropping-particle" : "", "parse-names" : false, "suffix" : "" } ], "container-title" : "Journal of Applied Ecology", "id" : "ITEM-2", "issue" : "6", "issued" : { "date-parts" : [ [ "2004", "12", "9" ] ] }, "page" : "1185-1196", "title" : "Methodological insights: Comparing the precision and cost-effectiveness of faecal pellet group count methods", "type" : "article-journal", "volume" : "41" }, "uris" : [ "http://www.mendeley.com/documents/?uuid=a7993039-be95-458f-a474-ebbab9a1abe8" ] } ], "mendeley" : { "formattedCitation" : "(Marques &lt;i&gt;et al.&lt;/i&gt; 2001; Campbell, Swanson &amp; Sales 2004)", "plainTextFormattedCitation" : "(Marques et al. 2001; Campbell, Swanson &amp; Sales 2004)", "previouslyFormattedCitation" : "(Marques &lt;i&gt;et al.&lt;/i&gt; 2001; Campbell, Swanson &amp; Sales 2004)" }, "properties" : { "noteIndex" : 0 }, "schema" : "https://github.com/citation-style-language/schema/raw/master/csl-citation.json" }</w:instrText>
      </w:r>
      <w:r w:rsidR="005F05BA">
        <w:rPr>
          <w:rFonts w:ascii="Arial" w:hAnsi="Arial" w:cs="Arial"/>
        </w:rPr>
        <w:fldChar w:fldCharType="separate"/>
      </w:r>
      <w:r w:rsidR="008B325C" w:rsidRPr="008B325C">
        <w:rPr>
          <w:rFonts w:ascii="Arial" w:hAnsi="Arial" w:cs="Arial"/>
          <w:noProof/>
        </w:rPr>
        <w:t xml:space="preserve">(Marques </w:t>
      </w:r>
      <w:r w:rsidR="008B325C" w:rsidRPr="008B325C">
        <w:rPr>
          <w:rFonts w:ascii="Arial" w:hAnsi="Arial" w:cs="Arial"/>
          <w:i/>
          <w:noProof/>
        </w:rPr>
        <w:t>et al.</w:t>
      </w:r>
      <w:r w:rsidR="008B325C" w:rsidRPr="008B325C">
        <w:rPr>
          <w:rFonts w:ascii="Arial" w:hAnsi="Arial" w:cs="Arial"/>
          <w:noProof/>
        </w:rPr>
        <w:t xml:space="preserve"> 2001; Campbell, Swanson &amp; Sales 2004)</w:t>
      </w:r>
      <w:r w:rsidR="005F05BA">
        <w:rPr>
          <w:rFonts w:ascii="Arial" w:hAnsi="Arial" w:cs="Arial"/>
        </w:rPr>
        <w:fldChar w:fldCharType="end"/>
      </w:r>
      <w:r w:rsidR="00D644F8">
        <w:rPr>
          <w:rFonts w:ascii="Arial" w:hAnsi="Arial" w:cs="Arial"/>
        </w:rPr>
        <w:t xml:space="preserve">. </w:t>
      </w:r>
      <w:r w:rsidR="005F05BA" w:rsidRPr="00D644F8">
        <w:rPr>
          <w:rFonts w:ascii="Arial" w:hAnsi="Arial" w:cs="Arial"/>
        </w:rPr>
        <w:t>Following</w:t>
      </w:r>
      <w:r w:rsidR="005F05BA">
        <w:rPr>
          <w:rFonts w:ascii="Arial" w:hAnsi="Arial" w:cs="Arial"/>
        </w:rPr>
        <w:t xml:space="preserve"> </w:t>
      </w:r>
      <w:r w:rsidR="005F05BA">
        <w:rPr>
          <w:rFonts w:ascii="Arial" w:hAnsi="Arial" w:cs="Arial"/>
        </w:rPr>
        <w:fldChar w:fldCharType="begin" w:fldLock="1"/>
      </w:r>
      <w:r w:rsidR="005F05BA">
        <w:rPr>
          <w:rFonts w:ascii="Arial" w:hAnsi="Arial" w:cs="Arial"/>
        </w:rPr>
        <w:instrText>ADDIN CSL_CITATION { "citationItems" : [ { "id" : "ITEM-1", "itemData" : { "DOI" : "10.1111/j.1365-2664.2008.01512.x", "ISSN" : "00218901", "author" : [ { "dropping-particle" : "", "family" : "Jenkins", "given" : "K. J.", "non-dropping-particle" : "", "parse-names" : false, "suffix" : "" }, { "dropping-particle" : "", "family" : "Manly", "given" : "B. F. J.", "non-dropping-particle" : "", "parse-names" : false, "suffix" : "" } ], "container-title" : "Journal of Applied Ecology", "id" : "ITEM-1", "issue" : "5", "issued" : { "date-parts" : [ [ "2008", "10" ] ] }, "page" : "1339-1348", "title" : "A double-observer method for reducing bias in faecal pellet surveys of forest ungulates", "type" : "article-journal", "volume" : "45" }, "uris" : [ "http://www.mendeley.com/documents/?uuid=f30863f0-247f-471c-9072-e17b201a5acf" ] } ], "mendeley" : { "formattedCitation" : "(Jenkins &amp; Manly 2008)", "manualFormatting" : "Jenkins &amp; Manly (2008)", "plainTextFormattedCitation" : "(Jenkins &amp; Manly 2008)", "previouslyFormattedCitation" : "(Jenkins &amp; Manly 2008)" }, "properties" : { "noteIndex" : 0 }, "schema" : "https://github.com/citation-style-language/schema/raw/master/csl-citation.json" }</w:instrText>
      </w:r>
      <w:r w:rsidR="005F05BA">
        <w:rPr>
          <w:rFonts w:ascii="Arial" w:hAnsi="Arial" w:cs="Arial"/>
        </w:rPr>
        <w:fldChar w:fldCharType="separate"/>
      </w:r>
      <w:r w:rsidR="005F05BA" w:rsidRPr="005F05BA">
        <w:rPr>
          <w:rFonts w:ascii="Arial" w:hAnsi="Arial" w:cs="Arial"/>
          <w:noProof/>
        </w:rPr>
        <w:t xml:space="preserve">Jenkins &amp; Manly </w:t>
      </w:r>
      <w:r w:rsidR="005F05BA">
        <w:rPr>
          <w:rFonts w:ascii="Arial" w:hAnsi="Arial" w:cs="Arial"/>
          <w:noProof/>
        </w:rPr>
        <w:t>(</w:t>
      </w:r>
      <w:r w:rsidR="005F05BA" w:rsidRPr="005F05BA">
        <w:rPr>
          <w:rFonts w:ascii="Arial" w:hAnsi="Arial" w:cs="Arial"/>
          <w:noProof/>
        </w:rPr>
        <w:t>2008)</w:t>
      </w:r>
      <w:r w:rsidR="005F05BA">
        <w:rPr>
          <w:rFonts w:ascii="Arial" w:hAnsi="Arial" w:cs="Arial"/>
        </w:rPr>
        <w:fldChar w:fldCharType="end"/>
      </w:r>
      <w:r w:rsidR="00D4426B">
        <w:rPr>
          <w:rFonts w:ascii="Arial" w:hAnsi="Arial" w:cs="Arial"/>
        </w:rPr>
        <w:t>, the individual pellets/</w:t>
      </w:r>
      <w:r w:rsidR="005F05BA" w:rsidRPr="00D644F8">
        <w:rPr>
          <w:rFonts w:ascii="Arial" w:hAnsi="Arial" w:cs="Arial"/>
        </w:rPr>
        <w:t>bolus and their condition were recorded.</w:t>
      </w:r>
      <w:r w:rsidR="005F05BA">
        <w:rPr>
          <w:rFonts w:ascii="Arial" w:hAnsi="Arial" w:cs="Arial"/>
        </w:rPr>
        <w:t xml:space="preserve"> The faecal matter of different animal species was recorded separately. The condition of each dung patch was classified as one of 4 groups:</w:t>
      </w:r>
    </w:p>
    <w:p w:rsidR="00D644F8" w:rsidRPr="005F05BA" w:rsidRDefault="00D644F8" w:rsidP="00DE059E">
      <w:pPr>
        <w:pStyle w:val="ListParagraph"/>
        <w:numPr>
          <w:ilvl w:val="0"/>
          <w:numId w:val="10"/>
        </w:numPr>
        <w:spacing w:line="360" w:lineRule="auto"/>
        <w:rPr>
          <w:rFonts w:ascii="Arial" w:hAnsi="Arial" w:cs="Arial"/>
        </w:rPr>
      </w:pPr>
      <w:r w:rsidRPr="005F05BA">
        <w:rPr>
          <w:rFonts w:ascii="Arial" w:hAnsi="Arial" w:cs="Arial"/>
        </w:rPr>
        <w:t>surface smooth and shiny, interior firm;</w:t>
      </w:r>
    </w:p>
    <w:p w:rsidR="00D644F8" w:rsidRPr="005F05BA" w:rsidRDefault="00D644F8" w:rsidP="00DE059E">
      <w:pPr>
        <w:pStyle w:val="ListParagraph"/>
        <w:numPr>
          <w:ilvl w:val="0"/>
          <w:numId w:val="10"/>
        </w:numPr>
        <w:spacing w:line="360" w:lineRule="auto"/>
        <w:rPr>
          <w:rFonts w:ascii="Arial" w:hAnsi="Arial" w:cs="Arial"/>
        </w:rPr>
      </w:pPr>
      <w:r w:rsidRPr="005F05BA">
        <w:rPr>
          <w:rFonts w:ascii="Arial" w:hAnsi="Arial" w:cs="Arial"/>
        </w:rPr>
        <w:t>dung surface pitted, interior friable (easily crumbled), &lt; 10% of pellets/ bolus partially decomposed;</w:t>
      </w:r>
    </w:p>
    <w:p w:rsidR="00D644F8" w:rsidRPr="005F05BA" w:rsidRDefault="00D644F8" w:rsidP="00DE059E">
      <w:pPr>
        <w:pStyle w:val="ListParagraph"/>
        <w:numPr>
          <w:ilvl w:val="0"/>
          <w:numId w:val="10"/>
        </w:numPr>
        <w:spacing w:line="360" w:lineRule="auto"/>
        <w:rPr>
          <w:rFonts w:ascii="Arial" w:hAnsi="Arial" w:cs="Arial"/>
        </w:rPr>
      </w:pPr>
      <w:r w:rsidRPr="005F05BA">
        <w:rPr>
          <w:rFonts w:ascii="Arial" w:hAnsi="Arial" w:cs="Arial"/>
        </w:rPr>
        <w:t>dung surface cracked, 10–50% of pellets/ bolus partially or completely decomposed;</w:t>
      </w:r>
    </w:p>
    <w:p w:rsidR="00D644F8" w:rsidRPr="008B325C" w:rsidRDefault="00D644F8" w:rsidP="00DE059E">
      <w:pPr>
        <w:pStyle w:val="ListParagraph"/>
        <w:numPr>
          <w:ilvl w:val="0"/>
          <w:numId w:val="10"/>
        </w:numPr>
        <w:spacing w:line="360" w:lineRule="auto"/>
        <w:rPr>
          <w:rFonts w:ascii="Arial" w:hAnsi="Arial" w:cs="Arial"/>
        </w:rPr>
      </w:pPr>
      <w:r w:rsidRPr="005F05BA">
        <w:rPr>
          <w:rFonts w:ascii="Arial" w:hAnsi="Arial" w:cs="Arial"/>
        </w:rPr>
        <w:t>&gt; 50% of pellets/ bolus partially or completely decomposed.</w:t>
      </w:r>
    </w:p>
    <w:p w:rsidR="00D644F8" w:rsidRDefault="00D644F8" w:rsidP="00DE059E">
      <w:pPr>
        <w:spacing w:line="360" w:lineRule="auto"/>
        <w:contextualSpacing/>
        <w:rPr>
          <w:rFonts w:ascii="Arial" w:hAnsi="Arial" w:cs="Arial"/>
        </w:rPr>
      </w:pPr>
    </w:p>
    <w:p w:rsidR="00AC7BB4" w:rsidRPr="00AC7BB4" w:rsidRDefault="00AC7BB4" w:rsidP="00DE059E">
      <w:pPr>
        <w:spacing w:line="360" w:lineRule="auto"/>
        <w:contextualSpacing/>
        <w:rPr>
          <w:rFonts w:ascii="Arial" w:hAnsi="Arial" w:cs="Arial"/>
          <w:b/>
        </w:rPr>
      </w:pPr>
      <w:r w:rsidRPr="00AC7BB4">
        <w:rPr>
          <w:rFonts w:ascii="Arial" w:hAnsi="Arial" w:cs="Arial"/>
          <w:b/>
        </w:rPr>
        <w:t>Statistical analysis</w:t>
      </w:r>
    </w:p>
    <w:p w:rsidR="00214A19" w:rsidRDefault="00214A19" w:rsidP="00DE059E">
      <w:pPr>
        <w:spacing w:line="360" w:lineRule="auto"/>
        <w:contextualSpacing/>
        <w:rPr>
          <w:rFonts w:ascii="Arial" w:hAnsi="Arial" w:cs="Arial"/>
        </w:rPr>
      </w:pPr>
    </w:p>
    <w:p w:rsidR="00214A19" w:rsidRDefault="00214A19" w:rsidP="00DE059E">
      <w:pPr>
        <w:spacing w:line="360" w:lineRule="auto"/>
        <w:contextualSpacing/>
        <w:rPr>
          <w:rFonts w:ascii="Arial" w:hAnsi="Arial" w:cs="Arial"/>
          <w:b/>
        </w:rPr>
      </w:pPr>
      <w:r w:rsidRPr="00214A19">
        <w:rPr>
          <w:rFonts w:ascii="Arial" w:hAnsi="Arial" w:cs="Arial"/>
          <w:b/>
        </w:rPr>
        <w:t>Individual tree mortality</w:t>
      </w:r>
    </w:p>
    <w:p w:rsidR="00EC6403" w:rsidRDefault="00EC6403" w:rsidP="00DE059E">
      <w:pPr>
        <w:spacing w:line="360" w:lineRule="auto"/>
        <w:contextualSpacing/>
        <w:rPr>
          <w:rFonts w:ascii="Arial" w:hAnsi="Arial" w:cs="Arial"/>
        </w:rPr>
      </w:pPr>
      <w:r>
        <w:rPr>
          <w:rFonts w:ascii="Arial" w:hAnsi="Arial" w:cs="Arial"/>
          <w:b/>
        </w:rPr>
        <w:tab/>
      </w:r>
      <w:r>
        <w:rPr>
          <w:rFonts w:ascii="Arial" w:hAnsi="Arial" w:cs="Arial"/>
        </w:rPr>
        <w:t xml:space="preserve">To determine whether some of the mortality observed in Denny wood could be explained by </w:t>
      </w:r>
      <w:r w:rsidR="00B17487">
        <w:rPr>
          <w:rFonts w:ascii="Arial" w:hAnsi="Arial" w:cs="Arial"/>
        </w:rPr>
        <w:t>the self-thinning process we produced a statistical model of the relationship between log subplot stem density and log subplot basal area. To do this we used a linear mixed model with subplot number as a random effect to relate stem density to basal area. A negative slope suggests a gain in BA with a loss of stem density while a positive slope suggests a gain in BA with in</w:t>
      </w:r>
      <w:r w:rsidR="00D4426B">
        <w:rPr>
          <w:rFonts w:ascii="Arial" w:hAnsi="Arial" w:cs="Arial"/>
        </w:rPr>
        <w:t>creasing</w:t>
      </w:r>
      <w:r w:rsidR="00B17487">
        <w:rPr>
          <w:rFonts w:ascii="Arial" w:hAnsi="Arial" w:cs="Arial"/>
        </w:rPr>
        <w:t xml:space="preserve"> stem density.</w:t>
      </w:r>
    </w:p>
    <w:p w:rsidR="00C3761E" w:rsidRPr="00C3761E" w:rsidRDefault="00C3761E" w:rsidP="00C3761E">
      <w:pPr>
        <w:spacing w:line="360" w:lineRule="auto"/>
        <w:ind w:firstLine="720"/>
        <w:contextualSpacing/>
        <w:rPr>
          <w:rFonts w:ascii="Arial" w:eastAsiaTheme="minorEastAsia" w:hAnsi="Arial" w:cs="Arial"/>
        </w:rPr>
      </w:pPr>
      <w:r>
        <w:rPr>
          <w:rFonts w:ascii="Arial" w:hAnsi="Arial" w:cs="Arial"/>
        </w:rPr>
        <w:t xml:space="preserve">During data processing tree status (alive or dead) was coded at census </w:t>
      </w:r>
      <w:proofErr w:type="gramStart"/>
      <w:r>
        <w:rPr>
          <w:rFonts w:ascii="Arial" w:hAnsi="Arial" w:cs="Arial"/>
        </w:rPr>
        <w:t xml:space="preserve">time </w:t>
      </w:r>
      <w:proofErr w:type="gramEnd"/>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Pr>
          <w:rFonts w:ascii="Arial" w:eastAsiaTheme="minorEastAsia" w:hAnsi="Arial" w:cs="Arial"/>
        </w:rPr>
        <w:t xml:space="preserve">. Only trees with diameter measurements at both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xml:space="preserve"> prior to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Pr>
          <w:rFonts w:ascii="Arial" w:eastAsiaTheme="minorEastAsia" w:hAnsi="Arial" w:cs="Arial"/>
        </w:rPr>
        <w:t xml:space="preserve"> were included in analyses. Censuses on </w:t>
      </w:r>
      <w:proofErr w:type="gramStart"/>
      <w:r>
        <w:rPr>
          <w:rFonts w:ascii="Arial" w:eastAsiaTheme="minorEastAsia" w:hAnsi="Arial" w:cs="Arial"/>
        </w:rPr>
        <w:t>the transect</w:t>
      </w:r>
      <w:proofErr w:type="gramEnd"/>
      <w:r>
        <w:rPr>
          <w:rFonts w:ascii="Arial" w:eastAsiaTheme="minorEastAsia" w:hAnsi="Arial" w:cs="Arial"/>
        </w:rPr>
        <w:t xml:space="preserve"> were undertaken 5 times from 1964-2014 with a mean (± SD) census interval period of 12.5 ± 6.7 years (range 4-20 years). Since trees used in </w:t>
      </w:r>
      <w:r>
        <w:rPr>
          <w:rFonts w:ascii="Arial" w:eastAsiaTheme="minorEastAsia" w:hAnsi="Arial" w:cs="Arial"/>
        </w:rPr>
        <w:lastRenderedPageBreak/>
        <w:t xml:space="preserve">mortality models required censuses at both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xml:space="preserve"> prior to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Pr>
          <w:rFonts w:ascii="Arial" w:eastAsiaTheme="minorEastAsia" w:hAnsi="Arial" w:cs="Arial"/>
        </w:rPr>
        <w:t xml:space="preserve"> we selected three non-overlapping census periods: 1984-1988, 1988-1996 and 1996-2014 (mean census period 10 ± 5.9 years). </w:t>
      </w:r>
      <w:r w:rsidR="00493D40" w:rsidRPr="00493D40">
        <w:rPr>
          <w:rFonts w:ascii="Arial" w:eastAsiaTheme="minorEastAsia" w:hAnsi="Arial" w:cs="Arial"/>
        </w:rPr>
        <w:t xml:space="preserve">Statistical models of individual tree mortality were developed using logistic mixed effects models, which describe the probability that a tree dies in a given period of time. </w:t>
      </w:r>
      <w:r>
        <w:rPr>
          <w:rFonts w:ascii="Arial" w:eastAsiaTheme="minorEastAsia" w:hAnsi="Arial" w:cs="Arial"/>
        </w:rPr>
        <w:t>To correct for the variation in census interval w</w:t>
      </w:r>
      <w:r w:rsidRPr="00E46DB5">
        <w:rPr>
          <w:rFonts w:ascii="Arial" w:eastAsiaTheme="minorEastAsia" w:hAnsi="Arial" w:cs="Arial"/>
        </w:rPr>
        <w:t xml:space="preserve">e used a complementary log-log link with an offset </w:t>
      </w:r>
      <w:r>
        <w:rPr>
          <w:rFonts w:ascii="Arial" w:eastAsiaTheme="minorEastAsia" w:hAnsi="Arial" w:cs="Arial"/>
        </w:rPr>
        <w:t xml:space="preserve">equal to the census interval so that predictions from models were equivalent to the annual probability of mortality </w:t>
      </w:r>
      <w:r>
        <w:rPr>
          <w:rFonts w:ascii="Arial" w:eastAsiaTheme="minorEastAsia" w:hAnsi="Arial" w:cs="Arial"/>
        </w:rPr>
        <w:fldChar w:fldCharType="begin" w:fldLock="1"/>
      </w:r>
      <w:r>
        <w:rPr>
          <w:rFonts w:ascii="Arial" w:eastAsiaTheme="minorEastAsia" w:hAnsi="Arial" w:cs="Arial"/>
        </w:rPr>
        <w:instrText>ADDIN CSL_CITATION { "citationItems" : [ { "id" : "ITEM-1", "itemData" : { "DOI" : "10.1051/forest", "author" : [ { "dropping-particle" : "", "family" : "Fortin", "given" : "M.", "non-dropping-particle" : "", "parse-names" : false, "suffix" : "" }, { "dropping-particle" : "", "family" : "Bedard", "given" : "S.", "non-dropping-particle" : "", "parse-names" : false, "suffix" : "" }, { "dropping-particle" : "", "family" : "DeBlois", "given" : "J.", "non-dropping-particle" : "", "parse-names" : false, "suffix" : "" }, { "dropping-particle" : "", "family" : "Meunier", "given" : "S.", "non-dropping-particle" : "", "parse-names" : false, "suffix" : "" } ], "container-title" : "Annals of Forest Science", "id" : "ITEM-1", "issued" : { "date-parts" : [ [ "2008" ] ] }, "page" : "205", "title" : "Predicting individual tree mortality in northern hardwood stands under uneven-aged management in southern Qu\u00e9bec , Canada", "type" : "article-journal", "volume" : "65" }, "uris" : [ "http://www.mendeley.com/documents/?uuid=c3b67977-d3e1-4d51-a2da-d9c0b0bdfd70" ] } ], "mendeley" : { "formattedCitation" : "(Fortin &lt;i&gt;et al.&lt;/i&gt; 2008)", "plainTextFormattedCitation" : "(Fortin et al. 2008)", "previouslyFormattedCitation" : "(Fortin &lt;i&gt;et al.&lt;/i&gt; 2008)" }, "properties" : { "noteIndex" : 0 }, "schema" : "https://github.com/citation-style-language/schema/raw/master/csl-citation.json" }</w:instrText>
      </w:r>
      <w:r>
        <w:rPr>
          <w:rFonts w:ascii="Arial" w:eastAsiaTheme="minorEastAsia" w:hAnsi="Arial" w:cs="Arial"/>
        </w:rPr>
        <w:fldChar w:fldCharType="separate"/>
      </w:r>
      <w:r w:rsidRPr="008B325C">
        <w:rPr>
          <w:rFonts w:ascii="Arial" w:eastAsiaTheme="minorEastAsia" w:hAnsi="Arial" w:cs="Arial"/>
          <w:noProof/>
        </w:rPr>
        <w:t xml:space="preserve">(Fortin </w:t>
      </w:r>
      <w:r w:rsidRPr="008B325C">
        <w:rPr>
          <w:rFonts w:ascii="Arial" w:eastAsiaTheme="minorEastAsia" w:hAnsi="Arial" w:cs="Arial"/>
          <w:i/>
          <w:noProof/>
        </w:rPr>
        <w:t>et al.</w:t>
      </w:r>
      <w:r w:rsidRPr="008B325C">
        <w:rPr>
          <w:rFonts w:ascii="Arial" w:eastAsiaTheme="minorEastAsia" w:hAnsi="Arial" w:cs="Arial"/>
          <w:noProof/>
        </w:rPr>
        <w:t xml:space="preserve"> 2008)</w:t>
      </w:r>
      <w:r>
        <w:rPr>
          <w:rFonts w:ascii="Arial" w:eastAsiaTheme="minorEastAsia" w:hAnsi="Arial" w:cs="Arial"/>
        </w:rPr>
        <w:fldChar w:fldCharType="end"/>
      </w:r>
      <w:r w:rsidRPr="00E46DB5">
        <w:rPr>
          <w:rFonts w:ascii="Arial" w:eastAsiaTheme="minorEastAsia" w:hAnsi="Arial" w:cs="Arial"/>
        </w:rPr>
        <w:t>.</w:t>
      </w:r>
      <w:r>
        <w:rPr>
          <w:rFonts w:ascii="Arial" w:eastAsiaTheme="minorEastAsia" w:hAnsi="Arial" w:cs="Arial"/>
        </w:rPr>
        <w:t xml:space="preserve"> Sub</w:t>
      </w:r>
      <w:r w:rsidRPr="00C3761E">
        <w:rPr>
          <w:rFonts w:ascii="Arial" w:eastAsiaTheme="minorEastAsia" w:hAnsi="Arial" w:cs="Arial"/>
        </w:rPr>
        <w:t xml:space="preserve">plot ID </w:t>
      </w:r>
      <w:r>
        <w:rPr>
          <w:rFonts w:ascii="Arial" w:eastAsiaTheme="minorEastAsia" w:hAnsi="Arial" w:cs="Arial"/>
        </w:rPr>
        <w:t xml:space="preserve">number </w:t>
      </w:r>
      <w:r w:rsidRPr="00C3761E">
        <w:rPr>
          <w:rFonts w:ascii="Arial" w:eastAsiaTheme="minorEastAsia" w:hAnsi="Arial" w:cs="Arial"/>
        </w:rPr>
        <w:t>was used as a random effect to account for repeated sampling of the same plots</w:t>
      </w:r>
      <w:r>
        <w:rPr>
          <w:rFonts w:ascii="Arial" w:eastAsiaTheme="minorEastAsia" w:hAnsi="Arial" w:cs="Arial"/>
        </w:rPr>
        <w:t xml:space="preserve"> </w:t>
      </w:r>
      <w:r>
        <w:rPr>
          <w:rFonts w:ascii="Arial" w:eastAsiaTheme="minorEastAsia" w:hAnsi="Arial" w:cs="Arial"/>
        </w:rPr>
        <w:fldChar w:fldCharType="begin" w:fldLock="1"/>
      </w:r>
      <w:r w:rsidR="00C11569">
        <w:rPr>
          <w:rFonts w:ascii="Arial" w:eastAsiaTheme="minorEastAsia" w:hAnsi="Arial" w:cs="Arial"/>
        </w:rPr>
        <w:instrText>ADDIN CSL_CITATION { "citationItems" : [ { "id" : "ITEM-1", "itemData" : { "DOI" : "10.1051/forest", "author" : [ { "dropping-particle" : "", "family" : "Fortin", "given" : "M.", "non-dropping-particle" : "", "parse-names" : false, "suffix" : "" }, { "dropping-particle" : "", "family" : "Bedard", "given" : "S.", "non-dropping-particle" : "", "parse-names" : false, "suffix" : "" }, { "dropping-particle" : "", "family" : "DeBlois", "given" : "J.", "non-dropping-particle" : "", "parse-names" : false, "suffix" : "" }, { "dropping-particle" : "", "family" : "Meunier", "given" : "S.", "non-dropping-particle" : "", "parse-names" : false, "suffix" : "" } ], "container-title" : "Annals of Forest Science", "id" : "ITEM-1", "issued" : { "date-parts" : [ [ "2008" ] ] }, "page" : "205", "title" : "Predicting individual tree mortality in northern hardwood stands under uneven-aged management in southern Qu\u00e9bec , Canada", "type" : "article-journal", "volume" : "65" }, "uris" : [ "http://www.mendeley.com/documents/?uuid=c3b67977-d3e1-4d51-a2da-d9c0b0bdfd70" ] } ], "mendeley" : { "formattedCitation" : "(Fortin &lt;i&gt;et al.&lt;/i&gt; 2008)", "plainTextFormattedCitation" : "(Fortin et al. 2008)", "previouslyFormattedCitation" : "(Fortin &lt;i&gt;et al.&lt;/i&gt; 2008)" }, "properties" : { "noteIndex" : 0 }, "schema" : "https://github.com/citation-style-language/schema/raw/master/csl-citation.json" }</w:instrText>
      </w:r>
      <w:r>
        <w:rPr>
          <w:rFonts w:ascii="Arial" w:eastAsiaTheme="minorEastAsia" w:hAnsi="Arial" w:cs="Arial"/>
        </w:rPr>
        <w:fldChar w:fldCharType="separate"/>
      </w:r>
      <w:r w:rsidRPr="00C3761E">
        <w:rPr>
          <w:rFonts w:ascii="Arial" w:eastAsiaTheme="minorEastAsia" w:hAnsi="Arial" w:cs="Arial"/>
          <w:noProof/>
        </w:rPr>
        <w:t xml:space="preserve">(Fortin </w:t>
      </w:r>
      <w:r w:rsidRPr="00C3761E">
        <w:rPr>
          <w:rFonts w:ascii="Arial" w:eastAsiaTheme="minorEastAsia" w:hAnsi="Arial" w:cs="Arial"/>
          <w:i/>
          <w:noProof/>
        </w:rPr>
        <w:t>et al.</w:t>
      </w:r>
      <w:r w:rsidRPr="00C3761E">
        <w:rPr>
          <w:rFonts w:ascii="Arial" w:eastAsiaTheme="minorEastAsia" w:hAnsi="Arial" w:cs="Arial"/>
          <w:noProof/>
        </w:rPr>
        <w:t xml:space="preserve"> 2008)</w:t>
      </w:r>
      <w:r>
        <w:rPr>
          <w:rFonts w:ascii="Arial" w:eastAsiaTheme="minorEastAsia" w:hAnsi="Arial" w:cs="Arial"/>
        </w:rPr>
        <w:fldChar w:fldCharType="end"/>
      </w:r>
      <w:r>
        <w:rPr>
          <w:rFonts w:ascii="Arial" w:eastAsiaTheme="minorEastAsia" w:hAnsi="Arial" w:cs="Arial"/>
        </w:rPr>
        <w:t>.</w:t>
      </w:r>
    </w:p>
    <w:p w:rsidR="00C3761E" w:rsidRDefault="00F35515" w:rsidP="00C3761E">
      <w:pPr>
        <w:spacing w:line="360" w:lineRule="auto"/>
        <w:ind w:firstLine="720"/>
        <w:contextualSpacing/>
        <w:rPr>
          <w:rFonts w:ascii="Arial" w:hAnsi="Arial" w:cs="Arial"/>
        </w:rPr>
      </w:pPr>
      <w:r>
        <w:rPr>
          <w:rFonts w:ascii="Arial" w:hAnsi="Arial" w:cs="Arial"/>
        </w:rPr>
        <w:t xml:space="preserve">Models were developed in a four-step process similar to the workflow of </w:t>
      </w:r>
      <w:r>
        <w:rPr>
          <w:rFonts w:ascii="Arial" w:hAnsi="Arial" w:cs="Arial"/>
        </w:rPr>
        <w:fldChar w:fldCharType="begin" w:fldLock="1"/>
      </w:r>
      <w:r w:rsidR="00214A19">
        <w:rPr>
          <w:rFonts w:ascii="Arial" w:hAnsi="Arial" w:cs="Arial"/>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"mendeley" : { "formattedCitation" : "(Chao &lt;i&gt;et al.&lt;/i&gt; 2008)", "manualFormatting" : "Chao et al. (2008)", "plainTextFormattedCitation" : "(Chao et al. 2008)", "previouslyFormattedCitation" : "(Chao &lt;i&gt;et al.&lt;/i&gt; 2008)" }, "properties" : { "noteIndex" : 0 }, "schema" : "https://github.com/citation-style-language/schema/raw/master/csl-citation.json" }</w:instrText>
      </w:r>
      <w:r>
        <w:rPr>
          <w:rFonts w:ascii="Arial" w:hAnsi="Arial" w:cs="Arial"/>
        </w:rPr>
        <w:fldChar w:fldCharType="separate"/>
      </w:r>
      <w:r>
        <w:rPr>
          <w:rFonts w:ascii="Arial" w:hAnsi="Arial" w:cs="Arial"/>
          <w:noProof/>
        </w:rPr>
        <w:t>Chao et al. (</w:t>
      </w:r>
      <w:r w:rsidRPr="00F35515">
        <w:rPr>
          <w:rFonts w:ascii="Arial" w:hAnsi="Arial" w:cs="Arial"/>
          <w:noProof/>
        </w:rPr>
        <w:t>2008)</w:t>
      </w:r>
      <w:r>
        <w:rPr>
          <w:rFonts w:ascii="Arial" w:hAnsi="Arial" w:cs="Arial"/>
        </w:rPr>
        <w:fldChar w:fldCharType="end"/>
      </w:r>
      <w:r>
        <w:rPr>
          <w:rFonts w:ascii="Arial" w:hAnsi="Arial" w:cs="Arial"/>
        </w:rPr>
        <w:t>. In step 1 we prepa</w:t>
      </w:r>
      <w:r w:rsidR="009E4C20">
        <w:rPr>
          <w:rFonts w:ascii="Arial" w:hAnsi="Arial" w:cs="Arial"/>
        </w:rPr>
        <w:t>red predictors classified into 4</w:t>
      </w:r>
      <w:r w:rsidR="00C3761E">
        <w:rPr>
          <w:rFonts w:ascii="Arial" w:hAnsi="Arial" w:cs="Arial"/>
        </w:rPr>
        <w:t xml:space="preserve"> groups: </w:t>
      </w:r>
    </w:p>
    <w:p w:rsidR="00C3761E" w:rsidRPr="00C3761E" w:rsidRDefault="00C3761E" w:rsidP="00C3761E">
      <w:pPr>
        <w:pStyle w:val="ListParagraph"/>
        <w:numPr>
          <w:ilvl w:val="0"/>
          <w:numId w:val="13"/>
        </w:numPr>
        <w:spacing w:line="360" w:lineRule="auto"/>
        <w:rPr>
          <w:rFonts w:ascii="Arial" w:hAnsi="Arial" w:cs="Arial"/>
        </w:rPr>
      </w:pPr>
      <w:r w:rsidRPr="00C3761E">
        <w:rPr>
          <w:rFonts w:ascii="Arial" w:hAnsi="Arial" w:cs="Arial"/>
        </w:rPr>
        <w:t>tree size</w:t>
      </w:r>
      <w:r>
        <w:rPr>
          <w:rFonts w:ascii="Arial" w:hAnsi="Arial" w:cs="Arial"/>
        </w:rPr>
        <w:t xml:space="preserve"> </w:t>
      </w:r>
      <w:r w:rsidR="00B32223">
        <w:rPr>
          <w:rFonts w:ascii="Arial" w:hAnsi="Arial" w:cs="Arial"/>
        </w:rPr>
        <w:t>–</w:t>
      </w:r>
      <w:r>
        <w:rPr>
          <w:rFonts w:ascii="Arial" w:hAnsi="Arial" w:cs="Arial"/>
        </w:rPr>
        <w:t xml:space="preserve"> </w:t>
      </w:r>
      <w:r w:rsidRPr="00C3761E">
        <w:rPr>
          <w:rFonts w:ascii="Arial" w:hAnsi="Arial" w:cs="Arial"/>
        </w:rPr>
        <w:t>DBH</w:t>
      </w:r>
      <w:r w:rsidR="00B32223">
        <w:rPr>
          <w:rFonts w:ascii="Arial" w:hAnsi="Arial" w:cs="Arial"/>
        </w:rPr>
        <w:t xml:space="preserve"> (cm)</w:t>
      </w:r>
      <w:r w:rsidRPr="00C3761E">
        <w:rPr>
          <w:rFonts w:ascii="Arial" w:hAnsi="Arial" w:cs="Arial"/>
        </w:rPr>
        <w:t>, Bas</w:t>
      </w:r>
      <w:r>
        <w:rPr>
          <w:rFonts w:ascii="Arial" w:hAnsi="Arial" w:cs="Arial"/>
        </w:rPr>
        <w:t>al area</w:t>
      </w:r>
      <w:r w:rsidR="00B32223">
        <w:rPr>
          <w:rFonts w:ascii="Arial" w:hAnsi="Arial" w:cs="Arial"/>
        </w:rPr>
        <w:t xml:space="preserve"> (m</w:t>
      </w:r>
      <w:r w:rsidR="00B32223">
        <w:rPr>
          <w:rFonts w:ascii="Arial" w:hAnsi="Arial" w:cs="Arial"/>
          <w:vertAlign w:val="superscript"/>
        </w:rPr>
        <w:t>2</w:t>
      </w:r>
      <w:r w:rsidR="00B32223">
        <w:rPr>
          <w:rFonts w:ascii="Arial" w:hAnsi="Arial" w:cs="Arial"/>
        </w:rPr>
        <w:t>)</w:t>
      </w:r>
      <w:r>
        <w:rPr>
          <w:rFonts w:ascii="Arial" w:hAnsi="Arial" w:cs="Arial"/>
        </w:rPr>
        <w:t>, and tree size</w:t>
      </w:r>
      <w:r w:rsidR="00B32223">
        <w:rPr>
          <w:rFonts w:ascii="Arial" w:hAnsi="Arial" w:cs="Arial"/>
        </w:rPr>
        <w:t xml:space="preserve"> relative to other trees in the transect (bounded between 0 and 1)</w:t>
      </w:r>
    </w:p>
    <w:p w:rsidR="00C3761E" w:rsidRDefault="00F35515" w:rsidP="00C3761E">
      <w:pPr>
        <w:pStyle w:val="ListParagraph"/>
        <w:numPr>
          <w:ilvl w:val="0"/>
          <w:numId w:val="13"/>
        </w:numPr>
        <w:spacing w:line="360" w:lineRule="auto"/>
        <w:rPr>
          <w:rFonts w:ascii="Arial" w:hAnsi="Arial" w:cs="Arial"/>
        </w:rPr>
      </w:pPr>
      <w:r w:rsidRPr="00C3761E">
        <w:rPr>
          <w:rFonts w:ascii="Arial" w:hAnsi="Arial" w:cs="Arial"/>
        </w:rPr>
        <w:t>tree growth</w:t>
      </w:r>
      <w:r w:rsidR="00C3761E">
        <w:rPr>
          <w:rFonts w:ascii="Arial" w:hAnsi="Arial" w:cs="Arial"/>
        </w:rPr>
        <w:t xml:space="preserve"> - </w:t>
      </w:r>
      <w:r w:rsidR="00C3761E" w:rsidRPr="00C3761E">
        <w:rPr>
          <w:rFonts w:ascii="Arial" w:hAnsi="Arial" w:cs="Arial"/>
        </w:rPr>
        <w:t>Annual diameter growth rate (mm year</w:t>
      </w:r>
      <w:r w:rsidR="00C3761E" w:rsidRPr="00C3761E">
        <w:rPr>
          <w:rFonts w:ascii="Arial" w:hAnsi="Arial" w:cs="Arial"/>
          <w:vertAlign w:val="superscript"/>
        </w:rPr>
        <w:t>-1</w:t>
      </w:r>
      <w:r w:rsidR="00C3761E" w:rsidRPr="00C3761E">
        <w:rPr>
          <w:rFonts w:ascii="Arial" w:hAnsi="Arial" w:cs="Arial"/>
        </w:rPr>
        <w:t>)</w:t>
      </w:r>
      <w:r w:rsidR="00C3761E">
        <w:rPr>
          <w:rFonts w:ascii="Arial" w:hAnsi="Arial" w:cs="Arial"/>
        </w:rPr>
        <w:t xml:space="preserve">, </w:t>
      </w:r>
      <w:r w:rsidR="00B32223">
        <w:rPr>
          <w:rFonts w:ascii="Arial" w:eastAsiaTheme="minorEastAsia" w:hAnsi="Arial" w:cs="Arial"/>
        </w:rPr>
        <w:t>b</w:t>
      </w:r>
      <w:r w:rsidR="00C3761E">
        <w:rPr>
          <w:rFonts w:ascii="Arial" w:eastAsiaTheme="minorEastAsia" w:hAnsi="Arial" w:cs="Arial"/>
        </w:rPr>
        <w:t>asal area growth rate (mm</w:t>
      </w:r>
      <w:r w:rsidR="00C3761E">
        <w:rPr>
          <w:rFonts w:ascii="Arial" w:eastAsiaTheme="minorEastAsia" w:hAnsi="Arial" w:cs="Arial"/>
          <w:vertAlign w:val="superscript"/>
        </w:rPr>
        <w:t xml:space="preserve">2 </w:t>
      </w:r>
      <w:r w:rsidR="00C3761E">
        <w:rPr>
          <w:rFonts w:ascii="Arial" w:eastAsiaTheme="minorEastAsia" w:hAnsi="Arial" w:cs="Arial"/>
        </w:rPr>
        <w:t>year</w:t>
      </w:r>
      <w:r w:rsidR="00C3761E">
        <w:rPr>
          <w:rFonts w:ascii="Arial" w:eastAsiaTheme="minorEastAsia" w:hAnsi="Arial" w:cs="Arial"/>
          <w:vertAlign w:val="superscript"/>
        </w:rPr>
        <w:t>-1</w:t>
      </w:r>
      <w:r w:rsidR="00C3761E">
        <w:rPr>
          <w:rFonts w:ascii="Arial" w:eastAsiaTheme="minorEastAsia" w:hAnsi="Arial" w:cs="Arial"/>
        </w:rPr>
        <w:t>), relative DBH growth rate (% DBH increase year</w:t>
      </w:r>
      <w:r w:rsidR="00C3761E">
        <w:rPr>
          <w:rFonts w:ascii="Arial" w:eastAsiaTheme="minorEastAsia" w:hAnsi="Arial" w:cs="Arial"/>
          <w:vertAlign w:val="superscript"/>
        </w:rPr>
        <w:t>-1</w:t>
      </w:r>
      <w:r w:rsidR="00C3761E">
        <w:rPr>
          <w:rFonts w:ascii="Arial" w:eastAsiaTheme="minorEastAsia" w:hAnsi="Arial" w:cs="Arial"/>
        </w:rPr>
        <w:t xml:space="preserve">), and </w:t>
      </w:r>
      <w:r w:rsidR="00C3761E" w:rsidRPr="00C3761E">
        <w:rPr>
          <w:rFonts w:ascii="Arial" w:eastAsiaTheme="minorEastAsia" w:hAnsi="Arial" w:cs="Arial"/>
        </w:rPr>
        <w:t>relative BA growth rate (% BA increase year</w:t>
      </w:r>
      <w:r w:rsidR="00C3761E" w:rsidRPr="00C3761E">
        <w:rPr>
          <w:rFonts w:ascii="Arial" w:eastAsiaTheme="minorEastAsia" w:hAnsi="Arial" w:cs="Arial"/>
          <w:vertAlign w:val="superscript"/>
        </w:rPr>
        <w:t>-1</w:t>
      </w:r>
      <w:r w:rsidR="00C3761E" w:rsidRPr="00C3761E">
        <w:rPr>
          <w:rFonts w:ascii="Arial" w:eastAsiaTheme="minorEastAsia" w:hAnsi="Arial" w:cs="Arial"/>
        </w:rPr>
        <w:t>)</w:t>
      </w:r>
    </w:p>
    <w:p w:rsidR="00C3761E" w:rsidRDefault="00F06791" w:rsidP="00C3761E">
      <w:pPr>
        <w:pStyle w:val="ListParagraph"/>
        <w:numPr>
          <w:ilvl w:val="0"/>
          <w:numId w:val="13"/>
        </w:numPr>
        <w:spacing w:line="360" w:lineRule="auto"/>
        <w:rPr>
          <w:rFonts w:ascii="Arial" w:hAnsi="Arial" w:cs="Arial"/>
        </w:rPr>
      </w:pPr>
      <w:r w:rsidRPr="00C3761E">
        <w:rPr>
          <w:rFonts w:ascii="Arial" w:hAnsi="Arial" w:cs="Arial"/>
        </w:rPr>
        <w:t>proximity to dead trees</w:t>
      </w:r>
      <w:r w:rsidR="00C3761E">
        <w:rPr>
          <w:rFonts w:ascii="Arial" w:hAnsi="Arial" w:cs="Arial"/>
        </w:rPr>
        <w:t xml:space="preserve"> - distance of an individual tree to a dead tree and abundance of dead trees in a 10m buffer</w:t>
      </w:r>
    </w:p>
    <w:p w:rsidR="00C3761E" w:rsidRDefault="00B17487" w:rsidP="00C3761E">
      <w:pPr>
        <w:pStyle w:val="ListParagraph"/>
        <w:numPr>
          <w:ilvl w:val="0"/>
          <w:numId w:val="13"/>
        </w:numPr>
        <w:spacing w:line="360" w:lineRule="auto"/>
        <w:rPr>
          <w:rFonts w:ascii="Arial" w:hAnsi="Arial" w:cs="Arial"/>
        </w:rPr>
      </w:pPr>
      <w:r w:rsidRPr="00C3761E">
        <w:rPr>
          <w:rFonts w:ascii="Arial" w:hAnsi="Arial" w:cs="Arial"/>
        </w:rPr>
        <w:t>soil type</w:t>
      </w:r>
      <w:r w:rsidR="00C3761E">
        <w:rPr>
          <w:rFonts w:ascii="Arial" w:hAnsi="Arial" w:cs="Arial"/>
        </w:rPr>
        <w:t xml:space="preserve"> - </w:t>
      </w:r>
      <w:r w:rsidR="00C3761E" w:rsidRPr="00C3761E">
        <w:rPr>
          <w:rFonts w:ascii="Arial" w:hAnsi="Arial" w:cs="Arial"/>
        </w:rPr>
        <w:t>percentage of each</w:t>
      </w:r>
      <w:r w:rsidR="00C3761E">
        <w:rPr>
          <w:rFonts w:ascii="Arial" w:hAnsi="Arial" w:cs="Arial"/>
        </w:rPr>
        <w:t xml:space="preserve"> soil sample classified as sand</w:t>
      </w:r>
    </w:p>
    <w:p w:rsidR="00493D40" w:rsidRPr="00493D40" w:rsidRDefault="00B32223" w:rsidP="00493D40">
      <w:pPr>
        <w:spacing w:line="360" w:lineRule="auto"/>
        <w:rPr>
          <w:rFonts w:ascii="Arial" w:hAnsi="Arial" w:cs="Arial"/>
        </w:rPr>
      </w:pPr>
      <w:r>
        <w:rPr>
          <w:rFonts w:ascii="Arial" w:hAnsi="Arial" w:cs="Arial"/>
        </w:rPr>
        <w:t>F</w:t>
      </w:r>
      <w:r w:rsidR="00DE03D6">
        <w:rPr>
          <w:rFonts w:ascii="Arial" w:hAnsi="Arial" w:cs="Arial"/>
        </w:rPr>
        <w:t>or more detail on the calculation of these variables</w:t>
      </w:r>
      <w:r>
        <w:rPr>
          <w:rFonts w:ascii="Arial" w:hAnsi="Arial" w:cs="Arial"/>
        </w:rPr>
        <w:t xml:space="preserve"> see the supplementary materials</w:t>
      </w:r>
      <w:r w:rsidR="00DE03D6">
        <w:rPr>
          <w:rFonts w:ascii="Arial" w:hAnsi="Arial" w:cs="Arial"/>
        </w:rPr>
        <w:t xml:space="preserve">. </w:t>
      </w:r>
      <w:r w:rsidR="00493D40" w:rsidRPr="00493D40">
        <w:rPr>
          <w:rFonts w:ascii="Arial" w:hAnsi="Arial" w:cs="Arial"/>
        </w:rPr>
        <w:t xml:space="preserve">All model variables were standardised using the methods of </w:t>
      </w:r>
      <w:r w:rsidR="00493D40" w:rsidRPr="00493D40">
        <w:rPr>
          <w:rFonts w:ascii="Arial" w:hAnsi="Arial" w:cs="Arial"/>
        </w:rPr>
        <w:fldChar w:fldCharType="begin" w:fldLock="1"/>
      </w:r>
      <w:r w:rsidR="00493D40" w:rsidRPr="00493D40">
        <w:rPr>
          <w:rFonts w:ascii="Arial" w:hAnsi="Arial" w:cs="Arial"/>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"manualFormatting" : "Schielzeth (2010)", "plainTextFormattedCitation" : "(Schielzeth 2010)", "previouslyFormattedCitation" : "(Schielzeth 2010)" }, "properties" : { "noteIndex" : 0 }, "schema" : "https://github.com/citation-style-language/schema/raw/master/csl-citation.json" }</w:instrText>
      </w:r>
      <w:r w:rsidR="00493D40" w:rsidRPr="00493D40">
        <w:rPr>
          <w:rFonts w:ascii="Arial" w:hAnsi="Arial" w:cs="Arial"/>
        </w:rPr>
        <w:fldChar w:fldCharType="separate"/>
      </w:r>
      <w:r w:rsidR="00493D40" w:rsidRPr="00493D40">
        <w:rPr>
          <w:rFonts w:ascii="Arial" w:hAnsi="Arial" w:cs="Arial"/>
          <w:noProof/>
        </w:rPr>
        <w:t>Schielzeth (2010)</w:t>
      </w:r>
      <w:r w:rsidR="00493D40" w:rsidRPr="00493D40">
        <w:rPr>
          <w:rFonts w:ascii="Arial" w:hAnsi="Arial" w:cs="Arial"/>
        </w:rPr>
        <w:fldChar w:fldCharType="end"/>
      </w:r>
      <w:r w:rsidR="00493D40" w:rsidRPr="00493D40">
        <w:rPr>
          <w:rFonts w:ascii="Arial" w:hAnsi="Arial" w:cs="Arial"/>
        </w:rPr>
        <w:t xml:space="preserve"> by subtracting the mean of the variable and dividing by its standard deviation. This allows </w:t>
      </w:r>
      <w:r w:rsidR="00493D40">
        <w:rPr>
          <w:rFonts w:ascii="Arial" w:hAnsi="Arial" w:cs="Arial"/>
        </w:rPr>
        <w:t xml:space="preserve">coefficients </w:t>
      </w:r>
      <w:r>
        <w:rPr>
          <w:rFonts w:ascii="Arial" w:hAnsi="Arial" w:cs="Arial"/>
        </w:rPr>
        <w:t>to</w:t>
      </w:r>
      <w:r w:rsidR="00493D40">
        <w:rPr>
          <w:rFonts w:ascii="Arial" w:hAnsi="Arial" w:cs="Arial"/>
        </w:rPr>
        <w:t xml:space="preserve"> be interpreted as effect sizes</w:t>
      </w:r>
      <w:r w:rsidR="00493D40" w:rsidRPr="00493D40">
        <w:rPr>
          <w:rFonts w:ascii="Arial" w:hAnsi="Arial" w:cs="Arial"/>
        </w:rPr>
        <w:t xml:space="preserve">, reduces </w:t>
      </w:r>
      <w:proofErr w:type="spellStart"/>
      <w:r w:rsidR="00493D40">
        <w:rPr>
          <w:rFonts w:ascii="Arial" w:hAnsi="Arial" w:cs="Arial"/>
        </w:rPr>
        <w:t>collinearity</w:t>
      </w:r>
      <w:proofErr w:type="spellEnd"/>
      <w:r w:rsidR="00493D40" w:rsidRPr="00493D40">
        <w:rPr>
          <w:rFonts w:ascii="Arial" w:hAnsi="Arial" w:cs="Arial"/>
        </w:rPr>
        <w:t xml:space="preserve"> </w:t>
      </w:r>
      <w:r w:rsidR="00493D40">
        <w:rPr>
          <w:rFonts w:ascii="Arial" w:hAnsi="Arial" w:cs="Arial"/>
        </w:rPr>
        <w:t xml:space="preserve">between variables </w:t>
      </w:r>
      <w:r w:rsidR="00493D40" w:rsidRPr="00493D40">
        <w:rPr>
          <w:rFonts w:ascii="Arial" w:hAnsi="Arial" w:cs="Arial"/>
        </w:rPr>
        <w:t xml:space="preserve">and improves model convergence </w:t>
      </w:r>
      <w:r w:rsidR="00493D40" w:rsidRPr="00493D40">
        <w:rPr>
          <w:rFonts w:ascii="Arial" w:hAnsi="Arial" w:cs="Arial"/>
        </w:rPr>
        <w:fldChar w:fldCharType="begin" w:fldLock="1"/>
      </w:r>
      <w:r w:rsidR="00493D40" w:rsidRPr="00493D40">
        <w:rPr>
          <w:rFonts w:ascii="Arial" w:hAnsi="Arial" w:cs="Arial"/>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"previouslyFormattedCitation" : "(Schielzeth 2010)" }, "properties" : { "noteIndex" : 0 }, "schema" : "https://github.com/citation-style-language/schema/raw/master/csl-citation.json" }</w:instrText>
      </w:r>
      <w:r w:rsidR="00493D40" w:rsidRPr="00493D40">
        <w:rPr>
          <w:rFonts w:ascii="Arial" w:hAnsi="Arial" w:cs="Arial"/>
        </w:rPr>
        <w:fldChar w:fldCharType="separate"/>
      </w:r>
      <w:r w:rsidR="00493D40" w:rsidRPr="00493D40">
        <w:rPr>
          <w:rFonts w:ascii="Arial" w:hAnsi="Arial" w:cs="Arial"/>
          <w:noProof/>
        </w:rPr>
        <w:t>(Schielzeth 2010)</w:t>
      </w:r>
      <w:r w:rsidR="00493D40" w:rsidRPr="00493D40">
        <w:rPr>
          <w:rFonts w:ascii="Arial" w:hAnsi="Arial" w:cs="Arial"/>
        </w:rPr>
        <w:fldChar w:fldCharType="end"/>
      </w:r>
      <w:r w:rsidR="00493D40" w:rsidRPr="00493D40">
        <w:rPr>
          <w:rFonts w:ascii="Arial" w:hAnsi="Arial" w:cs="Arial"/>
        </w:rPr>
        <w:t>.</w:t>
      </w:r>
    </w:p>
    <w:p w:rsidR="00D4426B" w:rsidRPr="00C3761E" w:rsidRDefault="00D4426B" w:rsidP="00B32223">
      <w:pPr>
        <w:spacing w:line="360" w:lineRule="auto"/>
        <w:ind w:firstLine="720"/>
        <w:rPr>
          <w:rFonts w:ascii="Arial" w:hAnsi="Arial" w:cs="Arial"/>
        </w:rPr>
      </w:pPr>
      <w:r w:rsidRPr="00C3761E">
        <w:rPr>
          <w:rFonts w:ascii="Arial" w:hAnsi="Arial" w:cs="Arial"/>
        </w:rPr>
        <w:t xml:space="preserve">In step 2 we selected the best predictor for each group by choosing the </w:t>
      </w:r>
      <w:proofErr w:type="spellStart"/>
      <w:r w:rsidRPr="00C3761E">
        <w:rPr>
          <w:rFonts w:ascii="Arial" w:hAnsi="Arial" w:cs="Arial"/>
        </w:rPr>
        <w:t>univariate</w:t>
      </w:r>
      <w:proofErr w:type="spellEnd"/>
      <w:r w:rsidRPr="00C3761E">
        <w:rPr>
          <w:rFonts w:ascii="Arial" w:hAnsi="Arial" w:cs="Arial"/>
        </w:rPr>
        <w:t xml:space="preserve"> logistic mixed effect models which had the lowest </w:t>
      </w:r>
      <w:proofErr w:type="spellStart"/>
      <w:r w:rsidRPr="00C3761E">
        <w:rPr>
          <w:rFonts w:ascii="Arial" w:hAnsi="Arial" w:cs="Arial"/>
        </w:rPr>
        <w:t>AICc</w:t>
      </w:r>
      <w:proofErr w:type="spellEnd"/>
      <w:r w:rsidRPr="00C3761E">
        <w:rPr>
          <w:rFonts w:ascii="Arial" w:hAnsi="Arial" w:cs="Arial"/>
        </w:rPr>
        <w:t xml:space="preserve"> </w:t>
      </w:r>
      <w:r w:rsidRPr="00C3761E">
        <w:rPr>
          <w:rFonts w:ascii="Arial" w:hAnsi="Arial" w:cs="Arial"/>
        </w:rPr>
        <w:fldChar w:fldCharType="begin" w:fldLock="1"/>
      </w:r>
      <w:r w:rsidRPr="00C3761E">
        <w:rPr>
          <w:rFonts w:ascii="Arial" w:hAnsi="Arial" w:cs="Arial"/>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"id" : "ITEM-2",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"ITEM-2", "issued" : { "date-parts" : [ [ "2002" ] ] }, "number-of-pages" : "488", "title" : "Model selection and multimodel inference: a practical information-theoretic approach", "type" : "book", "volume" : "172" }, "uris" : [ "http://www.mendeley.com/documents/?uuid=86bbd164-9afc-47d0-9cb9-c08babc7ea8c" ] } ], "mendeley" : { "formattedCitation" : "(Burnham &amp; Anderson 2002; Chao &lt;i&gt;et al.&lt;/i&gt; 2008)", "plainTextFormattedCitation" : "(Burnham &amp; Anderson 2002; Chao et al. 2008)", "previouslyFormattedCitation" : "(Burnham &amp; Anderson 2002; Chao &lt;i&gt;et al.&lt;/i&gt; 2008)" }, "properties" : { "noteIndex" : 0 }, "schema" : "https://github.com/citation-style-language/schema/raw/master/csl-citation.json" }</w:instrText>
      </w:r>
      <w:r w:rsidRPr="00C3761E">
        <w:rPr>
          <w:rFonts w:ascii="Arial" w:hAnsi="Arial" w:cs="Arial"/>
        </w:rPr>
        <w:fldChar w:fldCharType="separate"/>
      </w:r>
      <w:r w:rsidRPr="00C3761E">
        <w:rPr>
          <w:rFonts w:ascii="Arial" w:hAnsi="Arial" w:cs="Arial"/>
          <w:noProof/>
        </w:rPr>
        <w:t xml:space="preserve">(Burnham &amp; Anderson 2002; Chao </w:t>
      </w:r>
      <w:r w:rsidRPr="00C3761E">
        <w:rPr>
          <w:rFonts w:ascii="Arial" w:hAnsi="Arial" w:cs="Arial"/>
          <w:i/>
          <w:noProof/>
        </w:rPr>
        <w:t>et al.</w:t>
      </w:r>
      <w:r w:rsidRPr="00C3761E">
        <w:rPr>
          <w:rFonts w:ascii="Arial" w:hAnsi="Arial" w:cs="Arial"/>
          <w:noProof/>
        </w:rPr>
        <w:t xml:space="preserve"> 2008)</w:t>
      </w:r>
      <w:r w:rsidRPr="00C3761E">
        <w:rPr>
          <w:rFonts w:ascii="Arial" w:hAnsi="Arial" w:cs="Arial"/>
        </w:rPr>
        <w:fldChar w:fldCharType="end"/>
      </w:r>
      <w:r w:rsidRPr="00C3761E">
        <w:rPr>
          <w:rFonts w:ascii="Arial" w:hAnsi="Arial" w:cs="Arial"/>
        </w:rPr>
        <w:t xml:space="preserve">. This step reduces </w:t>
      </w:r>
      <w:proofErr w:type="spellStart"/>
      <w:r w:rsidRPr="00C3761E">
        <w:rPr>
          <w:rFonts w:ascii="Arial" w:hAnsi="Arial" w:cs="Arial"/>
        </w:rPr>
        <w:t>intercorrelation</w:t>
      </w:r>
      <w:proofErr w:type="spellEnd"/>
      <w:r w:rsidRPr="00C3761E">
        <w:rPr>
          <w:rFonts w:ascii="Arial" w:hAnsi="Arial" w:cs="Arial"/>
        </w:rPr>
        <w:t xml:space="preserve"> of variables which can lead to difficulty in interpreting effects. In step 3 a full multivariate model was developed using these selected variables</w:t>
      </w:r>
      <w:r w:rsidR="00493D40">
        <w:rPr>
          <w:rFonts w:ascii="Arial" w:hAnsi="Arial" w:cs="Arial"/>
        </w:rPr>
        <w:t xml:space="preserve"> using additive terms only</w:t>
      </w:r>
      <w:r w:rsidRPr="00C3761E">
        <w:rPr>
          <w:rFonts w:ascii="Arial" w:hAnsi="Arial" w:cs="Arial"/>
        </w:rPr>
        <w:t xml:space="preserve">. In step 4 model averaging was used to produce parameter estimates </w:t>
      </w:r>
      <w:r w:rsidR="00493D40">
        <w:rPr>
          <w:rFonts w:ascii="Arial" w:hAnsi="Arial" w:cs="Arial"/>
        </w:rPr>
        <w:t>for models with a ΔAICc≤7.</w:t>
      </w:r>
    </w:p>
    <w:p w:rsidR="008C0FB7" w:rsidRPr="008C0FB7" w:rsidRDefault="008C0FB7" w:rsidP="00DE059E">
      <w:pPr>
        <w:spacing w:line="360" w:lineRule="auto"/>
        <w:contextualSpacing/>
        <w:rPr>
          <w:rFonts w:ascii="Arial" w:hAnsi="Arial" w:cs="Arial"/>
          <w:b/>
        </w:rPr>
      </w:pPr>
      <w:r w:rsidRPr="008C0FB7">
        <w:rPr>
          <w:rFonts w:ascii="Arial" w:hAnsi="Arial" w:cs="Arial"/>
          <w:b/>
        </w:rPr>
        <w:t>Recruitment</w:t>
      </w:r>
    </w:p>
    <w:p w:rsidR="008C0FB7" w:rsidRDefault="008C0FB7" w:rsidP="00DE059E">
      <w:pPr>
        <w:spacing w:line="360" w:lineRule="auto"/>
        <w:contextualSpacing/>
        <w:rPr>
          <w:rFonts w:ascii="Arial" w:hAnsi="Arial" w:cs="Arial"/>
        </w:rPr>
      </w:pPr>
      <w:r>
        <w:rPr>
          <w:rFonts w:ascii="Arial" w:hAnsi="Arial" w:cs="Arial"/>
        </w:rPr>
        <w:tab/>
        <w:t xml:space="preserve">To assess recruitment of trees we focussed on saplings </w:t>
      </w:r>
      <w:r w:rsidR="00E00C5D">
        <w:rPr>
          <w:rFonts w:ascii="Arial" w:hAnsi="Arial" w:cs="Arial"/>
        </w:rPr>
        <w:t xml:space="preserve">(woody stems &gt;1.3 m height and &lt;10 cm DBH) </w:t>
      </w:r>
      <w:r>
        <w:rPr>
          <w:rFonts w:ascii="Arial" w:hAnsi="Arial" w:cs="Arial"/>
        </w:rPr>
        <w:t xml:space="preserve">and seedlings. To test the </w:t>
      </w:r>
      <w:r w:rsidR="0075283D">
        <w:rPr>
          <w:rFonts w:ascii="Arial" w:hAnsi="Arial" w:cs="Arial"/>
        </w:rPr>
        <w:t xml:space="preserve">effect of </w:t>
      </w:r>
      <w:r w:rsidR="00E00C5D">
        <w:rPr>
          <w:rFonts w:ascii="Arial" w:hAnsi="Arial" w:cs="Arial"/>
        </w:rPr>
        <w:t xml:space="preserve">the density of </w:t>
      </w:r>
      <w:r>
        <w:rPr>
          <w:rFonts w:ascii="Arial" w:hAnsi="Arial" w:cs="Arial"/>
        </w:rPr>
        <w:t>mature tree</w:t>
      </w:r>
      <w:r w:rsidR="00E00C5D">
        <w:rPr>
          <w:rFonts w:ascii="Arial" w:hAnsi="Arial" w:cs="Arial"/>
        </w:rPr>
        <w:t>s</w:t>
      </w:r>
      <w:r>
        <w:rPr>
          <w:rFonts w:ascii="Arial" w:hAnsi="Arial" w:cs="Arial"/>
        </w:rPr>
        <w:t xml:space="preserve"> (</w:t>
      </w:r>
      <w:r w:rsidR="00E00C5D">
        <w:rPr>
          <w:rFonts w:ascii="Arial" w:hAnsi="Arial" w:cs="Arial"/>
        </w:rPr>
        <w:t xml:space="preserve">stems </w:t>
      </w:r>
      <w:r>
        <w:rPr>
          <w:rFonts w:ascii="Arial" w:hAnsi="Arial" w:cs="Arial"/>
        </w:rPr>
        <w:t xml:space="preserve">&gt;10 cm DBH) </w:t>
      </w:r>
      <w:r w:rsidR="0075283D">
        <w:rPr>
          <w:rFonts w:ascii="Arial" w:hAnsi="Arial" w:cs="Arial"/>
        </w:rPr>
        <w:t>on</w:t>
      </w:r>
      <w:r>
        <w:rPr>
          <w:rFonts w:ascii="Arial" w:hAnsi="Arial" w:cs="Arial"/>
        </w:rPr>
        <w:t xml:space="preserve"> </w:t>
      </w:r>
      <w:r w:rsidR="00E00C5D">
        <w:rPr>
          <w:rFonts w:ascii="Arial" w:hAnsi="Arial" w:cs="Arial"/>
        </w:rPr>
        <w:t xml:space="preserve">that of </w:t>
      </w:r>
      <w:r>
        <w:rPr>
          <w:rFonts w:ascii="Arial" w:hAnsi="Arial" w:cs="Arial"/>
        </w:rPr>
        <w:t xml:space="preserve">saplings we produced generalised mixed models </w:t>
      </w:r>
      <w:r w:rsidR="00B32223">
        <w:rPr>
          <w:rFonts w:ascii="Arial" w:hAnsi="Arial" w:cs="Arial"/>
        </w:rPr>
        <w:t xml:space="preserve">with a </w:t>
      </w:r>
      <w:proofErr w:type="spellStart"/>
      <w:r w:rsidR="00B32223">
        <w:rPr>
          <w:rFonts w:ascii="Arial" w:hAnsi="Arial" w:cs="Arial"/>
        </w:rPr>
        <w:t>poisson</w:t>
      </w:r>
      <w:proofErr w:type="spellEnd"/>
      <w:r w:rsidR="00B32223">
        <w:rPr>
          <w:rFonts w:ascii="Arial" w:hAnsi="Arial" w:cs="Arial"/>
        </w:rPr>
        <w:t xml:space="preserve"> error structure </w:t>
      </w:r>
      <w:r>
        <w:rPr>
          <w:rFonts w:ascii="Arial" w:hAnsi="Arial" w:cs="Arial"/>
        </w:rPr>
        <w:t xml:space="preserve">for the three major woody species present in Denny, beech, holly and oak. </w:t>
      </w:r>
      <w:r w:rsidR="0075283D">
        <w:rPr>
          <w:rFonts w:ascii="Arial" w:hAnsi="Arial" w:cs="Arial"/>
        </w:rPr>
        <w:t xml:space="preserve">These </w:t>
      </w:r>
      <w:r w:rsidR="0075283D">
        <w:rPr>
          <w:rFonts w:ascii="Arial" w:hAnsi="Arial" w:cs="Arial"/>
        </w:rPr>
        <w:lastRenderedPageBreak/>
        <w:t xml:space="preserve">models also included interactions with survey year to identify if the slope of the relationship between mature tree </w:t>
      </w:r>
      <w:r w:rsidR="00B32223">
        <w:rPr>
          <w:rFonts w:ascii="Arial" w:hAnsi="Arial" w:cs="Arial"/>
        </w:rPr>
        <w:t xml:space="preserve">density </w:t>
      </w:r>
      <w:r w:rsidR="0075283D">
        <w:rPr>
          <w:rFonts w:ascii="Arial" w:hAnsi="Arial" w:cs="Arial"/>
        </w:rPr>
        <w:t>and sapling density changed over time. To investigate the impact of canopy openings and grazing pressure on recruitment we produced generalised linear models of seedling density using dung count and canopy cover as explanatory variables.</w:t>
      </w:r>
    </w:p>
    <w:p w:rsidR="00550B96" w:rsidRDefault="00550B96" w:rsidP="00DE059E">
      <w:pPr>
        <w:spacing w:line="360" w:lineRule="auto"/>
        <w:contextualSpacing/>
        <w:rPr>
          <w:rFonts w:ascii="Arial" w:hAnsi="Arial" w:cs="Arial"/>
        </w:rPr>
      </w:pPr>
      <w:r>
        <w:rPr>
          <w:rFonts w:ascii="Arial" w:hAnsi="Arial" w:cs="Arial"/>
        </w:rPr>
        <w:tab/>
      </w:r>
      <w:r w:rsidR="0075283D">
        <w:rPr>
          <w:rFonts w:ascii="Arial" w:hAnsi="Arial" w:cs="Arial"/>
        </w:rPr>
        <w:t xml:space="preserve">To determine </w:t>
      </w:r>
      <w:r>
        <w:rPr>
          <w:rFonts w:ascii="Arial" w:hAnsi="Arial" w:cs="Arial"/>
        </w:rPr>
        <w:t xml:space="preserve">whether the widespread loss of smaller stems seen in a previous study </w:t>
      </w:r>
      <w:r w:rsidR="0075283D">
        <w:rPr>
          <w:rFonts w:ascii="Arial" w:hAnsi="Arial" w:cs="Arial"/>
        </w:rPr>
        <w:t xml:space="preserve">at the site </w:t>
      </w:r>
      <w:r w:rsidR="00E00C5D">
        <w:rPr>
          <w:rFonts w:ascii="Arial" w:hAnsi="Arial" w:cs="Arial"/>
        </w:rPr>
        <w:fldChar w:fldCharType="begin" w:fldLock="1"/>
      </w:r>
      <w:r w:rsidR="00C3761E">
        <w:rPr>
          <w:rFonts w:ascii="Arial" w:hAnsi="Arial" w:cs="Arial"/>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"uris" : [ "http://www.mendeley.com/documents/?uuid=4d0132e6-102f-4c9e-a936-8b81dbcd7607"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E00C5D">
        <w:rPr>
          <w:rFonts w:ascii="Arial" w:hAnsi="Arial" w:cs="Arial"/>
        </w:rPr>
        <w:fldChar w:fldCharType="separate"/>
      </w:r>
      <w:r w:rsidR="00E00C5D" w:rsidRPr="00E00C5D">
        <w:rPr>
          <w:rFonts w:ascii="Arial" w:hAnsi="Arial" w:cs="Arial"/>
          <w:noProof/>
        </w:rPr>
        <w:t xml:space="preserve">(Martin </w:t>
      </w:r>
      <w:r w:rsidR="00E00C5D" w:rsidRPr="00E00C5D">
        <w:rPr>
          <w:rFonts w:ascii="Arial" w:hAnsi="Arial" w:cs="Arial"/>
          <w:i/>
          <w:noProof/>
        </w:rPr>
        <w:t>et al.</w:t>
      </w:r>
      <w:r w:rsidR="00E00C5D" w:rsidRPr="00E00C5D">
        <w:rPr>
          <w:rFonts w:ascii="Arial" w:hAnsi="Arial" w:cs="Arial"/>
          <w:noProof/>
        </w:rPr>
        <w:t xml:space="preserve"> 2015)</w:t>
      </w:r>
      <w:r w:rsidR="00E00C5D">
        <w:rPr>
          <w:rFonts w:ascii="Arial" w:hAnsi="Arial" w:cs="Arial"/>
        </w:rPr>
        <w:fldChar w:fldCharType="end"/>
      </w:r>
      <w:r w:rsidR="00E00C5D">
        <w:rPr>
          <w:rFonts w:ascii="Arial" w:hAnsi="Arial" w:cs="Arial"/>
        </w:rPr>
        <w:t xml:space="preserve"> </w:t>
      </w:r>
      <w:r>
        <w:rPr>
          <w:rFonts w:ascii="Arial" w:hAnsi="Arial" w:cs="Arial"/>
        </w:rPr>
        <w:t>was largely attributable to growth of individuals into other size classes or mortality</w:t>
      </w:r>
      <w:r w:rsidR="0075283D">
        <w:rPr>
          <w:rFonts w:ascii="Arial" w:hAnsi="Arial" w:cs="Arial"/>
        </w:rPr>
        <w:t xml:space="preserve"> we tracked the fate of each sapling recorded</w:t>
      </w:r>
      <w:r>
        <w:rPr>
          <w:rFonts w:ascii="Arial" w:hAnsi="Arial" w:cs="Arial"/>
        </w:rPr>
        <w:t xml:space="preserve">. As part of this we also calculated the annual mortality rate, </w:t>
      </w:r>
      <m:oMath>
        <m:r>
          <w:rPr>
            <w:rFonts w:ascii="Cambria Math" w:hAnsi="Cambria Math" w:cs="Arial"/>
          </w:rPr>
          <m:t>m</m:t>
        </m:r>
      </m:oMath>
      <w:r>
        <w:rPr>
          <w:rFonts w:ascii="Arial" w:hAnsi="Arial" w:cs="Arial"/>
        </w:rPr>
        <w:t xml:space="preserve">, as defined by </w:t>
      </w:r>
      <w:r>
        <w:rPr>
          <w:rFonts w:ascii="Arial" w:hAnsi="Arial" w:cs="Arial"/>
        </w:rPr>
        <w:fldChar w:fldCharType="begin" w:fldLock="1"/>
      </w:r>
      <w:r>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Burslem &amp; Alder 1995)", "manualFormatting" : "Sheil, Burslem &amp; Alder (1995)", "plainTextFormattedCitation" : "(Sheil, Burslem &amp; Alder 1995)", "previouslyFormattedCitation" : "(Sheil, Burslem &amp; Alder 1995)" }, "properties" : { "noteIndex" : 0 }, "schema" : "https://github.com/citation-style-language/schema/raw/master/csl-citation.json" }</w:instrText>
      </w:r>
      <w:r>
        <w:rPr>
          <w:rFonts w:ascii="Arial" w:hAnsi="Arial" w:cs="Arial"/>
        </w:rPr>
        <w:fldChar w:fldCharType="separate"/>
      </w:r>
      <w:r w:rsidRPr="00550B96">
        <w:rPr>
          <w:rFonts w:ascii="Arial" w:hAnsi="Arial" w:cs="Arial"/>
          <w:noProof/>
        </w:rPr>
        <w:t xml:space="preserve">Sheil, Burslem &amp; Alder </w:t>
      </w:r>
      <w:r>
        <w:rPr>
          <w:rFonts w:ascii="Arial" w:hAnsi="Arial" w:cs="Arial"/>
          <w:noProof/>
        </w:rPr>
        <w:t>(</w:t>
      </w:r>
      <w:r w:rsidRPr="00550B96">
        <w:rPr>
          <w:rFonts w:ascii="Arial" w:hAnsi="Arial" w:cs="Arial"/>
          <w:noProof/>
        </w:rPr>
        <w:t>1995)</w:t>
      </w:r>
      <w:r>
        <w:rPr>
          <w:rFonts w:ascii="Arial" w:hAnsi="Arial" w:cs="Arial"/>
        </w:rPr>
        <w:fldChar w:fldCharType="end"/>
      </w:r>
      <w:r>
        <w:rPr>
          <w:rFonts w:ascii="Arial" w:hAnsi="Arial" w:cs="Arial"/>
        </w:rPr>
        <w:t>:</w:t>
      </w:r>
    </w:p>
    <w:p w:rsidR="00550B96" w:rsidRPr="00550B96" w:rsidRDefault="00550B96" w:rsidP="00DE059E">
      <w:pPr>
        <w:spacing w:line="360" w:lineRule="auto"/>
        <w:contextualSpacing/>
        <w:rPr>
          <w:rFonts w:ascii="Arial" w:eastAsiaTheme="minorEastAsia"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rsidR="00550B96" w:rsidRDefault="00550B96" w:rsidP="00DE059E">
      <w:pPr>
        <w:spacing w:line="360" w:lineRule="auto"/>
        <w:contextualSpacing/>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Pr>
          <w:rFonts w:ascii="Arial" w:eastAsiaTheme="minorEastAsia" w:hAnsi="Arial" w:cs="Arial"/>
        </w:rPr>
        <w:t xml:space="preserve"> are the number of stems at the first and second surveys respectively and </w:t>
      </w:r>
      <m:oMath>
        <m:r>
          <w:rPr>
            <w:rFonts w:ascii="Cambria Math" w:hAnsi="Cambria Math" w:cs="Arial"/>
          </w:rPr>
          <m:t>t</m:t>
        </m:r>
      </m:oMath>
      <w:r>
        <w:rPr>
          <w:rFonts w:ascii="Arial" w:eastAsiaTheme="minorEastAsia" w:hAnsi="Arial" w:cs="Arial"/>
        </w:rPr>
        <w:t xml:space="preserve"> is the number of years between censuses.</w:t>
      </w:r>
    </w:p>
    <w:p w:rsidR="001D2BB7" w:rsidRDefault="001D2BB7" w:rsidP="00DE059E">
      <w:pPr>
        <w:spacing w:line="360" w:lineRule="auto"/>
        <w:contextualSpacing/>
        <w:rPr>
          <w:rFonts w:ascii="Arial" w:eastAsiaTheme="minorEastAsia" w:hAnsi="Arial" w:cs="Arial"/>
        </w:rPr>
      </w:pPr>
    </w:p>
    <w:p w:rsidR="00550B96" w:rsidRPr="008C0FB7" w:rsidRDefault="00550B96" w:rsidP="00DE059E">
      <w:pPr>
        <w:spacing w:line="360" w:lineRule="auto"/>
        <w:contextualSpacing/>
        <w:rPr>
          <w:rFonts w:ascii="Arial" w:hAnsi="Arial" w:cs="Arial"/>
        </w:rPr>
      </w:pPr>
    </w:p>
    <w:p w:rsidR="00F262DF" w:rsidRPr="00F262DF" w:rsidRDefault="00D81A0F" w:rsidP="00DE059E">
      <w:pPr>
        <w:spacing w:line="360" w:lineRule="auto"/>
        <w:contextualSpacing/>
        <w:rPr>
          <w:rFonts w:ascii="Arial" w:hAnsi="Arial" w:cs="Arial"/>
          <w:b/>
        </w:rPr>
      </w:pPr>
      <w:r>
        <w:rPr>
          <w:rFonts w:ascii="Arial" w:hAnsi="Arial" w:cs="Arial"/>
          <w:b/>
        </w:rPr>
        <w:t>Individual based model</w:t>
      </w:r>
      <w:r w:rsidR="00F262DF">
        <w:rPr>
          <w:rFonts w:ascii="Arial" w:hAnsi="Arial" w:cs="Arial"/>
          <w:b/>
        </w:rPr>
        <w:t xml:space="preserve"> </w:t>
      </w:r>
    </w:p>
    <w:p w:rsidR="00D81A0F" w:rsidRDefault="00D81A0F" w:rsidP="00DE059E">
      <w:pPr>
        <w:spacing w:line="360" w:lineRule="auto"/>
        <w:contextualSpacing/>
        <w:rPr>
          <w:rFonts w:ascii="Arial" w:hAnsi="Arial" w:cs="Arial"/>
        </w:rPr>
      </w:pPr>
    </w:p>
    <w:p w:rsidR="00D81A0F" w:rsidRDefault="00D81A0F" w:rsidP="00DE059E">
      <w:pPr>
        <w:spacing w:line="360" w:lineRule="auto"/>
        <w:contextualSpacing/>
        <w:rPr>
          <w:rFonts w:ascii="Arial" w:hAnsi="Arial" w:cs="Arial"/>
        </w:rPr>
      </w:pPr>
      <w:r>
        <w:rPr>
          <w:rFonts w:ascii="Arial" w:hAnsi="Arial" w:cs="Arial"/>
        </w:rPr>
        <w:t xml:space="preserve">The model description follows the ODD protocol for describing individual based models </w:t>
      </w:r>
      <w:r>
        <w:rPr>
          <w:rFonts w:ascii="Arial" w:hAnsi="Arial" w:cs="Arial"/>
        </w:rPr>
        <w:fldChar w:fldCharType="begin" w:fldLock="1"/>
      </w:r>
      <w:r w:rsidR="00FA4889">
        <w:rPr>
          <w:rFonts w:ascii="Arial" w:hAnsi="Arial" w:cs="Arial"/>
        </w:rPr>
        <w:instrText>ADDIN CSL_CITATION { "citationItems" : [ { "id" : "ITEM-1", "itemData" : { "DOI" : "10.1016/j.ecolmodel.2006.04.023", "ISSN" : "03043800", "abstract" : "Simulation models that describe autonomous individual organisms (individual based models, IBM) or agents (agent-based models, ABM) have become a widely used tool, not only in ecology, but also in many other disciplines dealing with complex systems made up of autonomous entities. However, there is no standard protocol for describing such simulation models, which can make them difficult to understand and to duplicate. This paper presents a proposed standard protocol, ODD, for describing IBMs and ABMs, developed and tested by 28 modellers who cover a wide range of fields within ecology. This protocol consists of three blocks (Overview, Design concepts, and Details), which are subdivided into seven elements: Purpose, State variables and scales, Process overview and scheduling, Design concepts, Initialization, Input, and Submodels. We explain which aspects of a model should be described in each element, and we present an example to illustrate the protocol in use. In addition, 19 examples are available in an Online Appendix. We consider ODD as a first step for establishing a more detailed common format of the description of IBMs and ABMs. Once initiated, the protocol will hopefully evolve as it becomes used by a sufficiently large proportion of modellers.", "author" : [ { "dropping-particle" : "", "family" : "Grimm", "given" : "Volker", "non-dropping-particle" : "", "parse-names" : false, "suffix" : "" }, { "dropping-particle" : "", "family" : "Berger", "given" : "Uta", "non-dropping-particle" : "", "parse-names" : false, "suffix" : "" }, { "dropping-particle" : "", "family" : "Bastiansen", "given" : "Finn", "non-dropping-particle" : "", "parse-names" : false, "suffix" : "" }, { "dropping-particle" : "", "family" : "Eliassen", "given" : "Sigrunn", "non-dropping-particle" : "", "parse-names" : false, "suffix" : "" }, { "dropping-particle" : "", "family" : "Ginot", "given" : "Vincent", "non-dropping-particle" : "", "parse-names" : false, "suffix" : "" }, { "dropping-particle" : "", "family" : "Giske", "given" : "Jarl", "non-dropping-particle" : "", "parse-names" : false, "suffix" : "" }, { "dropping-particle" : "", "family" : "Goss-Custard", "given" : "John", "non-dropping-particle" : "", "parse-names" : false, "suffix" : "" }, { "dropping-particle" : "", "family" : "Grand", "given" : "Tamara", "non-dropping-particle" : "", "parse-names" : false, "suffix" : "" }, { "dropping-particle" : "", "family" : "Heinz", "given" : "Simone K.", "non-dropping-particle" : "", "parse-names" : false, "suffix" : "" }, { "dropping-particle" : "", "family" : "Huse", "given" : "Geir", "non-dropping-particle" : "", "parse-names" : false, "suffix" : "" }, { "dropping-particle" : "", "family" : "Huth", "given" : "Andreas", "non-dropping-particle" : "", "parse-names" : false, "suffix" : "" }, { "dropping-particle" : "", "family" : "Jepsen", "given" : "Jane U.", "non-dropping-particle" : "", "parse-names" : false, "suffix" : "" }, { "dropping-particle" : "", "family" : "J\u00f8rgensen", "given" : "Christian", "non-dropping-particle" : "", "parse-names" : false, "suffix" : "" }, { "dropping-particle" : "", "family" : "Mooij", "given" : "Wolf M.", "non-dropping-particle" : "", "parse-names" : false, "suffix" : "" }, { "dropping-particle" : "", "family" : "M\u00fcller", "given" : "Birgit", "non-dropping-particle" : "", "parse-names" : false, "suffix" : "" }, { "dropping-particle" : "", "family" : "Pe\u2019er", "given" : "Guy", "non-dropping-particle" : "", "parse-names" : false, "suffix" : "" }, { "dropping-particle" : "", "family" : "Piou", "given" : "Cyril", "non-dropping-particle" : "", "parse-names" : false, "suffix" : "" }, { "dropping-particle" : "", "family" : "Railsback", "given" : "Steven F.", "non-dropping-particle" : "", "parse-names" : false, "suffix" : "" }, { "dropping-particle" : "", "family" : "Robbins", "given" : "Andrew M.", "non-dropping-particle" : "", "parse-names" : false, "suffix" : "" }, { "dropping-particle" : "", "family" : "Robbins", "given" : "Martha M.", "non-dropping-particle" : "", "parse-names" : false, "suffix" : "" }, { "dropping-particle" : "", "family" : "Rossmanith", "given" : "Eva", "non-dropping-particle" : "", "parse-names" : false, "suffix" : "" }, { "dropping-particle" : "", "family" : "R\u00fcger", "given" : "Nadja", "non-dropping-particle" : "", "parse-names" : false, "suffix" : "" }, { "dropping-particle" : "", "family" : "Strand", "given" : "Espen", "non-dropping-particle" : "", "parse-names" : false, "suffix" : "" }, { "dropping-particle" : "", "family" : "Souissi", "given" : "Sami", "non-dropping-particle" : "", "parse-names" : false, "suffix" : "" }, { "dropping-particle" : "", "family" : "Stillman", "given" : "Richard A.", "non-dropping-particle" : "", "parse-names" : false, "suffix" : "" }, { "dropping-particle" : "", "family" : "Vab\u00f8", "given" : "Rune", "non-dropping-particle" : "", "parse-names" : false, "suffix" : "" }, { "dropping-particle" : "", "family" : "Visser", "given" : "Ute", "non-dropping-particle" : "", "parse-names" : false, "suffix" : "" }, { "dropping-particle" : "", "family" : "DeAngelis", "given" : "Donald L.", "non-dropping-particle" : "", "parse-names" : false, "suffix" : "" } ], "container-title" : "Ecological Modelling", "id" : "ITEM-1", "issue" : "1-2", "issued" : { "date-parts" : [ [ "2006", "9" ] ] }, "page" : "115-126", "title" : "A standard protocol for describing individual-based and agent-based models", "type" : "article-journal", "volume" : "198" }, "uris" : [ "http://www.mendeley.com/documents/?uuid=e6651b4a-6107-47c9-be77-5561926290df" ] } ], "mendeley" : { "formattedCitation" : "(Grimm &lt;i&gt;et al.&lt;/i&gt; 2006)", "plainTextFormattedCitation" : "(Grimm et al. 2006)", "previouslyFormattedCitation" : "(Grimm &lt;i&gt;et al.&lt;/i&gt; 2006)" }, "properties" : { "noteIndex" : 0 }, "schema" : "https://github.com/citation-style-language/schema/raw/master/csl-citation.json" }</w:instrText>
      </w:r>
      <w:r>
        <w:rPr>
          <w:rFonts w:ascii="Arial" w:hAnsi="Arial" w:cs="Arial"/>
        </w:rPr>
        <w:fldChar w:fldCharType="separate"/>
      </w:r>
      <w:r w:rsidRPr="00D81A0F">
        <w:rPr>
          <w:rFonts w:ascii="Arial" w:hAnsi="Arial" w:cs="Arial"/>
          <w:noProof/>
        </w:rPr>
        <w:t xml:space="preserve">(Grimm </w:t>
      </w:r>
      <w:r w:rsidRPr="00D81A0F">
        <w:rPr>
          <w:rFonts w:ascii="Arial" w:hAnsi="Arial" w:cs="Arial"/>
          <w:i/>
          <w:noProof/>
        </w:rPr>
        <w:t>et al.</w:t>
      </w:r>
      <w:r w:rsidRPr="00D81A0F">
        <w:rPr>
          <w:rFonts w:ascii="Arial" w:hAnsi="Arial" w:cs="Arial"/>
          <w:noProof/>
        </w:rPr>
        <w:t xml:space="preserve"> 2006)</w:t>
      </w:r>
      <w:r>
        <w:rPr>
          <w:rFonts w:ascii="Arial" w:hAnsi="Arial" w:cs="Arial"/>
        </w:rPr>
        <w:fldChar w:fldCharType="end"/>
      </w:r>
      <w:r>
        <w:rPr>
          <w:rFonts w:ascii="Arial" w:hAnsi="Arial" w:cs="Arial"/>
        </w:rPr>
        <w:t xml:space="preserve">. </w:t>
      </w:r>
    </w:p>
    <w:p w:rsidR="00D81A0F" w:rsidRDefault="00D81A0F" w:rsidP="00DE059E">
      <w:pPr>
        <w:spacing w:line="360" w:lineRule="auto"/>
        <w:contextualSpacing/>
        <w:rPr>
          <w:rFonts w:ascii="Arial" w:hAnsi="Arial" w:cs="Arial"/>
        </w:rPr>
      </w:pPr>
    </w:p>
    <w:p w:rsidR="00D81A0F" w:rsidRPr="003C0F9A" w:rsidRDefault="00D81A0F" w:rsidP="00DE059E">
      <w:pPr>
        <w:spacing w:line="360" w:lineRule="auto"/>
        <w:contextualSpacing/>
        <w:rPr>
          <w:rFonts w:ascii="Arial" w:hAnsi="Arial" w:cs="Arial"/>
          <w:b/>
        </w:rPr>
      </w:pPr>
      <w:r w:rsidRPr="003C0F9A">
        <w:rPr>
          <w:rFonts w:ascii="Arial" w:hAnsi="Arial" w:cs="Arial"/>
          <w:b/>
        </w:rPr>
        <w:t>Purpose</w:t>
      </w:r>
    </w:p>
    <w:p w:rsidR="00D81A0F" w:rsidRDefault="00D81A0F" w:rsidP="00DE059E">
      <w:pPr>
        <w:spacing w:line="360" w:lineRule="auto"/>
        <w:contextualSpacing/>
        <w:rPr>
          <w:rFonts w:ascii="Arial" w:hAnsi="Arial" w:cs="Arial"/>
        </w:rPr>
      </w:pPr>
      <w:r>
        <w:rPr>
          <w:rFonts w:ascii="Arial" w:hAnsi="Arial" w:cs="Arial"/>
        </w:rPr>
        <w:t xml:space="preserve">We used the model to investigate under what conditions loss of tree cover </w:t>
      </w:r>
      <w:r w:rsidR="003C0F9A">
        <w:rPr>
          <w:rFonts w:ascii="Arial" w:hAnsi="Arial" w:cs="Arial"/>
        </w:rPr>
        <w:t xml:space="preserve">and basal area (BA) </w:t>
      </w:r>
      <w:r>
        <w:rPr>
          <w:rFonts w:ascii="Arial" w:hAnsi="Arial" w:cs="Arial"/>
        </w:rPr>
        <w:t>might occur in a simplified repr</w:t>
      </w:r>
      <w:r w:rsidR="002D6198">
        <w:rPr>
          <w:rFonts w:ascii="Arial" w:hAnsi="Arial" w:cs="Arial"/>
        </w:rPr>
        <w:t>esentation of a New Forest beech woodland.</w:t>
      </w:r>
    </w:p>
    <w:p w:rsidR="00D81A0F" w:rsidRDefault="00D81A0F" w:rsidP="00DE059E">
      <w:pPr>
        <w:spacing w:line="360" w:lineRule="auto"/>
        <w:contextualSpacing/>
        <w:rPr>
          <w:rFonts w:ascii="Arial" w:hAnsi="Arial" w:cs="Arial"/>
        </w:rPr>
      </w:pPr>
    </w:p>
    <w:p w:rsidR="00D81A0F" w:rsidRPr="00D81A0F" w:rsidRDefault="00D81A0F" w:rsidP="00DE059E">
      <w:pPr>
        <w:spacing w:line="360" w:lineRule="auto"/>
        <w:contextualSpacing/>
        <w:rPr>
          <w:rFonts w:ascii="Arial" w:hAnsi="Arial" w:cs="Arial"/>
          <w:b/>
        </w:rPr>
      </w:pPr>
      <w:r w:rsidRPr="00D81A0F">
        <w:rPr>
          <w:rFonts w:ascii="Arial" w:hAnsi="Arial" w:cs="Arial"/>
          <w:b/>
        </w:rPr>
        <w:t>Entities</w:t>
      </w:r>
      <w:r>
        <w:rPr>
          <w:rFonts w:ascii="Arial" w:hAnsi="Arial" w:cs="Arial"/>
          <w:b/>
        </w:rPr>
        <w:t>, state variables</w:t>
      </w:r>
      <w:r w:rsidRPr="00D81A0F">
        <w:rPr>
          <w:rFonts w:ascii="Arial" w:hAnsi="Arial" w:cs="Arial"/>
          <w:b/>
        </w:rPr>
        <w:t xml:space="preserve"> and </w:t>
      </w:r>
      <w:r>
        <w:rPr>
          <w:rFonts w:ascii="Arial" w:hAnsi="Arial" w:cs="Arial"/>
          <w:b/>
        </w:rPr>
        <w:t>scales</w:t>
      </w:r>
    </w:p>
    <w:p w:rsidR="003B528F" w:rsidRDefault="00D81A0F" w:rsidP="00DE059E">
      <w:pPr>
        <w:spacing w:line="360" w:lineRule="auto"/>
        <w:contextualSpacing/>
        <w:rPr>
          <w:rFonts w:ascii="Arial" w:hAnsi="Arial" w:cs="Arial"/>
        </w:rPr>
      </w:pPr>
      <w:r>
        <w:rPr>
          <w:rFonts w:ascii="Arial" w:hAnsi="Arial" w:cs="Arial"/>
        </w:rPr>
        <w:t>The model comprises of two types of entities: grid cells and individuals. Individuals represent beech trees. Each individual is ch</w:t>
      </w:r>
      <w:r w:rsidR="003B528F">
        <w:rPr>
          <w:rFonts w:ascii="Arial" w:hAnsi="Arial" w:cs="Arial"/>
        </w:rPr>
        <w:t xml:space="preserve">aracterised by its location, development stage (seedling, sapling, mature), </w:t>
      </w:r>
      <w:proofErr w:type="gramStart"/>
      <w:r w:rsidR="003B528F">
        <w:rPr>
          <w:rFonts w:ascii="Arial" w:hAnsi="Arial" w:cs="Arial"/>
        </w:rPr>
        <w:t>age</w:t>
      </w:r>
      <w:proofErr w:type="gramEnd"/>
      <w:r w:rsidR="003B528F">
        <w:rPr>
          <w:rFonts w:ascii="Arial" w:hAnsi="Arial" w:cs="Arial"/>
        </w:rPr>
        <w:t xml:space="preserve"> (in years), DBH (cm), basal area (</w:t>
      </w:r>
      <w:r w:rsidR="003B528F" w:rsidRPr="003B528F">
        <w:rPr>
          <w:rFonts w:ascii="Arial" w:hAnsi="Arial" w:cs="Arial"/>
        </w:rPr>
        <w:t>m</w:t>
      </w:r>
      <w:r w:rsidR="003B528F">
        <w:rPr>
          <w:rFonts w:ascii="Arial" w:hAnsi="Arial" w:cs="Arial"/>
          <w:vertAlign w:val="superscript"/>
        </w:rPr>
        <w:t>2</w:t>
      </w:r>
      <w:r w:rsidR="003B528F">
        <w:rPr>
          <w:rFonts w:ascii="Arial" w:hAnsi="Arial" w:cs="Arial"/>
        </w:rPr>
        <w:t>)</w:t>
      </w:r>
      <w:r w:rsidR="003B528F">
        <w:rPr>
          <w:rFonts w:ascii="Arial" w:hAnsi="Arial" w:cs="Arial"/>
          <w:vertAlign w:val="superscript"/>
        </w:rPr>
        <w:t xml:space="preserve"> </w:t>
      </w:r>
      <w:r w:rsidR="003B528F" w:rsidRPr="003B528F">
        <w:rPr>
          <w:rFonts w:ascii="Arial" w:hAnsi="Arial" w:cs="Arial"/>
        </w:rPr>
        <w:t>and</w:t>
      </w:r>
      <w:r w:rsidR="003B528F">
        <w:rPr>
          <w:rFonts w:ascii="Arial" w:hAnsi="Arial" w:cs="Arial"/>
        </w:rPr>
        <w:t xml:space="preserve">, mean seed dispersal distance (mean distance from the source, in number of cells). </w:t>
      </w:r>
      <w:r w:rsidR="00FA4889">
        <w:rPr>
          <w:rFonts w:ascii="Arial" w:hAnsi="Arial" w:cs="Arial"/>
        </w:rPr>
        <w:t xml:space="preserve">DBH of mature trees </w:t>
      </w:r>
      <w:r w:rsidR="00890A2D">
        <w:rPr>
          <w:rFonts w:ascii="Arial" w:hAnsi="Arial" w:cs="Arial"/>
        </w:rPr>
        <w:t xml:space="preserve">and saplings </w:t>
      </w:r>
      <w:r w:rsidR="00FA4889">
        <w:rPr>
          <w:rFonts w:ascii="Arial" w:hAnsi="Arial" w:cs="Arial"/>
        </w:rPr>
        <w:t xml:space="preserve">is derived from the age of trees using an equation for </w:t>
      </w:r>
      <w:r w:rsidR="00890A2D">
        <w:rPr>
          <w:rFonts w:ascii="Arial" w:hAnsi="Arial" w:cs="Arial"/>
        </w:rPr>
        <w:t xml:space="preserve">beech </w:t>
      </w:r>
      <w:r w:rsidR="00FA4889">
        <w:rPr>
          <w:rFonts w:ascii="Arial" w:hAnsi="Arial" w:cs="Arial"/>
        </w:rPr>
        <w:t xml:space="preserve">growth defined in </w:t>
      </w:r>
      <w:r w:rsidR="00FA4889">
        <w:rPr>
          <w:rFonts w:ascii="Arial" w:hAnsi="Arial" w:cs="Arial"/>
        </w:rPr>
        <w:fldChar w:fldCharType="begin" w:fldLock="1"/>
      </w:r>
      <w:r w:rsidR="00FA4889">
        <w:rPr>
          <w:rFonts w:ascii="Arial"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"manualFormatting" : "Holzwarth et al. (2013)", "plainTextFormattedCitation" : "(Holzwarth et al. 2013)", "previouslyFormattedCitation" : "(Holzwarth &lt;i&gt;et al.&lt;/i&gt; 2013)" }, "properties" : { "noteIndex" : 0 }, "schema" : "https://github.com/citation-style-language/schema/raw/master/csl-citation.json" }</w:instrText>
      </w:r>
      <w:r w:rsidR="00FA4889">
        <w:rPr>
          <w:rFonts w:ascii="Arial" w:hAnsi="Arial" w:cs="Arial"/>
        </w:rPr>
        <w:fldChar w:fldCharType="separate"/>
      </w:r>
      <w:r w:rsidR="00FA4889" w:rsidRPr="00FA4889">
        <w:rPr>
          <w:rFonts w:ascii="Arial" w:hAnsi="Arial" w:cs="Arial"/>
          <w:noProof/>
        </w:rPr>
        <w:t xml:space="preserve">Holzwarth </w:t>
      </w:r>
      <w:r w:rsidR="00FA4889" w:rsidRPr="00FA4889">
        <w:rPr>
          <w:rFonts w:ascii="Arial" w:hAnsi="Arial" w:cs="Arial"/>
          <w:i/>
          <w:noProof/>
        </w:rPr>
        <w:t>et al.</w:t>
      </w:r>
      <w:r w:rsidR="00FA4889" w:rsidRPr="00FA4889">
        <w:rPr>
          <w:rFonts w:ascii="Arial" w:hAnsi="Arial" w:cs="Arial"/>
          <w:noProof/>
        </w:rPr>
        <w:t xml:space="preserve"> </w:t>
      </w:r>
      <w:r w:rsidR="00FA4889">
        <w:rPr>
          <w:rFonts w:ascii="Arial" w:hAnsi="Arial" w:cs="Arial"/>
          <w:noProof/>
        </w:rPr>
        <w:t>(</w:t>
      </w:r>
      <w:r w:rsidR="00FA4889" w:rsidRPr="00FA4889">
        <w:rPr>
          <w:rFonts w:ascii="Arial" w:hAnsi="Arial" w:cs="Arial"/>
          <w:noProof/>
        </w:rPr>
        <w:t>2013)</w:t>
      </w:r>
      <w:r w:rsidR="00FA4889">
        <w:rPr>
          <w:rFonts w:ascii="Arial" w:hAnsi="Arial" w:cs="Arial"/>
        </w:rPr>
        <w:fldChar w:fldCharType="end"/>
      </w:r>
      <w:r w:rsidR="00890A2D">
        <w:rPr>
          <w:rFonts w:ascii="Arial" w:hAnsi="Arial" w:cs="Arial"/>
        </w:rPr>
        <w:t xml:space="preserve"> and BA defined as </w:t>
      </w:r>
      <m:oMath>
        <m:sSup>
          <m:sSupPr>
            <m:ctrlPr>
              <w:rPr>
                <w:rFonts w:ascii="Cambria Math" w:hAnsi="Cambria Math" w:cs="Arial"/>
                <w:sz w:val="16"/>
              </w:rPr>
            </m:ctrlPr>
          </m:sSupPr>
          <m:e>
            <m:d>
              <m:dPr>
                <m:ctrlPr>
                  <w:rPr>
                    <w:rFonts w:ascii="Cambria Math" w:hAnsi="Cambria Math" w:cs="Arial"/>
                    <w:sz w:val="16"/>
                  </w:rPr>
                </m:ctrlPr>
              </m:dPr>
              <m:e>
                <m:f>
                  <m:fPr>
                    <m:ctrlPr>
                      <w:rPr>
                        <w:rFonts w:ascii="Cambria Math" w:hAnsi="Cambria Math" w:cs="Arial"/>
                        <w:sz w:val="16"/>
                      </w:rPr>
                    </m:ctrlPr>
                  </m:fPr>
                  <m:num>
                    <m:r>
                      <m:rPr>
                        <m:sty m:val="p"/>
                      </m:rPr>
                      <w:rPr>
                        <w:rFonts w:ascii="Cambria Math" w:hAnsi="Cambria Math" w:cs="Arial"/>
                        <w:sz w:val="16"/>
                      </w:rPr>
                      <m:t>DBH</m:t>
                    </m:r>
                  </m:num>
                  <m:den>
                    <m:r>
                      <w:rPr>
                        <w:rFonts w:ascii="Cambria Math" w:hAnsi="Cambria Math" w:cs="Arial"/>
                        <w:sz w:val="16"/>
                      </w:rPr>
                      <m:t>200</m:t>
                    </m:r>
                  </m:den>
                </m:f>
              </m:e>
            </m:d>
          </m:e>
          <m:sup>
            <m:r>
              <w:rPr>
                <w:rFonts w:ascii="Cambria Math" w:hAnsi="Cambria Math" w:cs="Arial"/>
                <w:sz w:val="16"/>
              </w:rPr>
              <m:t>2</m:t>
            </m:r>
          </m:sup>
        </m:sSup>
        <m:r>
          <w:rPr>
            <w:rFonts w:ascii="Cambria Math" w:hAnsi="Cambria Math" w:cs="Arial"/>
            <w:sz w:val="16"/>
          </w:rPr>
          <m:t>×π</m:t>
        </m:r>
      </m:oMath>
      <w:r w:rsidR="00FA4889">
        <w:rPr>
          <w:rFonts w:ascii="Arial" w:hAnsi="Arial" w:cs="Arial"/>
        </w:rPr>
        <w:t xml:space="preserve">. </w:t>
      </w:r>
      <w:r w:rsidR="003B528F">
        <w:rPr>
          <w:rFonts w:ascii="Arial" w:hAnsi="Arial" w:cs="Arial"/>
        </w:rPr>
        <w:t xml:space="preserve">All grid cells in the model are considered suitable for individuals. </w:t>
      </w:r>
      <w:r w:rsidR="00890A2D">
        <w:rPr>
          <w:rFonts w:ascii="Arial" w:hAnsi="Arial" w:cs="Arial"/>
        </w:rPr>
        <w:t xml:space="preserve">Dispersal distance </w:t>
      </w:r>
      <w:r w:rsidR="002D6198">
        <w:rPr>
          <w:rFonts w:ascii="Arial" w:hAnsi="Arial" w:cs="Arial"/>
        </w:rPr>
        <w:t>is</w:t>
      </w:r>
      <w:r w:rsidR="00890A2D">
        <w:rPr>
          <w:rFonts w:ascii="Arial" w:hAnsi="Arial" w:cs="Arial"/>
        </w:rPr>
        <w:t xml:space="preserve"> a random number drawn from an exponential distribution with a mean of 5. </w:t>
      </w:r>
      <w:r w:rsidR="003B528F">
        <w:rPr>
          <w:rFonts w:ascii="Arial" w:hAnsi="Arial" w:cs="Arial"/>
        </w:rPr>
        <w:t>Each grid cell can only contain one mature individual, but may contain multiple seedlings and saplings. The model landscape consists of 100 x 100 grid cells, with each cell representing 1 m</w:t>
      </w:r>
      <w:r w:rsidR="003B528F">
        <w:rPr>
          <w:rFonts w:ascii="Arial" w:hAnsi="Arial" w:cs="Arial"/>
          <w:vertAlign w:val="superscript"/>
        </w:rPr>
        <w:t>2</w:t>
      </w:r>
      <w:r w:rsidR="003B528F">
        <w:rPr>
          <w:rFonts w:ascii="Arial" w:hAnsi="Arial" w:cs="Arial"/>
        </w:rPr>
        <w:t>, thus the entire area represents 1 ha. Each model time step represents one year.</w:t>
      </w:r>
    </w:p>
    <w:p w:rsidR="00FA4889" w:rsidRPr="00FA4889" w:rsidRDefault="00FA4889" w:rsidP="00DE059E">
      <w:pPr>
        <w:spacing w:line="360" w:lineRule="auto"/>
        <w:contextualSpacing/>
        <w:rPr>
          <w:rFonts w:ascii="Arial" w:hAnsi="Arial" w:cs="Arial"/>
          <w:b/>
        </w:rPr>
      </w:pPr>
      <w:r w:rsidRPr="00FA4889">
        <w:rPr>
          <w:rFonts w:ascii="Arial" w:hAnsi="Arial" w:cs="Arial"/>
          <w:b/>
        </w:rPr>
        <w:lastRenderedPageBreak/>
        <w:t>Process overview and scheduling</w:t>
      </w:r>
    </w:p>
    <w:p w:rsidR="00FA4889" w:rsidRDefault="00FA4889" w:rsidP="00DE059E">
      <w:pPr>
        <w:spacing w:line="360" w:lineRule="auto"/>
        <w:contextualSpacing/>
        <w:rPr>
          <w:rFonts w:ascii="Arial" w:hAnsi="Arial" w:cs="Arial"/>
        </w:rPr>
      </w:pPr>
      <w:r>
        <w:rPr>
          <w:rFonts w:ascii="Arial" w:hAnsi="Arial" w:cs="Arial"/>
        </w:rPr>
        <w:t>Initial</w:t>
      </w:r>
      <w:r w:rsidR="00890A2D">
        <w:rPr>
          <w:rFonts w:ascii="Arial" w:hAnsi="Arial" w:cs="Arial"/>
        </w:rPr>
        <w:t>ly</w:t>
      </w:r>
      <w:r>
        <w:rPr>
          <w:rFonts w:ascii="Arial" w:hAnsi="Arial" w:cs="Arial"/>
        </w:rPr>
        <w:t xml:space="preserve"> the distribution</w:t>
      </w:r>
      <w:r w:rsidR="00890A2D">
        <w:rPr>
          <w:rFonts w:ascii="Arial" w:hAnsi="Arial" w:cs="Arial"/>
        </w:rPr>
        <w:t xml:space="preserve"> </w:t>
      </w:r>
      <w:r w:rsidR="00133522">
        <w:rPr>
          <w:rFonts w:ascii="Arial" w:hAnsi="Arial" w:cs="Arial"/>
        </w:rPr>
        <w:t xml:space="preserve">of individuals </w:t>
      </w:r>
      <w:r w:rsidR="00890A2D">
        <w:rPr>
          <w:rFonts w:ascii="Arial" w:hAnsi="Arial" w:cs="Arial"/>
        </w:rPr>
        <w:t>is determined by randomly distributing 400 mature individuals with a random age drawn from an exponential distribution with a mean of 160 years assigned to each individual. At the same time 10,000 seedling</w:t>
      </w:r>
      <w:r w:rsidR="00133522">
        <w:rPr>
          <w:rFonts w:ascii="Arial" w:hAnsi="Arial" w:cs="Arial"/>
        </w:rPr>
        <w:t>s</w:t>
      </w:r>
      <w:r w:rsidR="00890A2D">
        <w:rPr>
          <w:rFonts w:ascii="Arial" w:hAnsi="Arial" w:cs="Arial"/>
        </w:rPr>
        <w:t xml:space="preserve"> are randomly distributed across the space.</w:t>
      </w:r>
      <w:r w:rsidR="003C0F9A">
        <w:rPr>
          <w:rFonts w:ascii="Arial" w:hAnsi="Arial" w:cs="Arial"/>
        </w:rPr>
        <w:t xml:space="preserve"> The</w:t>
      </w:r>
      <w:r w:rsidR="00133522">
        <w:rPr>
          <w:rFonts w:ascii="Arial" w:hAnsi="Arial" w:cs="Arial"/>
        </w:rPr>
        <w:t>n</w:t>
      </w:r>
      <w:r w:rsidR="003C0F9A">
        <w:rPr>
          <w:rFonts w:ascii="Arial" w:hAnsi="Arial" w:cs="Arial"/>
        </w:rPr>
        <w:t xml:space="preserve"> in each time step the following events are processed in the given order: increase age of individuals by one year, seed dispersal from mature trees &gt; 20 years old and death.</w:t>
      </w:r>
    </w:p>
    <w:p w:rsidR="003C0F9A" w:rsidRDefault="003C0F9A" w:rsidP="00DE059E">
      <w:pPr>
        <w:spacing w:line="360" w:lineRule="auto"/>
        <w:contextualSpacing/>
        <w:rPr>
          <w:rFonts w:ascii="Arial" w:hAnsi="Arial" w:cs="Arial"/>
        </w:rPr>
      </w:pPr>
    </w:p>
    <w:p w:rsidR="00133522" w:rsidRPr="00133522" w:rsidRDefault="00133522" w:rsidP="00DE059E">
      <w:pPr>
        <w:spacing w:line="360" w:lineRule="auto"/>
        <w:contextualSpacing/>
        <w:rPr>
          <w:rFonts w:ascii="Arial" w:hAnsi="Arial" w:cs="Arial"/>
          <w:b/>
        </w:rPr>
      </w:pPr>
      <w:r w:rsidRPr="00133522">
        <w:rPr>
          <w:rFonts w:ascii="Arial" w:hAnsi="Arial" w:cs="Arial"/>
          <w:b/>
        </w:rPr>
        <w:t>Design concepts</w:t>
      </w:r>
    </w:p>
    <w:p w:rsidR="00DE059E" w:rsidRPr="003C0F9A" w:rsidRDefault="00133522" w:rsidP="00DE059E">
      <w:pPr>
        <w:spacing w:line="360" w:lineRule="auto"/>
        <w:contextualSpacing/>
        <w:rPr>
          <w:rFonts w:ascii="Arial" w:hAnsi="Arial" w:cs="Arial"/>
        </w:rPr>
      </w:pPr>
      <w:r>
        <w:rPr>
          <w:rFonts w:ascii="Arial" w:hAnsi="Arial" w:cs="Arial"/>
        </w:rPr>
        <w:t>The t</w:t>
      </w:r>
      <w:r w:rsidR="003C0F9A">
        <w:rPr>
          <w:rFonts w:ascii="Arial" w:hAnsi="Arial" w:cs="Arial"/>
        </w:rPr>
        <w:t xml:space="preserve">otal number of mature trees and basal area </w:t>
      </w:r>
      <w:r w:rsidR="003C0F9A">
        <w:rPr>
          <w:rFonts w:ascii="Arial" w:hAnsi="Arial" w:cs="Arial"/>
          <w:i/>
        </w:rPr>
        <w:t>emerge</w:t>
      </w:r>
      <w:r w:rsidR="003C0F9A">
        <w:rPr>
          <w:rFonts w:ascii="Arial" w:hAnsi="Arial" w:cs="Arial"/>
        </w:rPr>
        <w:t xml:space="preserve"> from changes in the probability of mature tree mortality that occur as they age and increase in size, as well as from changes in the mortality of both seedlings and saplings.</w:t>
      </w:r>
      <w:r>
        <w:rPr>
          <w:rFonts w:ascii="Arial" w:hAnsi="Arial" w:cs="Arial"/>
        </w:rPr>
        <w:t xml:space="preserve"> </w:t>
      </w:r>
      <w:r w:rsidRPr="00133522">
        <w:rPr>
          <w:rFonts w:ascii="Arial" w:hAnsi="Arial" w:cs="Arial"/>
          <w:i/>
        </w:rPr>
        <w:t>Interactions</w:t>
      </w:r>
      <w:r>
        <w:rPr>
          <w:rFonts w:ascii="Arial" w:hAnsi="Arial" w:cs="Arial"/>
        </w:rPr>
        <w:t xml:space="preserve"> between individuals are the result of density dependant mortality processes, which show size asymmetry. This is modelled by defining a maximum number of s</w:t>
      </w:r>
      <w:r w:rsidR="00D77E51">
        <w:rPr>
          <w:rFonts w:ascii="Arial" w:hAnsi="Arial" w:cs="Arial"/>
        </w:rPr>
        <w:t>aplin</w:t>
      </w:r>
      <w:r>
        <w:rPr>
          <w:rFonts w:ascii="Arial" w:hAnsi="Arial" w:cs="Arial"/>
        </w:rPr>
        <w:t xml:space="preserve">gs that can coexist within </w:t>
      </w:r>
      <w:r w:rsidR="00D77E51">
        <w:rPr>
          <w:rFonts w:ascii="Arial" w:hAnsi="Arial" w:cs="Arial"/>
        </w:rPr>
        <w:t xml:space="preserve">the area as 274, following Putman et </w:t>
      </w:r>
      <w:proofErr w:type="spellStart"/>
      <w:r w:rsidR="00D77E51">
        <w:rPr>
          <w:rFonts w:ascii="Arial" w:hAnsi="Arial" w:cs="Arial"/>
        </w:rPr>
        <w:t>al’s</w:t>
      </w:r>
      <w:proofErr w:type="spellEnd"/>
      <w:r w:rsidR="00D77E51">
        <w:rPr>
          <w:rFonts w:ascii="Arial" w:hAnsi="Arial" w:cs="Arial"/>
        </w:rPr>
        <w:t xml:space="preserve"> (1989) estimation of sapling density in </w:t>
      </w:r>
      <w:proofErr w:type="spellStart"/>
      <w:r w:rsidR="00D77E51">
        <w:rPr>
          <w:rFonts w:ascii="Arial" w:hAnsi="Arial" w:cs="Arial"/>
        </w:rPr>
        <w:t>ungrazed</w:t>
      </w:r>
      <w:proofErr w:type="spellEnd"/>
      <w:r w:rsidR="00D77E51">
        <w:rPr>
          <w:rFonts w:ascii="Arial" w:hAnsi="Arial" w:cs="Arial"/>
        </w:rPr>
        <w:t xml:space="preserve"> plots in the New Forest.</w:t>
      </w:r>
    </w:p>
    <w:p w:rsidR="003C0F9A" w:rsidRDefault="003C0F9A" w:rsidP="00DE059E">
      <w:pPr>
        <w:spacing w:line="360" w:lineRule="auto"/>
        <w:contextualSpacing/>
        <w:rPr>
          <w:rFonts w:ascii="Arial" w:hAnsi="Arial" w:cs="Arial"/>
        </w:rPr>
      </w:pPr>
    </w:p>
    <w:p w:rsidR="00133522" w:rsidRDefault="00133522" w:rsidP="00133522">
      <w:pPr>
        <w:spacing w:line="360" w:lineRule="auto"/>
        <w:contextualSpacing/>
        <w:rPr>
          <w:rFonts w:ascii="Arial" w:hAnsi="Arial" w:cs="Arial"/>
          <w:b/>
        </w:rPr>
      </w:pPr>
      <w:r w:rsidRPr="00E94C26">
        <w:rPr>
          <w:rFonts w:ascii="Arial" w:hAnsi="Arial" w:cs="Arial"/>
          <w:b/>
        </w:rPr>
        <w:t>Results</w:t>
      </w:r>
    </w:p>
    <w:p w:rsidR="00133522" w:rsidRDefault="00133522" w:rsidP="00DE059E">
      <w:pPr>
        <w:spacing w:line="360" w:lineRule="auto"/>
        <w:contextualSpacing/>
        <w:rPr>
          <w:rFonts w:ascii="Arial" w:hAnsi="Arial" w:cs="Arial"/>
        </w:rPr>
      </w:pPr>
    </w:p>
    <w:p w:rsidR="00C46459" w:rsidRPr="00771784" w:rsidRDefault="00DE059E" w:rsidP="00DE059E">
      <w:pPr>
        <w:spacing w:line="360" w:lineRule="auto"/>
        <w:contextualSpacing/>
        <w:rPr>
          <w:rFonts w:ascii="Arial" w:hAnsi="Arial" w:cs="Arial"/>
          <w:b/>
        </w:rPr>
      </w:pPr>
      <w:r w:rsidRPr="00771784">
        <w:rPr>
          <w:rFonts w:ascii="Arial" w:hAnsi="Arial" w:cs="Arial"/>
          <w:b/>
        </w:rPr>
        <w:t>Tree mortality</w:t>
      </w:r>
    </w:p>
    <w:p w:rsidR="00DE059E" w:rsidRDefault="001E3EF1" w:rsidP="00DE059E">
      <w:pPr>
        <w:spacing w:line="360" w:lineRule="auto"/>
        <w:ind w:firstLine="360"/>
        <w:contextualSpacing/>
        <w:rPr>
          <w:rFonts w:ascii="Arial" w:hAnsi="Arial" w:cs="Arial"/>
        </w:rPr>
      </w:pPr>
      <w:r>
        <w:rPr>
          <w:rFonts w:ascii="Arial" w:hAnsi="Arial" w:cs="Arial"/>
        </w:rPr>
        <w:t>The slope of the relationship between log subplot stem density and log subplot basal area was positive (slope=0.41 ± 0.05, marginal R</w:t>
      </w:r>
      <w:r>
        <w:rPr>
          <w:rFonts w:ascii="Arial" w:hAnsi="Arial" w:cs="Arial"/>
          <w:vertAlign w:val="superscript"/>
        </w:rPr>
        <w:t>2</w:t>
      </w:r>
      <w:r w:rsidR="001D2BB7">
        <w:rPr>
          <w:rFonts w:ascii="Arial" w:hAnsi="Arial" w:cs="Arial"/>
        </w:rPr>
        <w:t>=0.24, Figure 1</w:t>
      </w:r>
      <w:r>
        <w:rPr>
          <w:rFonts w:ascii="Arial" w:hAnsi="Arial" w:cs="Arial"/>
        </w:rPr>
        <w:t>). However, in general subplots lost both stem density and basal area</w:t>
      </w:r>
      <w:r w:rsidR="001D2BB7">
        <w:rPr>
          <w:rFonts w:ascii="Arial" w:hAnsi="Arial" w:cs="Arial"/>
        </w:rPr>
        <w:t xml:space="preserve"> between 1964 and 2014 (Figure 1</w:t>
      </w:r>
      <w:r>
        <w:rPr>
          <w:rFonts w:ascii="Arial" w:hAnsi="Arial" w:cs="Arial"/>
        </w:rPr>
        <w:t xml:space="preserve">). Given that self-thinning processes tend to be </w:t>
      </w:r>
      <w:r w:rsidR="007620D4">
        <w:rPr>
          <w:rFonts w:ascii="Arial" w:hAnsi="Arial" w:cs="Arial"/>
        </w:rPr>
        <w:t xml:space="preserve">strongest </w:t>
      </w:r>
      <w:r>
        <w:rPr>
          <w:rFonts w:ascii="Arial" w:hAnsi="Arial" w:cs="Arial"/>
        </w:rPr>
        <w:t xml:space="preserve">when plots are increasing in biomass and losing stem density at the same time </w:t>
      </w:r>
      <w:r>
        <w:rPr>
          <w:rFonts w:ascii="Arial" w:hAnsi="Arial" w:cs="Arial"/>
        </w:rPr>
        <w:fldChar w:fldCharType="begin" w:fldLock="1"/>
      </w:r>
      <w:r w:rsidR="008C77A4">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Pr>
          <w:rFonts w:ascii="Arial" w:hAnsi="Arial" w:cs="Arial"/>
        </w:rPr>
        <w:fldChar w:fldCharType="separate"/>
      </w:r>
      <w:r w:rsidRPr="001E3EF1">
        <w:rPr>
          <w:rFonts w:ascii="Arial" w:hAnsi="Arial" w:cs="Arial"/>
          <w:noProof/>
        </w:rPr>
        <w:t>(Coomes &amp; Allen 2007)</w:t>
      </w:r>
      <w:r>
        <w:rPr>
          <w:rFonts w:ascii="Arial" w:hAnsi="Arial" w:cs="Arial"/>
        </w:rPr>
        <w:fldChar w:fldCharType="end"/>
      </w:r>
      <w:r>
        <w:rPr>
          <w:rFonts w:ascii="Arial" w:hAnsi="Arial" w:cs="Arial"/>
        </w:rPr>
        <w:t xml:space="preserve"> </w:t>
      </w:r>
      <w:r w:rsidR="007620D4">
        <w:rPr>
          <w:rFonts w:ascii="Arial" w:hAnsi="Arial" w:cs="Arial"/>
        </w:rPr>
        <w:t xml:space="preserve">such processes are </w:t>
      </w:r>
      <w:r>
        <w:rPr>
          <w:rFonts w:ascii="Arial" w:hAnsi="Arial" w:cs="Arial"/>
        </w:rPr>
        <w:t>unlikely to be responsible for the majority of tree death seen in Denny wood from 1964-2014.</w:t>
      </w:r>
    </w:p>
    <w:p w:rsidR="007620D4" w:rsidRDefault="00DE059E" w:rsidP="00DE059E">
      <w:pPr>
        <w:spacing w:line="360" w:lineRule="auto"/>
        <w:ind w:firstLine="360"/>
        <w:contextualSpacing/>
        <w:rPr>
          <w:rFonts w:ascii="Arial" w:hAnsi="Arial" w:cs="Arial"/>
        </w:rPr>
      </w:pPr>
      <w:r>
        <w:rPr>
          <w:rFonts w:ascii="Arial" w:hAnsi="Arial" w:cs="Arial"/>
        </w:rPr>
        <w:t xml:space="preserve">When predicting the mortality of individual beech trees </w:t>
      </w:r>
      <w:r w:rsidR="00527662">
        <w:rPr>
          <w:rFonts w:ascii="Arial" w:hAnsi="Arial" w:cs="Arial"/>
        </w:rPr>
        <w:t>growth rate was considered the most important predictor, as it was included in all models with a ΔAICc≤7. Trees that grew slowly or shrunk were more likely to die than those that grew relatively quickly (slope=-0.59</w:t>
      </w:r>
      <w:r>
        <w:rPr>
          <w:rFonts w:ascii="Arial" w:hAnsi="Arial" w:cs="Arial"/>
        </w:rPr>
        <w:t xml:space="preserve"> </w:t>
      </w:r>
      <w:r w:rsidR="00527662">
        <w:rPr>
          <w:rFonts w:ascii="Arial" w:hAnsi="Arial" w:cs="Arial"/>
        </w:rPr>
        <w:t>±</w:t>
      </w:r>
      <w:r>
        <w:rPr>
          <w:rFonts w:ascii="Arial" w:hAnsi="Arial" w:cs="Arial"/>
        </w:rPr>
        <w:t xml:space="preserve"> </w:t>
      </w:r>
      <w:r w:rsidR="001D2BB7">
        <w:rPr>
          <w:rFonts w:ascii="Arial" w:hAnsi="Arial" w:cs="Arial"/>
        </w:rPr>
        <w:t>0.06, P value &lt;0.001, Figure 2</w:t>
      </w:r>
      <w:r w:rsidR="00527662">
        <w:rPr>
          <w:rFonts w:ascii="Arial" w:hAnsi="Arial" w:cs="Arial"/>
        </w:rPr>
        <w:t>a). Next most important was tree DBH with an importance value of 0.8, and models suggested that tree size was positively correlated with probability of mortality (slope=0.21</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0.05</w:t>
      </w:r>
      <w:r>
        <w:rPr>
          <w:rFonts w:ascii="Arial" w:hAnsi="Arial" w:cs="Arial"/>
        </w:rPr>
        <w:t>,</w:t>
      </w:r>
      <w:r w:rsidRPr="00DE059E">
        <w:rPr>
          <w:rFonts w:ascii="Arial" w:hAnsi="Arial" w:cs="Arial"/>
        </w:rPr>
        <w:t xml:space="preserve"> </w:t>
      </w:r>
      <w:r>
        <w:rPr>
          <w:rFonts w:ascii="Arial" w:hAnsi="Arial" w:cs="Arial"/>
        </w:rPr>
        <w:t>P value&lt;0.001</w:t>
      </w:r>
      <w:r w:rsidR="001D2BB7">
        <w:rPr>
          <w:rFonts w:ascii="Arial" w:hAnsi="Arial" w:cs="Arial"/>
        </w:rPr>
        <w:t>, Figure 2</w:t>
      </w:r>
      <w:r w:rsidR="00527662">
        <w:rPr>
          <w:rFonts w:ascii="Arial" w:hAnsi="Arial" w:cs="Arial"/>
        </w:rPr>
        <w:t>b). Distance to nearest dead tree and soil type were of similar importance with importance values of 0.52 and 0.45 respectively, with models indicating that trees closer to dead trees were more likely to subsequently die (slope=-0.24</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0.06,</w:t>
      </w:r>
      <w:r w:rsidR="00527662" w:rsidRPr="00527662">
        <w:rPr>
          <w:rFonts w:ascii="Arial" w:hAnsi="Arial" w:cs="Arial"/>
        </w:rPr>
        <w:t xml:space="preserve"> </w:t>
      </w:r>
      <w:r w:rsidR="00527662">
        <w:rPr>
          <w:rFonts w:ascii="Arial" w:hAnsi="Arial" w:cs="Arial"/>
        </w:rPr>
        <w:t>P value&lt;0.001</w:t>
      </w:r>
      <w:r>
        <w:rPr>
          <w:rFonts w:ascii="Arial" w:hAnsi="Arial" w:cs="Arial"/>
        </w:rPr>
        <w:t>,</w:t>
      </w:r>
      <w:r w:rsidRPr="00DE059E">
        <w:rPr>
          <w:rFonts w:ascii="Arial" w:hAnsi="Arial" w:cs="Arial"/>
        </w:rPr>
        <w:t xml:space="preserve"> </w:t>
      </w:r>
      <w:r w:rsidR="001D2BB7">
        <w:rPr>
          <w:rFonts w:ascii="Arial" w:hAnsi="Arial" w:cs="Arial"/>
        </w:rPr>
        <w:t>Figure 2</w:t>
      </w:r>
      <w:r>
        <w:rPr>
          <w:rFonts w:ascii="Arial" w:hAnsi="Arial" w:cs="Arial"/>
        </w:rPr>
        <w:t>c</w:t>
      </w:r>
      <w:r w:rsidR="00527662">
        <w:rPr>
          <w:rFonts w:ascii="Arial" w:hAnsi="Arial" w:cs="Arial"/>
        </w:rPr>
        <w:t>) and trees located in areas of the forest where soils had higher sand content were less likely to die (slope</w:t>
      </w:r>
      <w:r w:rsidR="00F7662A">
        <w:rPr>
          <w:rFonts w:ascii="Arial" w:hAnsi="Arial" w:cs="Arial"/>
        </w:rPr>
        <w:t>=</w:t>
      </w:r>
      <w:r w:rsidR="00527662">
        <w:rPr>
          <w:rFonts w:ascii="Arial" w:hAnsi="Arial" w:cs="Arial"/>
        </w:rPr>
        <w:t>-0.27</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0.01, P value&lt;0.001</w:t>
      </w:r>
      <w:r>
        <w:rPr>
          <w:rFonts w:ascii="Arial" w:hAnsi="Arial" w:cs="Arial"/>
        </w:rPr>
        <w:t>,</w:t>
      </w:r>
      <w:r w:rsidRPr="00DE059E">
        <w:rPr>
          <w:rFonts w:ascii="Arial" w:hAnsi="Arial" w:cs="Arial"/>
        </w:rPr>
        <w:t xml:space="preserve"> </w:t>
      </w:r>
      <w:r w:rsidR="001D2BB7">
        <w:rPr>
          <w:rFonts w:ascii="Arial" w:hAnsi="Arial" w:cs="Arial"/>
        </w:rPr>
        <w:t>Figure 2</w:t>
      </w:r>
      <w:r>
        <w:rPr>
          <w:rFonts w:ascii="Arial" w:hAnsi="Arial" w:cs="Arial"/>
        </w:rPr>
        <w:t>d</w:t>
      </w:r>
      <w:r w:rsidR="00527662">
        <w:rPr>
          <w:rFonts w:ascii="Arial" w:hAnsi="Arial" w:cs="Arial"/>
        </w:rPr>
        <w:t>)</w:t>
      </w:r>
      <w:r>
        <w:rPr>
          <w:rFonts w:ascii="Arial" w:hAnsi="Arial" w:cs="Arial"/>
        </w:rPr>
        <w:t>.</w:t>
      </w:r>
    </w:p>
    <w:p w:rsidR="00DE059E" w:rsidRDefault="00DE059E" w:rsidP="00DE059E">
      <w:pPr>
        <w:spacing w:line="360" w:lineRule="auto"/>
        <w:contextualSpacing/>
        <w:rPr>
          <w:rFonts w:ascii="Arial" w:hAnsi="Arial" w:cs="Arial"/>
        </w:rPr>
      </w:pPr>
    </w:p>
    <w:p w:rsidR="00DE059E" w:rsidRPr="00BF6D02" w:rsidRDefault="00DE059E" w:rsidP="00DE059E">
      <w:pPr>
        <w:spacing w:line="360" w:lineRule="auto"/>
        <w:contextualSpacing/>
        <w:rPr>
          <w:rFonts w:ascii="Arial" w:hAnsi="Arial" w:cs="Arial"/>
          <w:b/>
        </w:rPr>
      </w:pPr>
      <w:r w:rsidRPr="00771784">
        <w:rPr>
          <w:rFonts w:ascii="Arial" w:hAnsi="Arial" w:cs="Arial"/>
          <w:b/>
        </w:rPr>
        <w:lastRenderedPageBreak/>
        <w:t>Tree recruitment</w:t>
      </w:r>
    </w:p>
    <w:p w:rsidR="00014F29" w:rsidRDefault="00014F29" w:rsidP="00014F29">
      <w:pPr>
        <w:spacing w:line="360" w:lineRule="auto"/>
        <w:ind w:firstLine="360"/>
        <w:contextualSpacing/>
        <w:rPr>
          <w:rFonts w:ascii="Arial" w:hAnsi="Arial" w:cs="Arial"/>
        </w:rPr>
      </w:pPr>
      <w:r>
        <w:rPr>
          <w:rFonts w:ascii="Arial" w:hAnsi="Arial" w:cs="Arial"/>
        </w:rPr>
        <w:t>Mean beech seedling density (± SE) in 2014 was 115.22 ± 32.14 seedlings ha</w:t>
      </w:r>
      <w:r>
        <w:rPr>
          <w:rFonts w:ascii="Arial" w:hAnsi="Arial" w:cs="Arial"/>
          <w:vertAlign w:val="superscript"/>
        </w:rPr>
        <w:t>-1</w:t>
      </w:r>
      <w:r>
        <w:rPr>
          <w:rFonts w:ascii="Arial" w:hAnsi="Arial" w:cs="Arial"/>
        </w:rPr>
        <w:t>. Canopy openness was positively related to beech seedling density (slope=0.56 ± 0.09, P value &lt;0.001), but no other variables were included in models which had ΔAICc≤7 and thus were considered to have poor support. No metrics of deer or pony density were related to seedling density in any way.</w:t>
      </w:r>
    </w:p>
    <w:p w:rsidR="00014F29" w:rsidRDefault="00627B44" w:rsidP="00627B44">
      <w:pPr>
        <w:spacing w:line="360" w:lineRule="auto"/>
        <w:ind w:firstLine="360"/>
        <w:contextualSpacing/>
        <w:rPr>
          <w:rFonts w:ascii="Arial" w:hAnsi="Arial" w:cs="Arial"/>
        </w:rPr>
      </w:pPr>
      <w:r>
        <w:rPr>
          <w:rFonts w:ascii="Arial" w:hAnsi="Arial" w:cs="Arial"/>
        </w:rPr>
        <w:t xml:space="preserve">There appeared to be a negative relationship between sapling density and canopy openness. Only 6 plots had any saplings present, but all of these plots had a canopy openness of &lt; 20%. </w:t>
      </w:r>
      <w:r w:rsidR="00093EB5">
        <w:rPr>
          <w:rFonts w:ascii="Arial" w:hAnsi="Arial" w:cs="Arial"/>
        </w:rPr>
        <w:t xml:space="preserve">There was a positive relationship </w:t>
      </w:r>
      <w:r w:rsidR="00BA02A4">
        <w:rPr>
          <w:rFonts w:ascii="Arial" w:hAnsi="Arial" w:cs="Arial"/>
        </w:rPr>
        <w:t xml:space="preserve">between mature beech density and sapling density </w:t>
      </w:r>
      <w:r w:rsidR="00093EB5">
        <w:rPr>
          <w:rFonts w:ascii="Arial" w:hAnsi="Arial" w:cs="Arial"/>
        </w:rPr>
        <w:t>(slope=</w:t>
      </w:r>
      <w:r w:rsidR="00093EB5" w:rsidRPr="00093EB5">
        <w:t xml:space="preserve"> </w:t>
      </w:r>
      <w:r w:rsidR="00093EB5">
        <w:rPr>
          <w:rFonts w:ascii="Arial" w:hAnsi="Arial" w:cs="Arial"/>
        </w:rPr>
        <w:t>1.27 ± 0.14, P value&lt;0.0001), and sapling density tended to be reduced over time (slope=</w:t>
      </w:r>
      <w:r w:rsidR="00093EB5" w:rsidRPr="00093EB5">
        <w:t xml:space="preserve"> </w:t>
      </w:r>
      <w:r w:rsidR="00093EB5">
        <w:rPr>
          <w:rFonts w:ascii="Arial" w:hAnsi="Arial" w:cs="Arial"/>
        </w:rPr>
        <w:t xml:space="preserve">-0.69 ± 0.10, P value&lt;0.0001). The relationship between mature beech density and sapling density grew more positive over time (interaction term=0.38 ± 0.09, P value&lt;0.001), though since the density of mature trees was also reduced over </w:t>
      </w:r>
      <w:r w:rsidR="00DB2427">
        <w:rPr>
          <w:rFonts w:ascii="Arial" w:hAnsi="Arial" w:cs="Arial"/>
        </w:rPr>
        <w:t xml:space="preserve">this </w:t>
      </w:r>
      <w:r w:rsidR="00093EB5">
        <w:rPr>
          <w:rFonts w:ascii="Arial" w:hAnsi="Arial" w:cs="Arial"/>
        </w:rPr>
        <w:t xml:space="preserve">time </w:t>
      </w:r>
      <w:r w:rsidR="00771784">
        <w:rPr>
          <w:rFonts w:ascii="Arial" w:hAnsi="Arial" w:cs="Arial"/>
        </w:rPr>
        <w:t xml:space="preserve">period </w:t>
      </w:r>
      <w:r w:rsidR="00093EB5">
        <w:rPr>
          <w:rFonts w:ascii="Arial" w:hAnsi="Arial" w:cs="Arial"/>
        </w:rPr>
        <w:t>this effect was relatively unimportant in determining sapling densities.</w:t>
      </w:r>
      <w:r w:rsidR="00771784">
        <w:rPr>
          <w:rFonts w:ascii="Arial" w:hAnsi="Arial" w:cs="Arial"/>
        </w:rPr>
        <w:t xml:space="preserve"> As the number of beech saplings declined during the years 1964-2014, so did the mortality rates of these saplings</w:t>
      </w:r>
      <w:r w:rsidR="00014F29">
        <w:rPr>
          <w:rFonts w:ascii="Arial" w:hAnsi="Arial" w:cs="Arial"/>
        </w:rPr>
        <w:t>, from a maximum of 4.07% per year in 1964-1984 to 0.50% in 1996-2014</w:t>
      </w:r>
      <w:r w:rsidR="00771784">
        <w:rPr>
          <w:rFonts w:ascii="Arial" w:hAnsi="Arial" w:cs="Arial"/>
        </w:rPr>
        <w:t xml:space="preserve"> (Table 2). Conversely the proportion of saplings that became mature trees (&gt;10 cm DBH) showed an increase over this time period</w:t>
      </w:r>
      <w:r w:rsidR="00014F29">
        <w:rPr>
          <w:rFonts w:ascii="Arial" w:hAnsi="Arial" w:cs="Arial"/>
        </w:rPr>
        <w:t xml:space="preserve"> (Table 2)</w:t>
      </w:r>
      <w:r w:rsidR="00771784">
        <w:rPr>
          <w:rFonts w:ascii="Arial" w:hAnsi="Arial" w:cs="Arial"/>
        </w:rPr>
        <w:t>.</w:t>
      </w:r>
    </w:p>
    <w:p w:rsidR="00C46459" w:rsidRPr="00E94C26" w:rsidRDefault="00C46459" w:rsidP="00DE059E">
      <w:pPr>
        <w:spacing w:line="360" w:lineRule="auto"/>
        <w:contextualSpacing/>
        <w:rPr>
          <w:rFonts w:ascii="Arial" w:hAnsi="Arial" w:cs="Arial"/>
        </w:rPr>
      </w:pPr>
    </w:p>
    <w:p w:rsidR="00210A49" w:rsidRDefault="00210A49" w:rsidP="00DE059E">
      <w:pPr>
        <w:spacing w:line="360" w:lineRule="auto"/>
        <w:contextualSpacing/>
        <w:rPr>
          <w:rFonts w:ascii="Arial" w:hAnsi="Arial" w:cs="Arial"/>
          <w:b/>
        </w:rPr>
      </w:pPr>
      <w:r w:rsidRPr="00E94C26">
        <w:rPr>
          <w:rFonts w:ascii="Arial" w:hAnsi="Arial" w:cs="Arial"/>
          <w:b/>
        </w:rPr>
        <w:t>Discussion</w:t>
      </w:r>
    </w:p>
    <w:p w:rsidR="005C3479" w:rsidRPr="00E94C26" w:rsidRDefault="005C3479" w:rsidP="00DE059E">
      <w:pPr>
        <w:spacing w:line="360" w:lineRule="auto"/>
        <w:contextualSpacing/>
        <w:rPr>
          <w:rFonts w:ascii="Arial" w:hAnsi="Arial" w:cs="Arial"/>
          <w:b/>
        </w:rPr>
      </w:pPr>
    </w:p>
    <w:p w:rsidR="00210A49" w:rsidRPr="00F262DF" w:rsidRDefault="00210A49" w:rsidP="00DE059E">
      <w:pPr>
        <w:spacing w:line="360" w:lineRule="auto"/>
        <w:contextualSpacing/>
        <w:rPr>
          <w:rFonts w:ascii="Arial" w:hAnsi="Arial" w:cs="Arial"/>
          <w:b/>
        </w:rPr>
      </w:pPr>
      <w:r w:rsidRPr="00F262DF">
        <w:rPr>
          <w:rFonts w:ascii="Arial" w:hAnsi="Arial" w:cs="Arial"/>
          <w:b/>
        </w:rPr>
        <w:t>References</w:t>
      </w:r>
    </w:p>
    <w:p w:rsidR="00FA4889" w:rsidRPr="00FA4889" w:rsidRDefault="00F262DF">
      <w:pPr>
        <w:pStyle w:val="NormalWeb"/>
        <w:ind w:left="480" w:hanging="480"/>
        <w:divId w:val="1795169248"/>
        <w:rPr>
          <w:rFonts w:ascii="Arial" w:hAnsi="Arial" w:cs="Arial"/>
          <w:noProof/>
          <w:sz w:val="22"/>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00FA4889" w:rsidRPr="00FA4889">
        <w:rPr>
          <w:rFonts w:ascii="Arial" w:hAnsi="Arial" w:cs="Arial"/>
          <w:noProof/>
          <w:sz w:val="22"/>
        </w:rPr>
        <w:t xml:space="preserve">Acácio, V., Holmgren, M., Jansen, P.A. &amp; Schrotter, O. (2007) Multiple Recruitment Limitation Causes Arrested Succession in Mediterranean Cork Oak Systems. </w:t>
      </w:r>
      <w:r w:rsidR="00FA4889" w:rsidRPr="00FA4889">
        <w:rPr>
          <w:rFonts w:ascii="Arial" w:hAnsi="Arial" w:cs="Arial"/>
          <w:i/>
          <w:iCs/>
          <w:noProof/>
          <w:sz w:val="22"/>
        </w:rPr>
        <w:t>Ecosystems</w:t>
      </w:r>
      <w:r w:rsidR="00FA4889" w:rsidRPr="00FA4889">
        <w:rPr>
          <w:rFonts w:ascii="Arial" w:hAnsi="Arial" w:cs="Arial"/>
          <w:noProof/>
          <w:sz w:val="22"/>
        </w:rPr>
        <w:t xml:space="preserve">, </w:t>
      </w:r>
      <w:r w:rsidR="00FA4889" w:rsidRPr="00FA4889">
        <w:rPr>
          <w:rFonts w:ascii="Arial" w:hAnsi="Arial" w:cs="Arial"/>
          <w:b/>
          <w:bCs/>
          <w:noProof/>
          <w:sz w:val="22"/>
        </w:rPr>
        <w:t>10</w:t>
      </w:r>
      <w:r w:rsidR="00FA4889" w:rsidRPr="00FA4889">
        <w:rPr>
          <w:rFonts w:ascii="Arial" w:hAnsi="Arial" w:cs="Arial"/>
          <w:noProof/>
          <w:sz w:val="22"/>
        </w:rPr>
        <w:t>, 1220–1230.</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Allen, C.D., Macalady, A.K., Chenchouni, H., Bachelet, D., McDowell, N., Vennetier, M., Kitzberger, T., Rigling, A., Breshears, D.D., Hogg, E.H. (Ted), Gonzalez, P., Fensham, R., Zhang, Z., Castro, J., Demidova, N., Lim, J.H., Allard, G., Running, S.W., Semerci, A. &amp; Cobb, N. (2010) A global overview of drought and heat-induced tree mortality reveals emerging climate change risks for forests. </w:t>
      </w:r>
      <w:r w:rsidRPr="00FA4889">
        <w:rPr>
          <w:rFonts w:ascii="Arial" w:hAnsi="Arial" w:cs="Arial"/>
          <w:i/>
          <w:iCs/>
          <w:noProof/>
          <w:sz w:val="22"/>
        </w:rPr>
        <w:t>Forest Ecology and Management</w:t>
      </w:r>
      <w:r w:rsidRPr="00FA4889">
        <w:rPr>
          <w:rFonts w:ascii="Arial" w:hAnsi="Arial" w:cs="Arial"/>
          <w:noProof/>
          <w:sz w:val="22"/>
        </w:rPr>
        <w:t xml:space="preserve">, </w:t>
      </w:r>
      <w:r w:rsidRPr="00FA4889">
        <w:rPr>
          <w:rFonts w:ascii="Arial" w:hAnsi="Arial" w:cs="Arial"/>
          <w:b/>
          <w:bCs/>
          <w:noProof/>
          <w:sz w:val="22"/>
        </w:rPr>
        <w:t>259</w:t>
      </w:r>
      <w:r w:rsidRPr="00FA4889">
        <w:rPr>
          <w:rFonts w:ascii="Arial" w:hAnsi="Arial" w:cs="Arial"/>
          <w:noProof/>
          <w:sz w:val="22"/>
        </w:rPr>
        <w:t>, 660–684.</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Barlow, J. &amp; Peres, C. a. (2008) Fire-mediated dieback and compositional cascade in an Amazonian forest. </w:t>
      </w:r>
      <w:r w:rsidRPr="00FA4889">
        <w:rPr>
          <w:rFonts w:ascii="Arial" w:hAnsi="Arial" w:cs="Arial"/>
          <w:i/>
          <w:iCs/>
          <w:noProof/>
          <w:sz w:val="22"/>
        </w:rPr>
        <w:t>Philosophical transactions of the Royal Society of London. Series B, Biological sciences</w:t>
      </w:r>
      <w:r w:rsidRPr="00FA4889">
        <w:rPr>
          <w:rFonts w:ascii="Arial" w:hAnsi="Arial" w:cs="Arial"/>
          <w:noProof/>
          <w:sz w:val="22"/>
        </w:rPr>
        <w:t xml:space="preserve">, </w:t>
      </w:r>
      <w:r w:rsidRPr="00FA4889">
        <w:rPr>
          <w:rFonts w:ascii="Arial" w:hAnsi="Arial" w:cs="Arial"/>
          <w:b/>
          <w:bCs/>
          <w:noProof/>
          <w:sz w:val="22"/>
        </w:rPr>
        <w:t>363</w:t>
      </w:r>
      <w:r w:rsidRPr="00FA4889">
        <w:rPr>
          <w:rFonts w:ascii="Arial" w:hAnsi="Arial" w:cs="Arial"/>
          <w:noProof/>
          <w:sz w:val="22"/>
        </w:rPr>
        <w:t>, 1787–94.</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Benchimol, M. &amp; Peres, C.A. (2015) Edge-mediated compositional and functional decay of tree assemblages in Amazonian forest islands after 26 years of isolation.</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Brando, P.M., Balch, J.K., Nepstad, D.C., Morton, D.C., Putz, F.E., Coe, M.T., Silvério, D., Macedo, M.N., Davidson, E.A., Nóbrega, C.C., Alencar, A. &amp; Soares-Filho, B.S. (2014) </w:t>
      </w:r>
      <w:r w:rsidRPr="00FA4889">
        <w:rPr>
          <w:rFonts w:ascii="Arial" w:hAnsi="Arial" w:cs="Arial"/>
          <w:noProof/>
          <w:sz w:val="22"/>
        </w:rPr>
        <w:lastRenderedPageBreak/>
        <w:t xml:space="preserve">Abrupt increases in Amazonian tree mortality due to drought-fire interactions. </w:t>
      </w:r>
      <w:r w:rsidRPr="00FA4889">
        <w:rPr>
          <w:rFonts w:ascii="Arial" w:hAnsi="Arial" w:cs="Arial"/>
          <w:i/>
          <w:iCs/>
          <w:noProof/>
          <w:sz w:val="22"/>
        </w:rPr>
        <w:t>Proceedings of the National Academy of Sciences of the United States of America</w:t>
      </w:r>
      <w:r w:rsidRPr="00FA4889">
        <w:rPr>
          <w:rFonts w:ascii="Arial" w:hAnsi="Arial" w:cs="Arial"/>
          <w:noProof/>
          <w:sz w:val="22"/>
        </w:rPr>
        <w:t xml:space="preserve">, </w:t>
      </w:r>
      <w:r w:rsidRPr="00FA4889">
        <w:rPr>
          <w:rFonts w:ascii="Arial" w:hAnsi="Arial" w:cs="Arial"/>
          <w:b/>
          <w:bCs/>
          <w:noProof/>
          <w:sz w:val="22"/>
        </w:rPr>
        <w:t>111</w:t>
      </w:r>
      <w:r w:rsidRPr="00FA4889">
        <w:rPr>
          <w:rFonts w:ascii="Arial" w:hAnsi="Arial" w:cs="Arial"/>
          <w:noProof/>
          <w:sz w:val="22"/>
        </w:rPr>
        <w:t>, 6347–52.</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Burnham, K.P. &amp; Anderson, D.R. (2002) </w:t>
      </w:r>
      <w:r w:rsidRPr="00FA4889">
        <w:rPr>
          <w:rFonts w:ascii="Arial" w:hAnsi="Arial" w:cs="Arial"/>
          <w:i/>
          <w:iCs/>
          <w:noProof/>
          <w:sz w:val="22"/>
        </w:rPr>
        <w:t>Model Selection and Multimodel Inference: A Practical Information-Theoretic Approach</w:t>
      </w:r>
      <w:r w:rsidRPr="00FA4889">
        <w:rPr>
          <w:rFonts w:ascii="Arial" w:hAnsi="Arial" w:cs="Arial"/>
          <w:noProof/>
          <w:sz w:val="22"/>
        </w:rPr>
        <w:t>.</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Camarero, J.J., Gazol, A., Sangüesa-Barreda, G., Oliva, J. &amp; Vicente-Serrano, S.M. (2015) To die or not to die: early warnings of tree dieback in response to a severe drought (ed D Gibson). </w:t>
      </w:r>
      <w:r w:rsidRPr="00FA4889">
        <w:rPr>
          <w:rFonts w:ascii="Arial" w:hAnsi="Arial" w:cs="Arial"/>
          <w:i/>
          <w:iCs/>
          <w:noProof/>
          <w:sz w:val="22"/>
        </w:rPr>
        <w:t>Journal of Ecology</w:t>
      </w:r>
      <w:r w:rsidRPr="00FA4889">
        <w:rPr>
          <w:rFonts w:ascii="Arial" w:hAnsi="Arial" w:cs="Arial"/>
          <w:noProof/>
          <w:sz w:val="22"/>
        </w:rPr>
        <w:t xml:space="preserve">, </w:t>
      </w:r>
      <w:r w:rsidRPr="00FA4889">
        <w:rPr>
          <w:rFonts w:ascii="Arial" w:hAnsi="Arial" w:cs="Arial"/>
          <w:b/>
          <w:bCs/>
          <w:noProof/>
          <w:sz w:val="22"/>
        </w:rPr>
        <w:t>103</w:t>
      </w:r>
      <w:r w:rsidRPr="00FA4889">
        <w:rPr>
          <w:rFonts w:ascii="Arial" w:hAnsi="Arial" w:cs="Arial"/>
          <w:noProof/>
          <w:sz w:val="22"/>
        </w:rPr>
        <w:t>, 44–57.</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Campbell, D., Swanson, G.M. &amp; Sales, J. (2004) Methodological insights: Comparing the precision and cost-effectiveness of faecal pellet group count methods. </w:t>
      </w:r>
      <w:r w:rsidRPr="00FA4889">
        <w:rPr>
          <w:rFonts w:ascii="Arial" w:hAnsi="Arial" w:cs="Arial"/>
          <w:i/>
          <w:iCs/>
          <w:noProof/>
          <w:sz w:val="22"/>
        </w:rPr>
        <w:t>Journal of Applied Ecology</w:t>
      </w:r>
      <w:r w:rsidRPr="00FA4889">
        <w:rPr>
          <w:rFonts w:ascii="Arial" w:hAnsi="Arial" w:cs="Arial"/>
          <w:noProof/>
          <w:sz w:val="22"/>
        </w:rPr>
        <w:t xml:space="preserve">, </w:t>
      </w:r>
      <w:r w:rsidRPr="00FA4889">
        <w:rPr>
          <w:rFonts w:ascii="Arial" w:hAnsi="Arial" w:cs="Arial"/>
          <w:b/>
          <w:bCs/>
          <w:noProof/>
          <w:sz w:val="22"/>
        </w:rPr>
        <w:t>41</w:t>
      </w:r>
      <w:r w:rsidRPr="00FA4889">
        <w:rPr>
          <w:rFonts w:ascii="Arial" w:hAnsi="Arial" w:cs="Arial"/>
          <w:noProof/>
          <w:sz w:val="22"/>
        </w:rPr>
        <w:t>, 1185–1196.</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Chao, K.J., Phillips, O.L., Gloor, E., Monteagudo, A., Torres-Lezama, A. &amp; Martínez, R.V. (2008) Growth and wood density predict tree mortality in Amazon forests. </w:t>
      </w:r>
      <w:r w:rsidRPr="00FA4889">
        <w:rPr>
          <w:rFonts w:ascii="Arial" w:hAnsi="Arial" w:cs="Arial"/>
          <w:i/>
          <w:iCs/>
          <w:noProof/>
          <w:sz w:val="22"/>
        </w:rPr>
        <w:t>Journal of Ecology</w:t>
      </w:r>
      <w:r w:rsidRPr="00FA4889">
        <w:rPr>
          <w:rFonts w:ascii="Arial" w:hAnsi="Arial" w:cs="Arial"/>
          <w:noProof/>
          <w:sz w:val="22"/>
        </w:rPr>
        <w:t xml:space="preserve">, </w:t>
      </w:r>
      <w:r w:rsidRPr="00FA4889">
        <w:rPr>
          <w:rFonts w:ascii="Arial" w:hAnsi="Arial" w:cs="Arial"/>
          <w:b/>
          <w:bCs/>
          <w:noProof/>
          <w:sz w:val="22"/>
        </w:rPr>
        <w:t>96</w:t>
      </w:r>
      <w:r w:rsidRPr="00FA4889">
        <w:rPr>
          <w:rFonts w:ascii="Arial" w:hAnsi="Arial" w:cs="Arial"/>
          <w:noProof/>
          <w:sz w:val="22"/>
        </w:rPr>
        <w:t>, 281–292.</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Coates, K.D. (2002) Tree recruitment in gaps of various size, clearcuts and undisturbed mixed forest of interior British Columbia, Canada. </w:t>
      </w:r>
      <w:r w:rsidRPr="00FA4889">
        <w:rPr>
          <w:rFonts w:ascii="Arial" w:hAnsi="Arial" w:cs="Arial"/>
          <w:i/>
          <w:iCs/>
          <w:noProof/>
          <w:sz w:val="22"/>
        </w:rPr>
        <w:t>Forest Ecology and Management</w:t>
      </w:r>
      <w:r w:rsidRPr="00FA4889">
        <w:rPr>
          <w:rFonts w:ascii="Arial" w:hAnsi="Arial" w:cs="Arial"/>
          <w:noProof/>
          <w:sz w:val="22"/>
        </w:rPr>
        <w:t xml:space="preserve">, </w:t>
      </w:r>
      <w:r w:rsidRPr="00FA4889">
        <w:rPr>
          <w:rFonts w:ascii="Arial" w:hAnsi="Arial" w:cs="Arial"/>
          <w:b/>
          <w:bCs/>
          <w:noProof/>
          <w:sz w:val="22"/>
        </w:rPr>
        <w:t>155</w:t>
      </w:r>
      <w:r w:rsidRPr="00FA4889">
        <w:rPr>
          <w:rFonts w:ascii="Arial" w:hAnsi="Arial" w:cs="Arial"/>
          <w:noProof/>
          <w:sz w:val="22"/>
        </w:rPr>
        <w:t>, 387–398.</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Coomes, D. a. &amp; Allen, R.B. (2007) Mortality and tree-size distributions in natural mixed-age forests. </w:t>
      </w:r>
      <w:r w:rsidRPr="00FA4889">
        <w:rPr>
          <w:rFonts w:ascii="Arial" w:hAnsi="Arial" w:cs="Arial"/>
          <w:i/>
          <w:iCs/>
          <w:noProof/>
          <w:sz w:val="22"/>
        </w:rPr>
        <w:t>Journal of Ecology</w:t>
      </w:r>
      <w:r w:rsidRPr="00FA4889">
        <w:rPr>
          <w:rFonts w:ascii="Arial" w:hAnsi="Arial" w:cs="Arial"/>
          <w:noProof/>
          <w:sz w:val="22"/>
        </w:rPr>
        <w:t xml:space="preserve">, </w:t>
      </w:r>
      <w:r w:rsidRPr="00FA4889">
        <w:rPr>
          <w:rFonts w:ascii="Arial" w:hAnsi="Arial" w:cs="Arial"/>
          <w:b/>
          <w:bCs/>
          <w:noProof/>
          <w:sz w:val="22"/>
        </w:rPr>
        <w:t>95</w:t>
      </w:r>
      <w:r w:rsidRPr="00FA4889">
        <w:rPr>
          <w:rFonts w:ascii="Arial" w:hAnsi="Arial" w:cs="Arial"/>
          <w:noProof/>
          <w:sz w:val="22"/>
        </w:rPr>
        <w:t>, 27–40.</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Coomes, D. a., Duncan, R.P., Allen, R.B. &amp; Truscott, J. (2003) Disturbances prevent stem size-density distributions in natural forests from following scaling relationships. </w:t>
      </w:r>
      <w:r w:rsidRPr="00FA4889">
        <w:rPr>
          <w:rFonts w:ascii="Arial" w:hAnsi="Arial" w:cs="Arial"/>
          <w:i/>
          <w:iCs/>
          <w:noProof/>
          <w:sz w:val="22"/>
        </w:rPr>
        <w:t>Ecology Letters</w:t>
      </w:r>
      <w:r w:rsidRPr="00FA4889">
        <w:rPr>
          <w:rFonts w:ascii="Arial" w:hAnsi="Arial" w:cs="Arial"/>
          <w:noProof/>
          <w:sz w:val="22"/>
        </w:rPr>
        <w:t xml:space="preserve">, </w:t>
      </w:r>
      <w:r w:rsidRPr="00FA4889">
        <w:rPr>
          <w:rFonts w:ascii="Arial" w:hAnsi="Arial" w:cs="Arial"/>
          <w:b/>
          <w:bCs/>
          <w:noProof/>
          <w:sz w:val="22"/>
        </w:rPr>
        <w:t>6</w:t>
      </w:r>
      <w:r w:rsidRPr="00FA4889">
        <w:rPr>
          <w:rFonts w:ascii="Arial" w:hAnsi="Arial" w:cs="Arial"/>
          <w:noProof/>
          <w:sz w:val="22"/>
        </w:rPr>
        <w:t>, 980–989.</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Fischer, J., Stott, J., Zerger, A., Warren, G., Sherren, K. &amp; Forrester, R.I. (2009) Reversing a tree regeneration crisis in an endangered ecoregion. </w:t>
      </w:r>
      <w:r w:rsidRPr="00FA4889">
        <w:rPr>
          <w:rFonts w:ascii="Arial" w:hAnsi="Arial" w:cs="Arial"/>
          <w:i/>
          <w:iCs/>
          <w:noProof/>
          <w:sz w:val="22"/>
        </w:rPr>
        <w:t>Proceedings of the National Academy of Sciences of the United States of America</w:t>
      </w:r>
      <w:r w:rsidRPr="00FA4889">
        <w:rPr>
          <w:rFonts w:ascii="Arial" w:hAnsi="Arial" w:cs="Arial"/>
          <w:noProof/>
          <w:sz w:val="22"/>
        </w:rPr>
        <w:t xml:space="preserve">, </w:t>
      </w:r>
      <w:r w:rsidRPr="00FA4889">
        <w:rPr>
          <w:rFonts w:ascii="Arial" w:hAnsi="Arial" w:cs="Arial"/>
          <w:b/>
          <w:bCs/>
          <w:noProof/>
          <w:sz w:val="22"/>
        </w:rPr>
        <w:t>106</w:t>
      </w:r>
      <w:r w:rsidRPr="00FA4889">
        <w:rPr>
          <w:rFonts w:ascii="Arial" w:hAnsi="Arial" w:cs="Arial"/>
          <w:noProof/>
          <w:sz w:val="22"/>
        </w:rPr>
        <w:t>, 10386–91.</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Fortin, M., Bedard, S., DeBlois, J. &amp; Meunier, S. (2008) Predicting individual tree mortality in northern hardwood stands under uneven-aged management in southern Québec , Canada. </w:t>
      </w:r>
      <w:r w:rsidRPr="00FA4889">
        <w:rPr>
          <w:rFonts w:ascii="Arial" w:hAnsi="Arial" w:cs="Arial"/>
          <w:i/>
          <w:iCs/>
          <w:noProof/>
          <w:sz w:val="22"/>
        </w:rPr>
        <w:t>Annals of Forest Science</w:t>
      </w:r>
      <w:r w:rsidRPr="00FA4889">
        <w:rPr>
          <w:rFonts w:ascii="Arial" w:hAnsi="Arial" w:cs="Arial"/>
          <w:noProof/>
          <w:sz w:val="22"/>
        </w:rPr>
        <w:t xml:space="preserve">, </w:t>
      </w:r>
      <w:r w:rsidRPr="00FA4889">
        <w:rPr>
          <w:rFonts w:ascii="Arial" w:hAnsi="Arial" w:cs="Arial"/>
          <w:b/>
          <w:bCs/>
          <w:noProof/>
          <w:sz w:val="22"/>
        </w:rPr>
        <w:t>65</w:t>
      </w:r>
      <w:r w:rsidRPr="00FA4889">
        <w:rPr>
          <w:rFonts w:ascii="Arial" w:hAnsi="Arial" w:cs="Arial"/>
          <w:noProof/>
          <w:sz w:val="22"/>
        </w:rPr>
        <w:t>, 205.</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Grimm, V., Berger, U., Bastiansen, F., Eliassen, S., Ginot, V., Giske, J., Goss-Custard, J., Grand, T., Heinz, S.K., Huse, G., Huth, A., Jepsen, J.U., Jørgensen, C., Mooij, W.M., Müller, B., Pe’er, G., Piou, C., Railsback, S.F., Robbins, A.M., Robbins, M.M., Rossmanith, E., Rüger, N., Strand, E., Souissi, S., Stillman, R.A., Vabø, R., Visser, U. &amp; DeAngelis, D.L. (2006) A standard protocol for describing individual-based and agent-based models. </w:t>
      </w:r>
      <w:r w:rsidRPr="00FA4889">
        <w:rPr>
          <w:rFonts w:ascii="Arial" w:hAnsi="Arial" w:cs="Arial"/>
          <w:i/>
          <w:iCs/>
          <w:noProof/>
          <w:sz w:val="22"/>
        </w:rPr>
        <w:t>Ecological Modelling</w:t>
      </w:r>
      <w:r w:rsidRPr="00FA4889">
        <w:rPr>
          <w:rFonts w:ascii="Arial" w:hAnsi="Arial" w:cs="Arial"/>
          <w:noProof/>
          <w:sz w:val="22"/>
        </w:rPr>
        <w:t xml:space="preserve">, </w:t>
      </w:r>
      <w:r w:rsidRPr="00FA4889">
        <w:rPr>
          <w:rFonts w:ascii="Arial" w:hAnsi="Arial" w:cs="Arial"/>
          <w:b/>
          <w:bCs/>
          <w:noProof/>
          <w:sz w:val="22"/>
        </w:rPr>
        <w:t>198</w:t>
      </w:r>
      <w:r w:rsidRPr="00FA4889">
        <w:rPr>
          <w:rFonts w:ascii="Arial" w:hAnsi="Arial" w:cs="Arial"/>
          <w:noProof/>
          <w:sz w:val="22"/>
        </w:rPr>
        <w:t>, 115–126.</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Holzwarth, F., Kahl, A., Bauhus, J. &amp; Wirth, C. (2013) Many ways to die - partitioning tree mortality dynamics in a near-natural mixed deciduous forest (ed P Zuidema). </w:t>
      </w:r>
      <w:r w:rsidRPr="00FA4889">
        <w:rPr>
          <w:rFonts w:ascii="Arial" w:hAnsi="Arial" w:cs="Arial"/>
          <w:i/>
          <w:iCs/>
          <w:noProof/>
          <w:sz w:val="22"/>
        </w:rPr>
        <w:t>Journal of Ecology</w:t>
      </w:r>
      <w:r w:rsidRPr="00FA4889">
        <w:rPr>
          <w:rFonts w:ascii="Arial" w:hAnsi="Arial" w:cs="Arial"/>
          <w:noProof/>
          <w:sz w:val="22"/>
        </w:rPr>
        <w:t xml:space="preserve">, </w:t>
      </w:r>
      <w:r w:rsidRPr="00FA4889">
        <w:rPr>
          <w:rFonts w:ascii="Arial" w:hAnsi="Arial" w:cs="Arial"/>
          <w:b/>
          <w:bCs/>
          <w:noProof/>
          <w:sz w:val="22"/>
        </w:rPr>
        <w:t>101</w:t>
      </w:r>
      <w:r w:rsidRPr="00FA4889">
        <w:rPr>
          <w:rFonts w:ascii="Arial" w:hAnsi="Arial" w:cs="Arial"/>
          <w:noProof/>
          <w:sz w:val="22"/>
        </w:rPr>
        <w:t>, 220–230.</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Jenkins, K.J. &amp; Manly, B.F.J. (2008) A double-observer method for reducing bias in faecal pellet surveys of forest ungulates. </w:t>
      </w:r>
      <w:r w:rsidRPr="00FA4889">
        <w:rPr>
          <w:rFonts w:ascii="Arial" w:hAnsi="Arial" w:cs="Arial"/>
          <w:i/>
          <w:iCs/>
          <w:noProof/>
          <w:sz w:val="22"/>
        </w:rPr>
        <w:t>Journal of Applied Ecology</w:t>
      </w:r>
      <w:r w:rsidRPr="00FA4889">
        <w:rPr>
          <w:rFonts w:ascii="Arial" w:hAnsi="Arial" w:cs="Arial"/>
          <w:noProof/>
          <w:sz w:val="22"/>
        </w:rPr>
        <w:t xml:space="preserve">, </w:t>
      </w:r>
      <w:r w:rsidRPr="00FA4889">
        <w:rPr>
          <w:rFonts w:ascii="Arial" w:hAnsi="Arial" w:cs="Arial"/>
          <w:b/>
          <w:bCs/>
          <w:noProof/>
          <w:sz w:val="22"/>
        </w:rPr>
        <w:t>45</w:t>
      </w:r>
      <w:r w:rsidRPr="00FA4889">
        <w:rPr>
          <w:rFonts w:ascii="Arial" w:hAnsi="Arial" w:cs="Arial"/>
          <w:noProof/>
          <w:sz w:val="22"/>
        </w:rPr>
        <w:t>, 1339–1348.</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lastRenderedPageBreak/>
        <w:t xml:space="preserve">Van Mantgem, P.J., Stephenson, N.L., Byrne, J.C., Daniels, L.D., Franklin, J.F., Fulé, P.Z., Harmon, M.E., Larson, A.J., Smith, J.M., Taylor, A.H. &amp; Veblen, T.T. (2009) Widespread increase of tree mortality rates in the western United States. </w:t>
      </w:r>
      <w:r w:rsidRPr="00FA4889">
        <w:rPr>
          <w:rFonts w:ascii="Arial" w:hAnsi="Arial" w:cs="Arial"/>
          <w:i/>
          <w:iCs/>
          <w:noProof/>
          <w:sz w:val="22"/>
        </w:rPr>
        <w:t>Science (New York, N.Y.)</w:t>
      </w:r>
      <w:r w:rsidRPr="00FA4889">
        <w:rPr>
          <w:rFonts w:ascii="Arial" w:hAnsi="Arial" w:cs="Arial"/>
          <w:noProof/>
          <w:sz w:val="22"/>
        </w:rPr>
        <w:t xml:space="preserve">, </w:t>
      </w:r>
      <w:r w:rsidRPr="00FA4889">
        <w:rPr>
          <w:rFonts w:ascii="Arial" w:hAnsi="Arial" w:cs="Arial"/>
          <w:b/>
          <w:bCs/>
          <w:noProof/>
          <w:sz w:val="22"/>
        </w:rPr>
        <w:t>323</w:t>
      </w:r>
      <w:r w:rsidRPr="00FA4889">
        <w:rPr>
          <w:rFonts w:ascii="Arial" w:hAnsi="Arial" w:cs="Arial"/>
          <w:noProof/>
          <w:sz w:val="22"/>
        </w:rPr>
        <w:t>, 521–524.</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Marques, F.F.C., Buckland, S.T., Goffin, D., Dixon, C.E., Borchers, D.L., Mayle, B.A. &amp; Peace, A.J. (2001) Estimating deer abundance from line transect surveys of dung: sika deer in southern Scotland. </w:t>
      </w:r>
      <w:r w:rsidRPr="00FA4889">
        <w:rPr>
          <w:rFonts w:ascii="Arial" w:hAnsi="Arial" w:cs="Arial"/>
          <w:i/>
          <w:iCs/>
          <w:noProof/>
          <w:sz w:val="22"/>
        </w:rPr>
        <w:t>Journal of Applied Ecology</w:t>
      </w:r>
      <w:r w:rsidRPr="00FA4889">
        <w:rPr>
          <w:rFonts w:ascii="Arial" w:hAnsi="Arial" w:cs="Arial"/>
          <w:noProof/>
          <w:sz w:val="22"/>
        </w:rPr>
        <w:t xml:space="preserve">, </w:t>
      </w:r>
      <w:r w:rsidRPr="00FA4889">
        <w:rPr>
          <w:rFonts w:ascii="Arial" w:hAnsi="Arial" w:cs="Arial"/>
          <w:b/>
          <w:bCs/>
          <w:noProof/>
          <w:sz w:val="22"/>
        </w:rPr>
        <w:t>38</w:t>
      </w:r>
      <w:r w:rsidRPr="00FA4889">
        <w:rPr>
          <w:rFonts w:ascii="Arial" w:hAnsi="Arial" w:cs="Arial"/>
          <w:noProof/>
          <w:sz w:val="22"/>
        </w:rPr>
        <w:t>, 349–363.</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Martin, P.A., Newton, A.C., Cantarello, E. &amp; Evans, P. (2015) Stand dieback and collapse in a temperate forest and its impact on forest structure and biodiversity. </w:t>
      </w:r>
      <w:r w:rsidRPr="00FA4889">
        <w:rPr>
          <w:rFonts w:ascii="Arial" w:hAnsi="Arial" w:cs="Arial"/>
          <w:i/>
          <w:iCs/>
          <w:noProof/>
          <w:sz w:val="22"/>
        </w:rPr>
        <w:t>Forest Ecology and Management</w:t>
      </w:r>
      <w:r w:rsidRPr="00FA4889">
        <w:rPr>
          <w:rFonts w:ascii="Arial" w:hAnsi="Arial" w:cs="Arial"/>
          <w:noProof/>
          <w:sz w:val="22"/>
        </w:rPr>
        <w:t>.</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Mcintyre, P.J., Thorne, J.H., Dolanc, C.R., Flint, A.L., Flint, L.E., Kelly, M. &amp; Ackerly, D.D. (2014) Twentieth-century shifts in forest structure in California : Denser forests , smaller trees , and increased dominance of oaks. , 1–6.</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Meddens, A.J.H., Hicke, J.A. &amp; Ferguson, C.A. (2012) Spatiotemporal patterns of observed bark beetle-caused tree mortality in British Columbia and the western United States. </w:t>
      </w:r>
      <w:r w:rsidRPr="00FA4889">
        <w:rPr>
          <w:rFonts w:ascii="Arial" w:hAnsi="Arial" w:cs="Arial"/>
          <w:i/>
          <w:iCs/>
          <w:noProof/>
          <w:sz w:val="22"/>
        </w:rPr>
        <w:t>Ecological Applications</w:t>
      </w:r>
      <w:r w:rsidRPr="00FA4889">
        <w:rPr>
          <w:rFonts w:ascii="Arial" w:hAnsi="Arial" w:cs="Arial"/>
          <w:noProof/>
          <w:sz w:val="22"/>
        </w:rPr>
        <w:t xml:space="preserve">, </w:t>
      </w:r>
      <w:r w:rsidRPr="00FA4889">
        <w:rPr>
          <w:rFonts w:ascii="Arial" w:hAnsi="Arial" w:cs="Arial"/>
          <w:b/>
          <w:bCs/>
          <w:noProof/>
          <w:sz w:val="22"/>
        </w:rPr>
        <w:t>22</w:t>
      </w:r>
      <w:r w:rsidRPr="00FA4889">
        <w:rPr>
          <w:rFonts w:ascii="Arial" w:hAnsi="Arial" w:cs="Arial"/>
          <w:noProof/>
          <w:sz w:val="22"/>
        </w:rPr>
        <w:t>, 1876–1891.</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Monserud, R. a. &amp; Sterba, H. (1999) Modeling individual tree mortality for Austrian forest species. </w:t>
      </w:r>
      <w:r w:rsidRPr="00FA4889">
        <w:rPr>
          <w:rFonts w:ascii="Arial" w:hAnsi="Arial" w:cs="Arial"/>
          <w:i/>
          <w:iCs/>
          <w:noProof/>
          <w:sz w:val="22"/>
        </w:rPr>
        <w:t>Forest Ecology and Management</w:t>
      </w:r>
      <w:r w:rsidRPr="00FA4889">
        <w:rPr>
          <w:rFonts w:ascii="Arial" w:hAnsi="Arial" w:cs="Arial"/>
          <w:noProof/>
          <w:sz w:val="22"/>
        </w:rPr>
        <w:t xml:space="preserve">, </w:t>
      </w:r>
      <w:r w:rsidRPr="00FA4889">
        <w:rPr>
          <w:rFonts w:ascii="Arial" w:hAnsi="Arial" w:cs="Arial"/>
          <w:b/>
          <w:bCs/>
          <w:noProof/>
          <w:sz w:val="22"/>
        </w:rPr>
        <w:t>113</w:t>
      </w:r>
      <w:r w:rsidRPr="00FA4889">
        <w:rPr>
          <w:rFonts w:ascii="Arial" w:hAnsi="Arial" w:cs="Arial"/>
          <w:noProof/>
          <w:sz w:val="22"/>
        </w:rPr>
        <w:t>, 109–123.</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Mountford, E.P. &amp; Peterken, G.F. (2003) Long-term change and implications for the management of wood-pastures: experience over 40 years from Denny Wood, New Forest. </w:t>
      </w:r>
      <w:r w:rsidRPr="00FA4889">
        <w:rPr>
          <w:rFonts w:ascii="Arial" w:hAnsi="Arial" w:cs="Arial"/>
          <w:i/>
          <w:iCs/>
          <w:noProof/>
          <w:sz w:val="22"/>
        </w:rPr>
        <w:t>Forestry</w:t>
      </w:r>
      <w:r w:rsidRPr="00FA4889">
        <w:rPr>
          <w:rFonts w:ascii="Arial" w:hAnsi="Arial" w:cs="Arial"/>
          <w:noProof/>
          <w:sz w:val="22"/>
        </w:rPr>
        <w:t xml:space="preserve">, </w:t>
      </w:r>
      <w:r w:rsidRPr="00FA4889">
        <w:rPr>
          <w:rFonts w:ascii="Arial" w:hAnsi="Arial" w:cs="Arial"/>
          <w:b/>
          <w:bCs/>
          <w:noProof/>
          <w:sz w:val="22"/>
        </w:rPr>
        <w:t>76</w:t>
      </w:r>
      <w:r w:rsidRPr="00FA4889">
        <w:rPr>
          <w:rFonts w:ascii="Arial" w:hAnsi="Arial" w:cs="Arial"/>
          <w:noProof/>
          <w:sz w:val="22"/>
        </w:rPr>
        <w:t>, 19–43.</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Mountford, E.P., Peterken, G.F., Edwards, P.J. &amp; Manners, J.G. (1999) Long-term change in growth, mortality and regeneration of trees in Denny Wood, an old-growth wood-pasture in the New Forest (UK). </w:t>
      </w:r>
      <w:r w:rsidRPr="00FA4889">
        <w:rPr>
          <w:rFonts w:ascii="Arial" w:hAnsi="Arial" w:cs="Arial"/>
          <w:i/>
          <w:iCs/>
          <w:noProof/>
          <w:sz w:val="22"/>
        </w:rPr>
        <w:t>Perspectives in Plant Ecology, Evolution and Systematics</w:t>
      </w:r>
      <w:r w:rsidRPr="00FA4889">
        <w:rPr>
          <w:rFonts w:ascii="Arial" w:hAnsi="Arial" w:cs="Arial"/>
          <w:noProof/>
          <w:sz w:val="22"/>
        </w:rPr>
        <w:t xml:space="preserve">, </w:t>
      </w:r>
      <w:r w:rsidRPr="00FA4889">
        <w:rPr>
          <w:rFonts w:ascii="Arial" w:hAnsi="Arial" w:cs="Arial"/>
          <w:b/>
          <w:bCs/>
          <w:noProof/>
          <w:sz w:val="22"/>
        </w:rPr>
        <w:t>2</w:t>
      </w:r>
      <w:r w:rsidRPr="00FA4889">
        <w:rPr>
          <w:rFonts w:ascii="Arial" w:hAnsi="Arial" w:cs="Arial"/>
          <w:noProof/>
          <w:sz w:val="22"/>
        </w:rPr>
        <w:t>, 223–272.</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Peng, C., Ma, Z., Lei, X., Zhu, Q., Chen, H., Wang, W., Liu, S., Li, W., Fang, X. &amp; Zhou, X. (2011) A drought-induced pervasive increase in tree mortality across Canada’s boreal forests. </w:t>
      </w:r>
      <w:r w:rsidRPr="00FA4889">
        <w:rPr>
          <w:rFonts w:ascii="Arial" w:hAnsi="Arial" w:cs="Arial"/>
          <w:i/>
          <w:iCs/>
          <w:noProof/>
          <w:sz w:val="22"/>
        </w:rPr>
        <w:t>Nature Climate Change</w:t>
      </w:r>
      <w:r w:rsidRPr="00FA4889">
        <w:rPr>
          <w:rFonts w:ascii="Arial" w:hAnsi="Arial" w:cs="Arial"/>
          <w:noProof/>
          <w:sz w:val="22"/>
        </w:rPr>
        <w:t xml:space="preserve">, </w:t>
      </w:r>
      <w:r w:rsidRPr="00FA4889">
        <w:rPr>
          <w:rFonts w:ascii="Arial" w:hAnsi="Arial" w:cs="Arial"/>
          <w:b/>
          <w:bCs/>
          <w:noProof/>
          <w:sz w:val="22"/>
        </w:rPr>
        <w:t>1</w:t>
      </w:r>
      <w:r w:rsidRPr="00FA4889">
        <w:rPr>
          <w:rFonts w:ascii="Arial" w:hAnsi="Arial" w:cs="Arial"/>
          <w:noProof/>
          <w:sz w:val="22"/>
        </w:rPr>
        <w:t>, 467–471.</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Reyer, C.P.O., Brouwers, N., Rammig, A., Brook, B.W., Epila, J., Grant, R.F., Holmgren, M., Langerwisch, F., Leuzinger, S., Lucht, W., Medlyn, B., Pfeifer, M., Steinkamp, J., Vanderwel, M.C., Verbeeck, H. &amp; Villela, D.M. (2015) Forest resilience and tipping points at different spatio-temporal scales: approaches and challenges (ed D Coomes). </w:t>
      </w:r>
      <w:r w:rsidRPr="00FA4889">
        <w:rPr>
          <w:rFonts w:ascii="Arial" w:hAnsi="Arial" w:cs="Arial"/>
          <w:i/>
          <w:iCs/>
          <w:noProof/>
          <w:sz w:val="22"/>
        </w:rPr>
        <w:t>Journal of Ecology</w:t>
      </w:r>
      <w:r w:rsidRPr="00FA4889">
        <w:rPr>
          <w:rFonts w:ascii="Arial" w:hAnsi="Arial" w:cs="Arial"/>
          <w:noProof/>
          <w:sz w:val="22"/>
        </w:rPr>
        <w:t xml:space="preserve">, </w:t>
      </w:r>
      <w:r w:rsidRPr="00FA4889">
        <w:rPr>
          <w:rFonts w:ascii="Arial" w:hAnsi="Arial" w:cs="Arial"/>
          <w:b/>
          <w:bCs/>
          <w:noProof/>
          <w:sz w:val="22"/>
        </w:rPr>
        <w:t>103</w:t>
      </w:r>
      <w:r w:rsidRPr="00FA4889">
        <w:rPr>
          <w:rFonts w:ascii="Arial" w:hAnsi="Arial" w:cs="Arial"/>
          <w:noProof/>
          <w:sz w:val="22"/>
        </w:rPr>
        <w:t>, 5–15.</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Scheffer, M., Hirota, M., Holmgren, M., Van Nes, E.H. &amp; Chapin, F.S. (2012) Thresholds for boreal biome transitions. </w:t>
      </w:r>
      <w:r w:rsidRPr="00FA4889">
        <w:rPr>
          <w:rFonts w:ascii="Arial" w:hAnsi="Arial" w:cs="Arial"/>
          <w:i/>
          <w:iCs/>
          <w:noProof/>
          <w:sz w:val="22"/>
        </w:rPr>
        <w:t>Proceedings of the National Academy of Sciences of the United States of America</w:t>
      </w:r>
      <w:r w:rsidRPr="00FA4889">
        <w:rPr>
          <w:rFonts w:ascii="Arial" w:hAnsi="Arial" w:cs="Arial"/>
          <w:noProof/>
          <w:sz w:val="22"/>
        </w:rPr>
        <w:t xml:space="preserve">, </w:t>
      </w:r>
      <w:r w:rsidRPr="00FA4889">
        <w:rPr>
          <w:rFonts w:ascii="Arial" w:hAnsi="Arial" w:cs="Arial"/>
          <w:b/>
          <w:bCs/>
          <w:noProof/>
          <w:sz w:val="22"/>
        </w:rPr>
        <w:t>109</w:t>
      </w:r>
      <w:r w:rsidRPr="00FA4889">
        <w:rPr>
          <w:rFonts w:ascii="Arial" w:hAnsi="Arial" w:cs="Arial"/>
          <w:noProof/>
          <w:sz w:val="22"/>
        </w:rPr>
        <w:t>, 21384–9.</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Schielzeth, H. (2010) Simple means to improve the interpretability of regression coefficients. </w:t>
      </w:r>
      <w:r w:rsidRPr="00FA4889">
        <w:rPr>
          <w:rFonts w:ascii="Arial" w:hAnsi="Arial" w:cs="Arial"/>
          <w:i/>
          <w:iCs/>
          <w:noProof/>
          <w:sz w:val="22"/>
        </w:rPr>
        <w:t>Methods in Ecology and Evolution</w:t>
      </w:r>
      <w:r w:rsidRPr="00FA4889">
        <w:rPr>
          <w:rFonts w:ascii="Arial" w:hAnsi="Arial" w:cs="Arial"/>
          <w:noProof/>
          <w:sz w:val="22"/>
        </w:rPr>
        <w:t xml:space="preserve">, </w:t>
      </w:r>
      <w:r w:rsidRPr="00FA4889">
        <w:rPr>
          <w:rFonts w:ascii="Arial" w:hAnsi="Arial" w:cs="Arial"/>
          <w:b/>
          <w:bCs/>
          <w:noProof/>
          <w:sz w:val="22"/>
        </w:rPr>
        <w:t>1</w:t>
      </w:r>
      <w:r w:rsidRPr="00FA4889">
        <w:rPr>
          <w:rFonts w:ascii="Arial" w:hAnsi="Arial" w:cs="Arial"/>
          <w:noProof/>
          <w:sz w:val="22"/>
        </w:rPr>
        <w:t>, 103–113.</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Seidl, R., Schelhaas, M., Rammer, W. &amp; Verkerk, P.J. (2014) Increasing forest disturbances in Europe and their impact on carbon storage. </w:t>
      </w:r>
      <w:r w:rsidRPr="00FA4889">
        <w:rPr>
          <w:rFonts w:ascii="Arial" w:hAnsi="Arial" w:cs="Arial"/>
          <w:i/>
          <w:iCs/>
          <w:noProof/>
          <w:sz w:val="22"/>
        </w:rPr>
        <w:t>Nature Climate Change</w:t>
      </w:r>
      <w:r w:rsidRPr="00FA4889">
        <w:rPr>
          <w:rFonts w:ascii="Arial" w:hAnsi="Arial" w:cs="Arial"/>
          <w:noProof/>
          <w:sz w:val="22"/>
        </w:rPr>
        <w:t>, 1–6.</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lastRenderedPageBreak/>
        <w:t xml:space="preserve">Sheil, D., Burslem, D.F.R.P. &amp; Alder, D. (1995) The Interpretation and misinterpretation of mortality rate measures. </w:t>
      </w:r>
      <w:r w:rsidRPr="00FA4889">
        <w:rPr>
          <w:rFonts w:ascii="Arial" w:hAnsi="Arial" w:cs="Arial"/>
          <w:i/>
          <w:iCs/>
          <w:noProof/>
          <w:sz w:val="22"/>
        </w:rPr>
        <w:t>Journal of Ecology</w:t>
      </w:r>
      <w:r w:rsidRPr="00FA4889">
        <w:rPr>
          <w:rFonts w:ascii="Arial" w:hAnsi="Arial" w:cs="Arial"/>
          <w:noProof/>
          <w:sz w:val="22"/>
        </w:rPr>
        <w:t xml:space="preserve">, </w:t>
      </w:r>
      <w:r w:rsidRPr="00FA4889">
        <w:rPr>
          <w:rFonts w:ascii="Arial" w:hAnsi="Arial" w:cs="Arial"/>
          <w:b/>
          <w:bCs/>
          <w:noProof/>
          <w:sz w:val="22"/>
        </w:rPr>
        <w:t>83</w:t>
      </w:r>
      <w:r w:rsidRPr="00FA4889">
        <w:rPr>
          <w:rFonts w:ascii="Arial" w:hAnsi="Arial" w:cs="Arial"/>
          <w:noProof/>
          <w:sz w:val="22"/>
        </w:rPr>
        <w:t>, 331–333.</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Staver, a C., Archibald, S. &amp; Levin, S. a. (2011) The global extent and determinants of savanna and forest as alternative biome states. </w:t>
      </w:r>
      <w:r w:rsidRPr="00FA4889">
        <w:rPr>
          <w:rFonts w:ascii="Arial" w:hAnsi="Arial" w:cs="Arial"/>
          <w:i/>
          <w:iCs/>
          <w:noProof/>
          <w:sz w:val="22"/>
        </w:rPr>
        <w:t>Science (New York, N.Y.)</w:t>
      </w:r>
      <w:r w:rsidRPr="00FA4889">
        <w:rPr>
          <w:rFonts w:ascii="Arial" w:hAnsi="Arial" w:cs="Arial"/>
          <w:noProof/>
          <w:sz w:val="22"/>
        </w:rPr>
        <w:t xml:space="preserve">, </w:t>
      </w:r>
      <w:r w:rsidRPr="00FA4889">
        <w:rPr>
          <w:rFonts w:ascii="Arial" w:hAnsi="Arial" w:cs="Arial"/>
          <w:b/>
          <w:bCs/>
          <w:noProof/>
          <w:sz w:val="22"/>
        </w:rPr>
        <w:t>334</w:t>
      </w:r>
      <w:r w:rsidRPr="00FA4889">
        <w:rPr>
          <w:rFonts w:ascii="Arial" w:hAnsi="Arial" w:cs="Arial"/>
          <w:noProof/>
          <w:sz w:val="22"/>
        </w:rPr>
        <w:t>, 230–2.</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Steinkamp, J. &amp; Hickler, T. (2015) Is drought-induced forest dieback globally increasing? (ed D Gibson). </w:t>
      </w:r>
      <w:r w:rsidRPr="00FA4889">
        <w:rPr>
          <w:rFonts w:ascii="Arial" w:hAnsi="Arial" w:cs="Arial"/>
          <w:i/>
          <w:iCs/>
          <w:noProof/>
          <w:sz w:val="22"/>
        </w:rPr>
        <w:t>Journal of Ecology</w:t>
      </w:r>
      <w:r w:rsidRPr="00FA4889">
        <w:rPr>
          <w:rFonts w:ascii="Arial" w:hAnsi="Arial" w:cs="Arial"/>
          <w:noProof/>
          <w:sz w:val="22"/>
        </w:rPr>
        <w:t xml:space="preserve">, </w:t>
      </w:r>
      <w:r w:rsidRPr="00FA4889">
        <w:rPr>
          <w:rFonts w:ascii="Arial" w:hAnsi="Arial" w:cs="Arial"/>
          <w:b/>
          <w:bCs/>
          <w:noProof/>
          <w:sz w:val="22"/>
        </w:rPr>
        <w:t>103</w:t>
      </w:r>
      <w:r w:rsidRPr="00FA4889">
        <w:rPr>
          <w:rFonts w:ascii="Arial" w:hAnsi="Arial" w:cs="Arial"/>
          <w:noProof/>
          <w:sz w:val="22"/>
        </w:rPr>
        <w:t>, 31–43.</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Westerling, A.L., Hidalgo, H.G., Cayan, D.R. &amp; Swetnam, T.W. (2006) Warming and earlier spring increase western U.S. forest wildfire activity. </w:t>
      </w:r>
      <w:r w:rsidRPr="00FA4889">
        <w:rPr>
          <w:rFonts w:ascii="Arial" w:hAnsi="Arial" w:cs="Arial"/>
          <w:i/>
          <w:iCs/>
          <w:noProof/>
          <w:sz w:val="22"/>
        </w:rPr>
        <w:t>Science</w:t>
      </w:r>
      <w:r w:rsidRPr="00FA4889">
        <w:rPr>
          <w:rFonts w:ascii="Arial" w:hAnsi="Arial" w:cs="Arial"/>
          <w:noProof/>
          <w:sz w:val="22"/>
        </w:rPr>
        <w:t xml:space="preserve">, </w:t>
      </w:r>
      <w:r w:rsidRPr="00FA4889">
        <w:rPr>
          <w:rFonts w:ascii="Arial" w:hAnsi="Arial" w:cs="Arial"/>
          <w:b/>
          <w:bCs/>
          <w:noProof/>
          <w:sz w:val="22"/>
        </w:rPr>
        <w:t>313</w:t>
      </w:r>
      <w:r w:rsidRPr="00FA4889">
        <w:rPr>
          <w:rFonts w:ascii="Arial" w:hAnsi="Arial" w:cs="Arial"/>
          <w:noProof/>
          <w:sz w:val="22"/>
        </w:rPr>
        <w:t>, 940–3.</w:t>
      </w:r>
    </w:p>
    <w:p w:rsidR="00210A49" w:rsidRDefault="00F262DF" w:rsidP="00FA4889">
      <w:pPr>
        <w:pStyle w:val="NormalWeb"/>
        <w:ind w:left="480" w:hanging="480"/>
        <w:divId w:val="930163572"/>
        <w:rPr>
          <w:rFonts w:ascii="Arial" w:hAnsi="Arial" w:cs="Arial"/>
        </w:rPr>
      </w:pPr>
      <w:r>
        <w:rPr>
          <w:rFonts w:ascii="Arial" w:hAnsi="Arial" w:cs="Arial"/>
        </w:rPr>
        <w:fldChar w:fldCharType="end"/>
      </w:r>
    </w:p>
    <w:p w:rsidR="00184CE8" w:rsidRDefault="00184CE8">
      <w:pPr>
        <w:rPr>
          <w:rFonts w:ascii="Arial" w:eastAsiaTheme="minorEastAsia" w:hAnsi="Arial" w:cs="Arial"/>
          <w:sz w:val="24"/>
          <w:szCs w:val="24"/>
          <w:lang w:eastAsia="en-GB"/>
        </w:rPr>
      </w:pPr>
      <w:r>
        <w:rPr>
          <w:rFonts w:ascii="Arial" w:hAnsi="Arial" w:cs="Arial"/>
        </w:rPr>
        <w:br w:type="page"/>
      </w:r>
    </w:p>
    <w:p w:rsidR="00CA72B0" w:rsidRDefault="00CA72B0" w:rsidP="00DE059E">
      <w:pPr>
        <w:pStyle w:val="NormalWeb"/>
        <w:ind w:left="480" w:hanging="480"/>
        <w:contextualSpacing/>
        <w:divId w:val="648167203"/>
        <w:rPr>
          <w:rFonts w:ascii="Arial" w:hAnsi="Arial" w:cs="Arial"/>
        </w:rPr>
      </w:pPr>
      <w:r>
        <w:rPr>
          <w:rFonts w:ascii="Arial" w:hAnsi="Arial" w:cs="Arial"/>
        </w:rPr>
        <w:lastRenderedPageBreak/>
        <w:t>Figures</w:t>
      </w:r>
    </w:p>
    <w:p w:rsidR="00DE059E" w:rsidRPr="00DE059E" w:rsidRDefault="00DE059E" w:rsidP="00DE059E">
      <w:pPr>
        <w:pStyle w:val="NormalWeb"/>
        <w:ind w:left="480" w:hanging="480"/>
        <w:contextualSpacing/>
        <w:jc w:val="center"/>
        <w:divId w:val="648167203"/>
        <w:rPr>
          <w:rFonts w:ascii="Arial" w:hAnsi="Arial" w:cs="Arial"/>
        </w:rPr>
      </w:pPr>
      <w:r>
        <w:rPr>
          <w:rFonts w:ascii="Arial" w:hAnsi="Arial" w:cs="Arial"/>
          <w:noProof/>
        </w:rPr>
        <w:drawing>
          <wp:inline distT="0" distB="0" distL="0" distR="0" wp14:anchorId="4971A39F" wp14:editId="279EF9E2">
            <wp:extent cx="3811904" cy="27227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_thinning_al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1538" cy="2722467"/>
                    </a:xfrm>
                    <a:prstGeom prst="rect">
                      <a:avLst/>
                    </a:prstGeom>
                  </pic:spPr>
                </pic:pic>
              </a:graphicData>
            </a:graphic>
          </wp:inline>
        </w:drawing>
      </w:r>
    </w:p>
    <w:p w:rsidR="00DE059E" w:rsidRDefault="00184CE8" w:rsidP="00DE059E">
      <w:pPr>
        <w:pStyle w:val="NormalWeb"/>
        <w:contextualSpacing/>
        <w:divId w:val="648167203"/>
        <w:rPr>
          <w:rFonts w:ascii="Arial" w:hAnsi="Arial" w:cs="Arial"/>
        </w:rPr>
      </w:pPr>
      <w:r>
        <w:rPr>
          <w:rFonts w:ascii="Arial" w:hAnsi="Arial" w:cs="Arial"/>
        </w:rPr>
        <w:t>Figure 1</w:t>
      </w:r>
      <w:r w:rsidR="00DE059E" w:rsidRPr="00DE059E">
        <w:rPr>
          <w:rFonts w:ascii="Arial" w:hAnsi="Arial" w:cs="Arial"/>
        </w:rPr>
        <w:t xml:space="preserve"> – Relationship between subplot stem density and total subplot basal area. Points represent individual plots in 1964 (red circles), 1996 (green triangles) and 2014 (blue squares). The solid line represents the prediction from a mixed model of this relationship with the grey band representing the coefficient confidence intervals. Note that that both x and y axes are log transformed.</w:t>
      </w:r>
    </w:p>
    <w:p w:rsidR="00184CE8" w:rsidRDefault="00184CE8">
      <w:pPr>
        <w:rPr>
          <w:rFonts w:ascii="Arial" w:eastAsiaTheme="minorEastAsia" w:hAnsi="Arial" w:cs="Arial"/>
          <w:sz w:val="24"/>
          <w:szCs w:val="24"/>
          <w:lang w:eastAsia="en-GB"/>
        </w:rPr>
      </w:pPr>
      <w:r>
        <w:rPr>
          <w:rFonts w:ascii="Arial" w:hAnsi="Arial" w:cs="Arial"/>
        </w:rPr>
        <w:br w:type="page"/>
      </w:r>
    </w:p>
    <w:p w:rsidR="00DE059E" w:rsidRDefault="00DE059E" w:rsidP="00DE059E">
      <w:pPr>
        <w:pStyle w:val="NormalWeb"/>
        <w:ind w:left="480" w:hanging="480"/>
        <w:contextualSpacing/>
        <w:divId w:val="648167203"/>
        <w:rPr>
          <w:rFonts w:ascii="Arial" w:hAnsi="Arial" w:cs="Arial"/>
        </w:rPr>
      </w:pPr>
    </w:p>
    <w:p w:rsidR="00DE059E" w:rsidRDefault="00CA5118" w:rsidP="00DE059E">
      <w:pPr>
        <w:spacing w:line="360" w:lineRule="auto"/>
        <w:ind w:left="360"/>
        <w:contextualSpacing/>
        <w:divId w:val="648167203"/>
        <w:rPr>
          <w:rFonts w:ascii="Arial" w:hAnsi="Arial" w:cs="Arial"/>
        </w:rPr>
      </w:pPr>
      <w:r>
        <w:rPr>
          <w:rFonts w:ascii="Arial" w:hAnsi="Arial" w:cs="Arial"/>
          <w:noProof/>
          <w:lang w:eastAsia="en-GB"/>
        </w:rPr>
        <w:drawing>
          <wp:inline distT="0" distB="0" distL="0" distR="0" wp14:anchorId="18E514E4" wp14:editId="275F34BD">
            <wp:extent cx="5731510" cy="3820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deat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184CE8" w:rsidRDefault="00CA5118" w:rsidP="00DE059E">
      <w:pPr>
        <w:spacing w:line="360" w:lineRule="auto"/>
        <w:ind w:left="360"/>
        <w:contextualSpacing/>
        <w:divId w:val="648167203"/>
        <w:rPr>
          <w:rFonts w:ascii="Arial" w:hAnsi="Arial" w:cs="Arial"/>
        </w:rPr>
      </w:pPr>
      <w:r>
        <w:rPr>
          <w:rFonts w:ascii="Arial" w:hAnsi="Arial" w:cs="Arial"/>
        </w:rPr>
        <w:t>Figure 2</w:t>
      </w:r>
      <w:r w:rsidR="00DE059E">
        <w:rPr>
          <w:rFonts w:ascii="Arial" w:hAnsi="Arial" w:cs="Arial"/>
        </w:rPr>
        <w:t xml:space="preserve"> – Relationship between annual probability of beech tree death (a) growth rate per year, (b) diameter at breast height, (c) distance to nearest dead tree and (d) sand content of soil. Lines represent predictions generated from model-averaged parameter estimates.</w:t>
      </w:r>
    </w:p>
    <w:p w:rsidR="00184CE8" w:rsidRDefault="00184CE8">
      <w:pPr>
        <w:rPr>
          <w:rFonts w:ascii="Arial" w:hAnsi="Arial" w:cs="Arial"/>
        </w:rPr>
      </w:pPr>
      <w:r>
        <w:rPr>
          <w:rFonts w:ascii="Arial" w:hAnsi="Arial" w:cs="Arial"/>
        </w:rPr>
        <w:br w:type="page"/>
      </w:r>
    </w:p>
    <w:p w:rsidR="00DE059E" w:rsidRDefault="00DE059E" w:rsidP="00DE059E">
      <w:pPr>
        <w:spacing w:line="360" w:lineRule="auto"/>
        <w:ind w:left="360"/>
        <w:contextualSpacing/>
        <w:divId w:val="648167203"/>
        <w:rPr>
          <w:rFonts w:ascii="Arial" w:hAnsi="Arial" w:cs="Arial"/>
        </w:rPr>
      </w:pPr>
    </w:p>
    <w:p w:rsidR="00DE059E" w:rsidRDefault="00DE059E" w:rsidP="00DE059E">
      <w:pPr>
        <w:spacing w:line="360" w:lineRule="auto"/>
        <w:contextualSpacing/>
        <w:jc w:val="center"/>
        <w:divId w:val="648167203"/>
        <w:rPr>
          <w:rFonts w:ascii="Arial" w:hAnsi="Arial" w:cs="Arial"/>
        </w:rPr>
      </w:pPr>
      <w:r>
        <w:rPr>
          <w:rFonts w:ascii="Arial" w:hAnsi="Arial" w:cs="Arial"/>
          <w:noProof/>
          <w:lang w:eastAsia="en-GB"/>
        </w:rPr>
        <w:drawing>
          <wp:inline distT="0" distB="0" distL="0" distR="0" wp14:anchorId="0A76FC32" wp14:editId="11B5D339">
            <wp:extent cx="4217158" cy="3166610"/>
            <wp:effectExtent l="0" t="0" r="0" b="0"/>
            <wp:docPr id="2" name="Picture 2" descr="Beech_sapl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ech_sapling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7102" cy="3166568"/>
                    </a:xfrm>
                    <a:prstGeom prst="rect">
                      <a:avLst/>
                    </a:prstGeom>
                    <a:noFill/>
                    <a:ln>
                      <a:noFill/>
                    </a:ln>
                  </pic:spPr>
                </pic:pic>
              </a:graphicData>
            </a:graphic>
          </wp:inline>
        </w:drawing>
      </w:r>
    </w:p>
    <w:p w:rsidR="00DE059E" w:rsidRPr="007F1451" w:rsidRDefault="00184CE8" w:rsidP="00DE059E">
      <w:pPr>
        <w:spacing w:line="360" w:lineRule="auto"/>
        <w:contextualSpacing/>
        <w:divId w:val="648167203"/>
        <w:rPr>
          <w:rFonts w:ascii="Arial" w:hAnsi="Arial" w:cs="Arial"/>
        </w:rPr>
      </w:pPr>
      <w:r>
        <w:rPr>
          <w:rFonts w:ascii="Arial" w:hAnsi="Arial" w:cs="Arial"/>
        </w:rPr>
        <w:t>Figure 3</w:t>
      </w:r>
      <w:r w:rsidR="00DE059E">
        <w:rPr>
          <w:rFonts w:ascii="Arial" w:hAnsi="Arial" w:cs="Arial"/>
        </w:rPr>
        <w:t xml:space="preserve"> – The change in the relationship between the density of beech trees &gt;10 cm DBH and the density of beech saplings. While the relationship between the two is clear in 1964 by 2014 this relationship has disappeared. Solid lines represent predictions from a mixed model containing an interaction between year and density of trees &gt;10 cm. Coloured bands represent confidence intervals of the coefficients. Points represent plots, with the size of the point indicating the number of plots with the same density values in order to ease interpretation.</w:t>
      </w:r>
    </w:p>
    <w:p w:rsidR="00DE059E" w:rsidRDefault="00DE059E" w:rsidP="00DE059E">
      <w:pPr>
        <w:pStyle w:val="NormalWeb"/>
        <w:contextualSpacing/>
        <w:divId w:val="648167203"/>
        <w:rPr>
          <w:rFonts w:ascii="Arial" w:hAnsi="Arial" w:cs="Arial"/>
        </w:rPr>
      </w:pPr>
    </w:p>
    <w:p w:rsidR="00CA72B0" w:rsidRDefault="00CA72B0" w:rsidP="00DE059E">
      <w:pPr>
        <w:pStyle w:val="NormalWeb"/>
        <w:ind w:left="480" w:hanging="480"/>
        <w:contextualSpacing/>
        <w:divId w:val="648167203"/>
        <w:rPr>
          <w:rFonts w:ascii="Arial" w:hAnsi="Arial" w:cs="Arial"/>
        </w:rPr>
      </w:pPr>
      <w:r>
        <w:rPr>
          <w:rFonts w:ascii="Arial" w:hAnsi="Arial" w:cs="Arial"/>
        </w:rPr>
        <w:t>Tables</w:t>
      </w:r>
    </w:p>
    <w:p w:rsidR="00184CE8" w:rsidRDefault="00184CE8" w:rsidP="00DE059E">
      <w:pPr>
        <w:pStyle w:val="NormalWeb"/>
        <w:ind w:left="480" w:hanging="480"/>
        <w:contextualSpacing/>
        <w:divId w:val="648167203"/>
        <w:rPr>
          <w:rFonts w:ascii="Arial" w:hAnsi="Arial" w:cs="Arial"/>
        </w:rPr>
      </w:pPr>
    </w:p>
    <w:p w:rsidR="00DE059E" w:rsidRDefault="00DE059E" w:rsidP="00DE059E">
      <w:pPr>
        <w:pStyle w:val="NormalWeb"/>
        <w:ind w:left="480" w:hanging="480"/>
        <w:contextualSpacing/>
        <w:divId w:val="648167203"/>
        <w:rPr>
          <w:rFonts w:ascii="Arial" w:hAnsi="Arial" w:cs="Arial"/>
        </w:rPr>
      </w:pPr>
      <w:r>
        <w:rPr>
          <w:rFonts w:ascii="Arial" w:hAnsi="Arial" w:cs="Arial"/>
        </w:rPr>
        <w:t>Table 1</w:t>
      </w:r>
    </w:p>
    <w:tbl>
      <w:tblPr>
        <w:tblW w:w="8913" w:type="dxa"/>
        <w:tblInd w:w="93" w:type="dxa"/>
        <w:tblLook w:val="04A0" w:firstRow="1" w:lastRow="0" w:firstColumn="1" w:lastColumn="0" w:noHBand="0" w:noVBand="1"/>
      </w:tblPr>
      <w:tblGrid>
        <w:gridCol w:w="1120"/>
        <w:gridCol w:w="1420"/>
        <w:gridCol w:w="1320"/>
        <w:gridCol w:w="1420"/>
        <w:gridCol w:w="1420"/>
        <w:gridCol w:w="939"/>
        <w:gridCol w:w="1274"/>
      </w:tblGrid>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Variable</w:t>
            </w:r>
          </w:p>
        </w:tc>
        <w:tc>
          <w:tcPr>
            <w:tcW w:w="14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Estimate</w:t>
            </w:r>
          </w:p>
        </w:tc>
        <w:tc>
          <w:tcPr>
            <w:tcW w:w="13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Std. Error</w:t>
            </w:r>
          </w:p>
        </w:tc>
        <w:tc>
          <w:tcPr>
            <w:tcW w:w="14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Lower CI</w:t>
            </w:r>
          </w:p>
        </w:tc>
        <w:tc>
          <w:tcPr>
            <w:tcW w:w="14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Upper CI</w:t>
            </w:r>
          </w:p>
        </w:tc>
        <w:tc>
          <w:tcPr>
            <w:tcW w:w="939"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p value</w:t>
            </w:r>
          </w:p>
        </w:tc>
        <w:tc>
          <w:tcPr>
            <w:tcW w:w="1274"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Importance</w:t>
            </w:r>
            <w:r>
              <w:rPr>
                <w:rFonts w:ascii="Calibri" w:eastAsia="Times New Roman" w:hAnsi="Calibri" w:cs="Times New Roman"/>
                <w:b/>
                <w:color w:val="000000"/>
                <w:lang w:eastAsia="en-GB"/>
              </w:rPr>
              <w:t xml:space="preserve"> value</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Intercept</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-5.12</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0.16</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-5.43</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-4.82</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DBH</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0.21</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0.05</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0.11</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0.31</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0.8</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Distance to dead tree</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-0.24</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-0.36</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-0.12</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0.53</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Growth rate</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-0.59</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-0.70</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-0.47</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1</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Sand</w:t>
            </w:r>
            <w:r>
              <w:rPr>
                <w:rFonts w:ascii="Calibri" w:eastAsia="Times New Roman" w:hAnsi="Calibri" w:cs="Times New Roman"/>
                <w:color w:val="000000"/>
                <w:lang w:eastAsia="en-GB"/>
              </w:rPr>
              <w:t xml:space="preserve"> content</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-0.27</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0.01</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-0.29</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-0.26</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0.45</w:t>
            </w:r>
          </w:p>
        </w:tc>
      </w:tr>
    </w:tbl>
    <w:p w:rsidR="00CA72B0" w:rsidRDefault="00CA72B0" w:rsidP="00DE059E">
      <w:pPr>
        <w:pStyle w:val="NormalWeb"/>
        <w:ind w:left="480" w:hanging="480"/>
        <w:contextualSpacing/>
        <w:divId w:val="648167203"/>
        <w:rPr>
          <w:rFonts w:ascii="Arial" w:hAnsi="Arial" w:cs="Arial"/>
        </w:rPr>
      </w:pPr>
    </w:p>
    <w:p w:rsidR="00DE059E" w:rsidRDefault="00DE059E" w:rsidP="00DE059E">
      <w:pPr>
        <w:spacing w:line="360" w:lineRule="auto"/>
        <w:contextualSpacing/>
        <w:divId w:val="648167203"/>
        <w:rPr>
          <w:rFonts w:ascii="Arial" w:hAnsi="Arial" w:cs="Arial"/>
        </w:rPr>
      </w:pPr>
    </w:p>
    <w:p w:rsidR="00DE059E" w:rsidRDefault="00DE059E" w:rsidP="00DE059E">
      <w:pPr>
        <w:spacing w:line="360" w:lineRule="auto"/>
        <w:contextualSpacing/>
        <w:divId w:val="648167203"/>
        <w:rPr>
          <w:rFonts w:ascii="Arial" w:hAnsi="Arial" w:cs="Arial"/>
        </w:rPr>
      </w:pPr>
      <w:r>
        <w:rPr>
          <w:rFonts w:ascii="Arial" w:hAnsi="Arial" w:cs="Arial"/>
        </w:rPr>
        <w:t>Table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770"/>
        <w:gridCol w:w="770"/>
        <w:gridCol w:w="770"/>
        <w:gridCol w:w="770"/>
        <w:gridCol w:w="770"/>
        <w:gridCol w:w="771"/>
        <w:gridCol w:w="770"/>
        <w:gridCol w:w="770"/>
        <w:gridCol w:w="771"/>
      </w:tblGrid>
      <w:tr w:rsidR="00DE059E" w:rsidTr="00DE059E">
        <w:trPr>
          <w:divId w:val="648167203"/>
        </w:trPr>
        <w:tc>
          <w:tcPr>
            <w:tcW w:w="2310"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Census period</w:t>
            </w:r>
          </w:p>
        </w:tc>
        <w:tc>
          <w:tcPr>
            <w:tcW w:w="2310" w:type="dxa"/>
            <w:gridSpan w:val="3"/>
            <w:tcBorders>
              <w:top w:val="single" w:sz="4" w:space="0" w:color="auto"/>
              <w:bottom w:val="single" w:sz="4" w:space="0" w:color="auto"/>
            </w:tcBorders>
            <w:vAlign w:val="center"/>
          </w:tcPr>
          <w:p w:rsidR="00DE059E" w:rsidRDefault="00DE059E" w:rsidP="00D96F37">
            <w:pPr>
              <w:spacing w:line="360" w:lineRule="auto"/>
              <w:contextualSpacing/>
              <w:jc w:val="center"/>
              <w:rPr>
                <w:rFonts w:ascii="Arial" w:hAnsi="Arial" w:cs="Arial"/>
              </w:rPr>
            </w:pPr>
            <w:r>
              <w:rPr>
                <w:rFonts w:ascii="Arial" w:hAnsi="Arial" w:cs="Arial"/>
              </w:rPr>
              <w:t xml:space="preserve">Proportion </w:t>
            </w:r>
            <w:r w:rsidR="00D96F37">
              <w:rPr>
                <w:rFonts w:ascii="Arial" w:hAnsi="Arial" w:cs="Arial"/>
              </w:rPr>
              <w:t xml:space="preserve">of saplings that </w:t>
            </w:r>
            <w:r>
              <w:rPr>
                <w:rFonts w:ascii="Arial" w:hAnsi="Arial" w:cs="Arial"/>
              </w:rPr>
              <w:t>died</w:t>
            </w:r>
          </w:p>
        </w:tc>
        <w:tc>
          <w:tcPr>
            <w:tcW w:w="2311" w:type="dxa"/>
            <w:gridSpan w:val="3"/>
            <w:tcBorders>
              <w:top w:val="single" w:sz="4" w:space="0" w:color="auto"/>
              <w:bottom w:val="single" w:sz="4" w:space="0" w:color="auto"/>
            </w:tcBorders>
            <w:vAlign w:val="center"/>
          </w:tcPr>
          <w:p w:rsidR="00DE059E" w:rsidRDefault="00DE059E" w:rsidP="00D96F37">
            <w:pPr>
              <w:spacing w:line="360" w:lineRule="auto"/>
              <w:contextualSpacing/>
              <w:jc w:val="center"/>
              <w:rPr>
                <w:rFonts w:ascii="Arial" w:hAnsi="Arial" w:cs="Arial"/>
              </w:rPr>
            </w:pPr>
            <w:r>
              <w:rPr>
                <w:rFonts w:ascii="Arial" w:hAnsi="Arial" w:cs="Arial"/>
              </w:rPr>
              <w:t xml:space="preserve">Proportion </w:t>
            </w:r>
            <w:r w:rsidR="00D96F37">
              <w:rPr>
                <w:rFonts w:ascii="Arial" w:hAnsi="Arial" w:cs="Arial"/>
              </w:rPr>
              <w:t xml:space="preserve">of saplings that </w:t>
            </w:r>
            <w:r>
              <w:rPr>
                <w:rFonts w:ascii="Arial" w:hAnsi="Arial" w:cs="Arial"/>
              </w:rPr>
              <w:t>increased to &gt;10 cm DBH</w:t>
            </w:r>
          </w:p>
        </w:tc>
        <w:tc>
          <w:tcPr>
            <w:tcW w:w="2311" w:type="dxa"/>
            <w:gridSpan w:val="3"/>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Annual mortality rate</w:t>
            </w:r>
            <w:r w:rsidR="00D96F37">
              <w:rPr>
                <w:rFonts w:ascii="Arial" w:hAnsi="Arial" w:cs="Arial"/>
              </w:rPr>
              <w:t xml:space="preserve"> of saplings</w:t>
            </w:r>
          </w:p>
        </w:tc>
      </w:tr>
      <w:tr w:rsidR="00D96F37" w:rsidTr="006B43DE">
        <w:trPr>
          <w:divId w:val="648167203"/>
        </w:trPr>
        <w:tc>
          <w:tcPr>
            <w:tcW w:w="2310" w:type="dxa"/>
            <w:tcBorders>
              <w:top w:val="single" w:sz="4" w:space="0" w:color="auto"/>
            </w:tcBorders>
            <w:vAlign w:val="center"/>
          </w:tcPr>
          <w:p w:rsidR="00D96F37" w:rsidRDefault="00D96F37" w:rsidP="00DE059E">
            <w:pPr>
              <w:spacing w:line="360" w:lineRule="auto"/>
              <w:contextualSpacing/>
              <w:jc w:val="center"/>
              <w:rPr>
                <w:rFonts w:ascii="Arial" w:hAnsi="Arial" w:cs="Arial"/>
              </w:rPr>
            </w:pPr>
          </w:p>
        </w:tc>
        <w:tc>
          <w:tcPr>
            <w:tcW w:w="770" w:type="dxa"/>
            <w:tcBorders>
              <w:top w:val="single" w:sz="4" w:space="0" w:color="auto"/>
            </w:tcBorders>
            <w:vAlign w:val="center"/>
          </w:tcPr>
          <w:p w:rsidR="00D96F37" w:rsidRDefault="00D96F37" w:rsidP="00DE059E">
            <w:pPr>
              <w:contextualSpacing/>
              <w:jc w:val="center"/>
              <w:rPr>
                <w:rFonts w:ascii="Calibri" w:hAnsi="Calibri"/>
                <w:color w:val="000000"/>
              </w:rPr>
            </w:pPr>
            <w:r>
              <w:rPr>
                <w:rFonts w:ascii="Calibri" w:hAnsi="Calibri"/>
                <w:color w:val="000000"/>
              </w:rPr>
              <w:t>Beech</w:t>
            </w:r>
          </w:p>
        </w:tc>
        <w:tc>
          <w:tcPr>
            <w:tcW w:w="770" w:type="dxa"/>
            <w:tcBorders>
              <w:top w:val="single" w:sz="4" w:space="0" w:color="auto"/>
            </w:tcBorders>
            <w:vAlign w:val="center"/>
          </w:tcPr>
          <w:p w:rsidR="00D96F37" w:rsidRDefault="00D96F37" w:rsidP="00DE059E">
            <w:pPr>
              <w:contextualSpacing/>
              <w:jc w:val="center"/>
              <w:rPr>
                <w:rFonts w:ascii="Calibri" w:hAnsi="Calibri"/>
                <w:color w:val="000000"/>
              </w:rPr>
            </w:pPr>
            <w:r>
              <w:rPr>
                <w:rFonts w:ascii="Calibri" w:hAnsi="Calibri"/>
                <w:color w:val="000000"/>
              </w:rPr>
              <w:t>Oak</w:t>
            </w:r>
          </w:p>
        </w:tc>
        <w:tc>
          <w:tcPr>
            <w:tcW w:w="770" w:type="dxa"/>
            <w:tcBorders>
              <w:top w:val="single" w:sz="4" w:space="0" w:color="auto"/>
            </w:tcBorders>
            <w:vAlign w:val="center"/>
          </w:tcPr>
          <w:p w:rsidR="00D96F37" w:rsidRDefault="00D96F37" w:rsidP="00DE059E">
            <w:pPr>
              <w:contextualSpacing/>
              <w:jc w:val="center"/>
              <w:rPr>
                <w:rFonts w:ascii="Calibri" w:hAnsi="Calibri"/>
                <w:color w:val="000000"/>
              </w:rPr>
            </w:pPr>
            <w:r>
              <w:rPr>
                <w:rFonts w:ascii="Calibri" w:hAnsi="Calibri"/>
                <w:color w:val="000000"/>
              </w:rPr>
              <w:t>Holly</w:t>
            </w:r>
          </w:p>
        </w:tc>
        <w:tc>
          <w:tcPr>
            <w:tcW w:w="770" w:type="dxa"/>
            <w:tcBorders>
              <w:top w:val="single" w:sz="4" w:space="0" w:color="auto"/>
            </w:tcBorders>
            <w:vAlign w:val="center"/>
          </w:tcPr>
          <w:p w:rsidR="00D96F37" w:rsidRDefault="00D96F37" w:rsidP="00DE059E">
            <w:pPr>
              <w:contextualSpacing/>
              <w:jc w:val="center"/>
              <w:rPr>
                <w:rFonts w:ascii="Calibri" w:hAnsi="Calibri"/>
                <w:color w:val="000000"/>
              </w:rPr>
            </w:pPr>
            <w:r>
              <w:rPr>
                <w:rFonts w:ascii="Calibri" w:hAnsi="Calibri"/>
                <w:color w:val="000000"/>
              </w:rPr>
              <w:t>Beech</w:t>
            </w:r>
          </w:p>
        </w:tc>
        <w:tc>
          <w:tcPr>
            <w:tcW w:w="770" w:type="dxa"/>
            <w:tcBorders>
              <w:top w:val="single" w:sz="4" w:space="0" w:color="auto"/>
            </w:tcBorders>
            <w:vAlign w:val="center"/>
          </w:tcPr>
          <w:p w:rsidR="00D96F37" w:rsidRDefault="00D96F37" w:rsidP="00DE059E">
            <w:pPr>
              <w:contextualSpacing/>
              <w:jc w:val="center"/>
              <w:rPr>
                <w:rFonts w:ascii="Calibri" w:hAnsi="Calibri"/>
                <w:color w:val="000000"/>
              </w:rPr>
            </w:pPr>
            <w:r>
              <w:rPr>
                <w:rFonts w:ascii="Calibri" w:hAnsi="Calibri"/>
                <w:color w:val="000000"/>
              </w:rPr>
              <w:t>Oak</w:t>
            </w:r>
          </w:p>
        </w:tc>
        <w:tc>
          <w:tcPr>
            <w:tcW w:w="771" w:type="dxa"/>
            <w:tcBorders>
              <w:top w:val="single" w:sz="4" w:space="0" w:color="auto"/>
            </w:tcBorders>
            <w:vAlign w:val="center"/>
          </w:tcPr>
          <w:p w:rsidR="00D96F37" w:rsidRDefault="00D96F37" w:rsidP="00DE059E">
            <w:pPr>
              <w:contextualSpacing/>
              <w:jc w:val="center"/>
              <w:rPr>
                <w:rFonts w:ascii="Calibri" w:hAnsi="Calibri"/>
                <w:color w:val="000000"/>
              </w:rPr>
            </w:pPr>
            <w:r>
              <w:rPr>
                <w:rFonts w:ascii="Calibri" w:hAnsi="Calibri"/>
                <w:color w:val="000000"/>
              </w:rPr>
              <w:t>Holly</w:t>
            </w:r>
          </w:p>
        </w:tc>
        <w:tc>
          <w:tcPr>
            <w:tcW w:w="770" w:type="dxa"/>
            <w:tcBorders>
              <w:top w:val="single" w:sz="4" w:space="0" w:color="auto"/>
            </w:tcBorders>
            <w:vAlign w:val="center"/>
          </w:tcPr>
          <w:p w:rsidR="00D96F37" w:rsidRDefault="00D96F37" w:rsidP="00DE059E">
            <w:pPr>
              <w:contextualSpacing/>
              <w:jc w:val="center"/>
              <w:rPr>
                <w:rFonts w:ascii="Calibri" w:hAnsi="Calibri"/>
                <w:color w:val="000000"/>
              </w:rPr>
            </w:pPr>
            <w:r>
              <w:rPr>
                <w:rFonts w:ascii="Calibri" w:hAnsi="Calibri"/>
                <w:color w:val="000000"/>
              </w:rPr>
              <w:t>Beech</w:t>
            </w:r>
          </w:p>
        </w:tc>
        <w:tc>
          <w:tcPr>
            <w:tcW w:w="770" w:type="dxa"/>
            <w:tcBorders>
              <w:top w:val="single" w:sz="4" w:space="0" w:color="auto"/>
            </w:tcBorders>
            <w:vAlign w:val="center"/>
          </w:tcPr>
          <w:p w:rsidR="00D96F37" w:rsidRDefault="00D96F37" w:rsidP="00DE059E">
            <w:pPr>
              <w:contextualSpacing/>
              <w:jc w:val="center"/>
              <w:rPr>
                <w:rFonts w:ascii="Calibri" w:hAnsi="Calibri"/>
                <w:color w:val="000000"/>
              </w:rPr>
            </w:pPr>
            <w:r>
              <w:rPr>
                <w:rFonts w:ascii="Calibri" w:hAnsi="Calibri"/>
                <w:color w:val="000000"/>
              </w:rPr>
              <w:t>Oak</w:t>
            </w:r>
          </w:p>
        </w:tc>
        <w:tc>
          <w:tcPr>
            <w:tcW w:w="771" w:type="dxa"/>
            <w:tcBorders>
              <w:top w:val="single" w:sz="4" w:space="0" w:color="auto"/>
            </w:tcBorders>
            <w:vAlign w:val="center"/>
          </w:tcPr>
          <w:p w:rsidR="00D96F37" w:rsidRDefault="00D96F37" w:rsidP="00DE059E">
            <w:pPr>
              <w:contextualSpacing/>
              <w:jc w:val="center"/>
              <w:rPr>
                <w:rFonts w:ascii="Calibri" w:hAnsi="Calibri"/>
                <w:color w:val="000000"/>
              </w:rPr>
            </w:pPr>
            <w:r>
              <w:rPr>
                <w:rFonts w:ascii="Calibri" w:hAnsi="Calibri"/>
                <w:color w:val="000000"/>
              </w:rPr>
              <w:t>Holly</w:t>
            </w:r>
          </w:p>
        </w:tc>
      </w:tr>
      <w:tr w:rsidR="00D96F37" w:rsidTr="00D96F37">
        <w:trPr>
          <w:divId w:val="648167203"/>
        </w:trPr>
        <w:tc>
          <w:tcPr>
            <w:tcW w:w="2310" w:type="dxa"/>
            <w:tcBorders>
              <w:top w:val="single" w:sz="4" w:space="0" w:color="auto"/>
            </w:tcBorders>
            <w:vAlign w:val="center"/>
          </w:tcPr>
          <w:p w:rsidR="00D96F37" w:rsidRDefault="00D96F37" w:rsidP="00DE059E">
            <w:pPr>
              <w:spacing w:line="360" w:lineRule="auto"/>
              <w:contextualSpacing/>
              <w:jc w:val="center"/>
              <w:rPr>
                <w:rFonts w:ascii="Arial" w:hAnsi="Arial" w:cs="Arial"/>
              </w:rPr>
            </w:pPr>
            <w:r>
              <w:rPr>
                <w:rFonts w:ascii="Arial" w:hAnsi="Arial" w:cs="Arial"/>
              </w:rPr>
              <w:t>1964-1984</w:t>
            </w:r>
          </w:p>
        </w:tc>
        <w:tc>
          <w:tcPr>
            <w:tcW w:w="770" w:type="dxa"/>
            <w:tcBorders>
              <w:top w:val="single" w:sz="4" w:space="0" w:color="auto"/>
            </w:tcBorders>
            <w:vAlign w:val="center"/>
          </w:tcPr>
          <w:p w:rsidR="00D96F37" w:rsidRDefault="00D96F37" w:rsidP="00DE059E">
            <w:pPr>
              <w:contextualSpacing/>
              <w:jc w:val="center"/>
              <w:rPr>
                <w:rFonts w:ascii="Calibri" w:hAnsi="Calibri"/>
                <w:color w:val="000000"/>
              </w:rPr>
            </w:pPr>
            <w:r>
              <w:rPr>
                <w:rFonts w:ascii="Calibri" w:hAnsi="Calibri"/>
                <w:color w:val="000000"/>
              </w:rPr>
              <w:t>0.56</w:t>
            </w:r>
          </w:p>
        </w:tc>
        <w:tc>
          <w:tcPr>
            <w:tcW w:w="770" w:type="dxa"/>
            <w:tcBorders>
              <w:top w:val="single" w:sz="4" w:space="0" w:color="auto"/>
            </w:tcBorders>
            <w:vAlign w:val="center"/>
          </w:tcPr>
          <w:p w:rsidR="00D96F37" w:rsidRDefault="00D96F37" w:rsidP="00DE059E">
            <w:pPr>
              <w:contextualSpacing/>
              <w:jc w:val="center"/>
              <w:rPr>
                <w:rFonts w:ascii="Calibri" w:hAnsi="Calibri"/>
                <w:color w:val="000000"/>
              </w:rPr>
            </w:pPr>
            <w:r>
              <w:rPr>
                <w:rFonts w:ascii="Calibri" w:hAnsi="Calibri"/>
                <w:color w:val="000000"/>
              </w:rPr>
              <w:t>0</w:t>
            </w:r>
          </w:p>
        </w:tc>
        <w:tc>
          <w:tcPr>
            <w:tcW w:w="770" w:type="dxa"/>
            <w:tcBorders>
              <w:top w:val="single" w:sz="4" w:space="0" w:color="auto"/>
            </w:tcBorders>
            <w:vAlign w:val="center"/>
          </w:tcPr>
          <w:p w:rsidR="00D96F37" w:rsidRDefault="00D96F37" w:rsidP="00D96F37">
            <w:pPr>
              <w:jc w:val="center"/>
              <w:rPr>
                <w:rFonts w:ascii="Calibri" w:hAnsi="Calibri"/>
                <w:color w:val="000000"/>
              </w:rPr>
            </w:pPr>
            <w:r>
              <w:rPr>
                <w:rFonts w:ascii="Calibri" w:hAnsi="Calibri"/>
                <w:color w:val="000000"/>
              </w:rPr>
              <w:t>0.78</w:t>
            </w:r>
          </w:p>
        </w:tc>
        <w:tc>
          <w:tcPr>
            <w:tcW w:w="770" w:type="dxa"/>
            <w:tcBorders>
              <w:top w:val="single" w:sz="4" w:space="0" w:color="auto"/>
            </w:tcBorders>
            <w:vAlign w:val="center"/>
          </w:tcPr>
          <w:p w:rsidR="00D96F37" w:rsidRDefault="00D96F37" w:rsidP="00DE059E">
            <w:pPr>
              <w:contextualSpacing/>
              <w:jc w:val="center"/>
              <w:rPr>
                <w:rFonts w:ascii="Calibri" w:hAnsi="Calibri"/>
                <w:color w:val="000000"/>
              </w:rPr>
            </w:pPr>
            <w:r>
              <w:rPr>
                <w:rFonts w:ascii="Calibri" w:hAnsi="Calibri"/>
                <w:color w:val="000000"/>
              </w:rPr>
              <w:t>0.14</w:t>
            </w:r>
          </w:p>
        </w:tc>
        <w:tc>
          <w:tcPr>
            <w:tcW w:w="770" w:type="dxa"/>
            <w:tcBorders>
              <w:top w:val="single" w:sz="4" w:space="0" w:color="auto"/>
            </w:tcBorders>
            <w:vAlign w:val="center"/>
          </w:tcPr>
          <w:p w:rsidR="00D96F37" w:rsidRDefault="00D96F37" w:rsidP="00DE059E">
            <w:pPr>
              <w:contextualSpacing/>
              <w:jc w:val="center"/>
              <w:rPr>
                <w:rFonts w:ascii="Calibri" w:hAnsi="Calibri"/>
                <w:color w:val="000000"/>
              </w:rPr>
            </w:pPr>
            <w:r>
              <w:rPr>
                <w:rFonts w:ascii="Calibri" w:hAnsi="Calibri"/>
                <w:color w:val="000000"/>
              </w:rPr>
              <w:t>1.00</w:t>
            </w:r>
          </w:p>
        </w:tc>
        <w:tc>
          <w:tcPr>
            <w:tcW w:w="771" w:type="dxa"/>
            <w:tcBorders>
              <w:top w:val="single" w:sz="4" w:space="0" w:color="auto"/>
            </w:tcBorders>
            <w:vAlign w:val="center"/>
          </w:tcPr>
          <w:p w:rsidR="00D96F37" w:rsidRDefault="00D96F37" w:rsidP="00D96F37">
            <w:pPr>
              <w:jc w:val="center"/>
              <w:rPr>
                <w:rFonts w:ascii="Calibri" w:hAnsi="Calibri"/>
                <w:color w:val="000000"/>
              </w:rPr>
            </w:pPr>
            <w:r>
              <w:rPr>
                <w:rFonts w:ascii="Calibri" w:hAnsi="Calibri"/>
                <w:color w:val="000000"/>
              </w:rPr>
              <w:t>0.04</w:t>
            </w:r>
          </w:p>
        </w:tc>
        <w:tc>
          <w:tcPr>
            <w:tcW w:w="770" w:type="dxa"/>
            <w:tcBorders>
              <w:top w:val="single" w:sz="4" w:space="0" w:color="auto"/>
            </w:tcBorders>
            <w:vAlign w:val="center"/>
          </w:tcPr>
          <w:p w:rsidR="00D96F37" w:rsidRDefault="00D96F37" w:rsidP="00DE059E">
            <w:pPr>
              <w:contextualSpacing/>
              <w:jc w:val="center"/>
              <w:rPr>
                <w:rFonts w:ascii="Calibri" w:hAnsi="Calibri"/>
                <w:color w:val="000000"/>
              </w:rPr>
            </w:pPr>
            <w:r>
              <w:rPr>
                <w:rFonts w:ascii="Calibri" w:hAnsi="Calibri"/>
                <w:color w:val="000000"/>
              </w:rPr>
              <w:t>4.07%</w:t>
            </w:r>
          </w:p>
        </w:tc>
        <w:tc>
          <w:tcPr>
            <w:tcW w:w="770" w:type="dxa"/>
            <w:tcBorders>
              <w:top w:val="single" w:sz="4" w:space="0" w:color="auto"/>
            </w:tcBorders>
            <w:vAlign w:val="center"/>
          </w:tcPr>
          <w:p w:rsidR="00D96F37" w:rsidRDefault="00D96F37" w:rsidP="00DE059E">
            <w:pPr>
              <w:contextualSpacing/>
              <w:jc w:val="center"/>
              <w:rPr>
                <w:rFonts w:ascii="Calibri" w:hAnsi="Calibri"/>
                <w:color w:val="000000"/>
              </w:rPr>
            </w:pPr>
            <w:r>
              <w:rPr>
                <w:rFonts w:ascii="Calibri" w:hAnsi="Calibri"/>
                <w:color w:val="000000"/>
              </w:rPr>
              <w:t>0</w:t>
            </w:r>
          </w:p>
        </w:tc>
        <w:tc>
          <w:tcPr>
            <w:tcW w:w="771" w:type="dxa"/>
            <w:tcBorders>
              <w:top w:val="single" w:sz="4" w:space="0" w:color="auto"/>
            </w:tcBorders>
            <w:vAlign w:val="center"/>
          </w:tcPr>
          <w:p w:rsidR="00D96F37" w:rsidRDefault="00D96F37" w:rsidP="00D96F37">
            <w:pPr>
              <w:jc w:val="center"/>
              <w:rPr>
                <w:rFonts w:ascii="Calibri" w:hAnsi="Calibri"/>
                <w:color w:val="000000"/>
              </w:rPr>
            </w:pPr>
            <w:r>
              <w:rPr>
                <w:rFonts w:ascii="Calibri" w:hAnsi="Calibri"/>
                <w:color w:val="000000"/>
              </w:rPr>
              <w:t>7.20%</w:t>
            </w:r>
          </w:p>
        </w:tc>
      </w:tr>
      <w:tr w:rsidR="00D96F37" w:rsidTr="00D96F37">
        <w:trPr>
          <w:divId w:val="648167203"/>
        </w:trPr>
        <w:tc>
          <w:tcPr>
            <w:tcW w:w="2310" w:type="dxa"/>
            <w:vAlign w:val="center"/>
          </w:tcPr>
          <w:p w:rsidR="00D96F37" w:rsidRDefault="00D96F37" w:rsidP="00DE059E">
            <w:pPr>
              <w:spacing w:line="360" w:lineRule="auto"/>
              <w:contextualSpacing/>
              <w:jc w:val="center"/>
              <w:rPr>
                <w:rFonts w:ascii="Arial" w:hAnsi="Arial" w:cs="Arial"/>
              </w:rPr>
            </w:pPr>
            <w:r>
              <w:rPr>
                <w:rFonts w:ascii="Arial" w:hAnsi="Arial" w:cs="Arial"/>
              </w:rPr>
              <w:t>1984-1988</w:t>
            </w:r>
          </w:p>
        </w:tc>
        <w:tc>
          <w:tcPr>
            <w:tcW w:w="770" w:type="dxa"/>
            <w:vAlign w:val="center"/>
          </w:tcPr>
          <w:p w:rsidR="00D96F37" w:rsidRDefault="00D96F37" w:rsidP="00DE059E">
            <w:pPr>
              <w:contextualSpacing/>
              <w:jc w:val="center"/>
              <w:rPr>
                <w:rFonts w:ascii="Calibri" w:hAnsi="Calibri"/>
                <w:color w:val="000000"/>
              </w:rPr>
            </w:pPr>
            <w:r>
              <w:rPr>
                <w:rFonts w:ascii="Calibri" w:hAnsi="Calibri"/>
                <w:color w:val="000000"/>
              </w:rPr>
              <w:t>0.11</w:t>
            </w:r>
          </w:p>
        </w:tc>
        <w:tc>
          <w:tcPr>
            <w:tcW w:w="770" w:type="dxa"/>
            <w:vAlign w:val="center"/>
          </w:tcPr>
          <w:p w:rsidR="00D96F37" w:rsidRDefault="00D96F37" w:rsidP="00DE059E">
            <w:pPr>
              <w:contextualSpacing/>
              <w:jc w:val="center"/>
              <w:rPr>
                <w:rFonts w:ascii="Calibri" w:hAnsi="Calibri"/>
                <w:color w:val="000000"/>
              </w:rPr>
            </w:pPr>
            <w:r>
              <w:rPr>
                <w:rFonts w:ascii="Calibri" w:hAnsi="Calibri"/>
                <w:color w:val="000000"/>
              </w:rPr>
              <w:t>NA</w:t>
            </w:r>
            <w:bookmarkStart w:id="0" w:name="_GoBack"/>
            <w:bookmarkEnd w:id="0"/>
          </w:p>
        </w:tc>
        <w:tc>
          <w:tcPr>
            <w:tcW w:w="770" w:type="dxa"/>
            <w:vAlign w:val="center"/>
          </w:tcPr>
          <w:p w:rsidR="00D96F37" w:rsidRDefault="00D96F37" w:rsidP="00D96F37">
            <w:pPr>
              <w:jc w:val="center"/>
              <w:rPr>
                <w:rFonts w:ascii="Calibri" w:hAnsi="Calibri"/>
                <w:color w:val="000000"/>
              </w:rPr>
            </w:pPr>
            <w:r>
              <w:rPr>
                <w:rFonts w:ascii="Calibri" w:hAnsi="Calibri"/>
                <w:color w:val="000000"/>
              </w:rPr>
              <w:t>0.22</w:t>
            </w:r>
          </w:p>
        </w:tc>
        <w:tc>
          <w:tcPr>
            <w:tcW w:w="770" w:type="dxa"/>
            <w:vAlign w:val="center"/>
          </w:tcPr>
          <w:p w:rsidR="00D96F37" w:rsidRDefault="00D96F37" w:rsidP="00DE059E">
            <w:pPr>
              <w:contextualSpacing/>
              <w:jc w:val="center"/>
              <w:rPr>
                <w:rFonts w:ascii="Calibri" w:hAnsi="Calibri"/>
                <w:color w:val="000000"/>
              </w:rPr>
            </w:pPr>
            <w:r>
              <w:rPr>
                <w:rFonts w:ascii="Calibri" w:hAnsi="Calibri"/>
                <w:color w:val="000000"/>
              </w:rPr>
              <w:t>0.2</w:t>
            </w:r>
          </w:p>
        </w:tc>
        <w:tc>
          <w:tcPr>
            <w:tcW w:w="770" w:type="dxa"/>
            <w:vAlign w:val="center"/>
          </w:tcPr>
          <w:p w:rsidR="00D96F37" w:rsidRDefault="00D96F37" w:rsidP="00DE059E">
            <w:pPr>
              <w:contextualSpacing/>
              <w:jc w:val="center"/>
              <w:rPr>
                <w:rFonts w:ascii="Calibri" w:hAnsi="Calibri"/>
                <w:color w:val="000000"/>
              </w:rPr>
            </w:pPr>
            <w:r>
              <w:rPr>
                <w:rFonts w:ascii="Calibri" w:hAnsi="Calibri"/>
                <w:color w:val="000000"/>
              </w:rPr>
              <w:t>NA</w:t>
            </w:r>
          </w:p>
        </w:tc>
        <w:tc>
          <w:tcPr>
            <w:tcW w:w="771" w:type="dxa"/>
            <w:vAlign w:val="center"/>
          </w:tcPr>
          <w:p w:rsidR="00D96F37" w:rsidRDefault="00D96F37" w:rsidP="00D96F37">
            <w:pPr>
              <w:jc w:val="center"/>
              <w:rPr>
                <w:rFonts w:ascii="Calibri" w:hAnsi="Calibri"/>
                <w:color w:val="000000"/>
              </w:rPr>
            </w:pPr>
            <w:r>
              <w:rPr>
                <w:rFonts w:ascii="Calibri" w:hAnsi="Calibri"/>
                <w:color w:val="000000"/>
              </w:rPr>
              <w:t>0.01</w:t>
            </w:r>
          </w:p>
        </w:tc>
        <w:tc>
          <w:tcPr>
            <w:tcW w:w="770" w:type="dxa"/>
            <w:vAlign w:val="center"/>
          </w:tcPr>
          <w:p w:rsidR="00D96F37" w:rsidRDefault="00D96F37" w:rsidP="00DE059E">
            <w:pPr>
              <w:contextualSpacing/>
              <w:jc w:val="center"/>
              <w:rPr>
                <w:rFonts w:ascii="Calibri" w:hAnsi="Calibri"/>
                <w:color w:val="000000"/>
              </w:rPr>
            </w:pPr>
            <w:r>
              <w:rPr>
                <w:rFonts w:ascii="Calibri" w:hAnsi="Calibri"/>
                <w:color w:val="000000"/>
              </w:rPr>
              <w:t>2.79%</w:t>
            </w:r>
          </w:p>
        </w:tc>
        <w:tc>
          <w:tcPr>
            <w:tcW w:w="770" w:type="dxa"/>
            <w:vAlign w:val="center"/>
          </w:tcPr>
          <w:p w:rsidR="00D96F37" w:rsidRDefault="00D96F37" w:rsidP="00DE059E">
            <w:pPr>
              <w:contextualSpacing/>
              <w:jc w:val="center"/>
              <w:rPr>
                <w:rFonts w:ascii="Calibri" w:hAnsi="Calibri"/>
                <w:color w:val="000000"/>
              </w:rPr>
            </w:pPr>
            <w:r>
              <w:rPr>
                <w:rFonts w:ascii="Calibri" w:hAnsi="Calibri"/>
                <w:color w:val="000000"/>
              </w:rPr>
              <w:t>NA</w:t>
            </w:r>
          </w:p>
        </w:tc>
        <w:tc>
          <w:tcPr>
            <w:tcW w:w="771" w:type="dxa"/>
            <w:vAlign w:val="center"/>
          </w:tcPr>
          <w:p w:rsidR="00D96F37" w:rsidRDefault="00D96F37" w:rsidP="00D96F37">
            <w:pPr>
              <w:jc w:val="center"/>
              <w:rPr>
                <w:rFonts w:ascii="Calibri" w:hAnsi="Calibri"/>
                <w:color w:val="000000"/>
              </w:rPr>
            </w:pPr>
            <w:r>
              <w:rPr>
                <w:rFonts w:ascii="Calibri" w:hAnsi="Calibri"/>
                <w:color w:val="000000"/>
              </w:rPr>
              <w:t>5.91%</w:t>
            </w:r>
          </w:p>
        </w:tc>
      </w:tr>
      <w:tr w:rsidR="00D96F37" w:rsidTr="00D96F37">
        <w:trPr>
          <w:divId w:val="648167203"/>
        </w:trPr>
        <w:tc>
          <w:tcPr>
            <w:tcW w:w="2310" w:type="dxa"/>
            <w:vAlign w:val="center"/>
          </w:tcPr>
          <w:p w:rsidR="00D96F37" w:rsidRDefault="00D96F37" w:rsidP="00DE059E">
            <w:pPr>
              <w:spacing w:line="360" w:lineRule="auto"/>
              <w:contextualSpacing/>
              <w:jc w:val="center"/>
              <w:rPr>
                <w:rFonts w:ascii="Arial" w:hAnsi="Arial" w:cs="Arial"/>
              </w:rPr>
            </w:pPr>
            <w:r>
              <w:rPr>
                <w:rFonts w:ascii="Arial" w:hAnsi="Arial" w:cs="Arial"/>
              </w:rPr>
              <w:t>1988-1996</w:t>
            </w:r>
          </w:p>
        </w:tc>
        <w:tc>
          <w:tcPr>
            <w:tcW w:w="770" w:type="dxa"/>
            <w:vAlign w:val="center"/>
          </w:tcPr>
          <w:p w:rsidR="00D96F37" w:rsidRDefault="00D96F37" w:rsidP="00DE059E">
            <w:pPr>
              <w:contextualSpacing/>
              <w:jc w:val="center"/>
              <w:rPr>
                <w:rFonts w:ascii="Calibri" w:hAnsi="Calibri"/>
                <w:color w:val="000000"/>
              </w:rPr>
            </w:pPr>
            <w:r>
              <w:rPr>
                <w:rFonts w:ascii="Calibri" w:hAnsi="Calibri"/>
                <w:color w:val="000000"/>
              </w:rPr>
              <w:t>0.15</w:t>
            </w:r>
          </w:p>
        </w:tc>
        <w:tc>
          <w:tcPr>
            <w:tcW w:w="770" w:type="dxa"/>
            <w:vAlign w:val="center"/>
          </w:tcPr>
          <w:p w:rsidR="00D96F37" w:rsidRDefault="00D96F37" w:rsidP="00DE059E">
            <w:pPr>
              <w:contextualSpacing/>
              <w:jc w:val="center"/>
              <w:rPr>
                <w:rFonts w:ascii="Calibri" w:hAnsi="Calibri"/>
                <w:color w:val="000000"/>
              </w:rPr>
            </w:pPr>
            <w:r>
              <w:rPr>
                <w:rFonts w:ascii="Calibri" w:hAnsi="Calibri"/>
                <w:color w:val="000000"/>
              </w:rPr>
              <w:t>NA</w:t>
            </w:r>
          </w:p>
        </w:tc>
        <w:tc>
          <w:tcPr>
            <w:tcW w:w="770" w:type="dxa"/>
            <w:vAlign w:val="center"/>
          </w:tcPr>
          <w:p w:rsidR="00D96F37" w:rsidRDefault="00D96F37" w:rsidP="00D96F37">
            <w:pPr>
              <w:jc w:val="center"/>
              <w:rPr>
                <w:rFonts w:ascii="Calibri" w:hAnsi="Calibri"/>
                <w:color w:val="000000"/>
              </w:rPr>
            </w:pPr>
            <w:r>
              <w:rPr>
                <w:rFonts w:ascii="Calibri" w:hAnsi="Calibri"/>
                <w:color w:val="000000"/>
              </w:rPr>
              <w:t>0.25</w:t>
            </w:r>
          </w:p>
        </w:tc>
        <w:tc>
          <w:tcPr>
            <w:tcW w:w="770" w:type="dxa"/>
            <w:vAlign w:val="center"/>
          </w:tcPr>
          <w:p w:rsidR="00D96F37" w:rsidRDefault="00D96F37" w:rsidP="00DE059E">
            <w:pPr>
              <w:contextualSpacing/>
              <w:jc w:val="center"/>
              <w:rPr>
                <w:rFonts w:ascii="Calibri" w:hAnsi="Calibri"/>
                <w:color w:val="000000"/>
              </w:rPr>
            </w:pPr>
            <w:r>
              <w:rPr>
                <w:rFonts w:ascii="Calibri" w:hAnsi="Calibri"/>
                <w:color w:val="000000"/>
              </w:rPr>
              <w:t>0.32</w:t>
            </w:r>
          </w:p>
        </w:tc>
        <w:tc>
          <w:tcPr>
            <w:tcW w:w="770" w:type="dxa"/>
            <w:vAlign w:val="center"/>
          </w:tcPr>
          <w:p w:rsidR="00D96F37" w:rsidRDefault="00D96F37" w:rsidP="00DE059E">
            <w:pPr>
              <w:contextualSpacing/>
              <w:jc w:val="center"/>
              <w:rPr>
                <w:rFonts w:ascii="Calibri" w:hAnsi="Calibri"/>
                <w:color w:val="000000"/>
              </w:rPr>
            </w:pPr>
            <w:r>
              <w:rPr>
                <w:rFonts w:ascii="Calibri" w:hAnsi="Calibri"/>
                <w:color w:val="000000"/>
              </w:rPr>
              <w:t>NA</w:t>
            </w:r>
          </w:p>
        </w:tc>
        <w:tc>
          <w:tcPr>
            <w:tcW w:w="771" w:type="dxa"/>
            <w:vAlign w:val="center"/>
          </w:tcPr>
          <w:p w:rsidR="00D96F37" w:rsidRDefault="00D96F37" w:rsidP="00D96F37">
            <w:pPr>
              <w:jc w:val="center"/>
              <w:rPr>
                <w:rFonts w:ascii="Calibri" w:hAnsi="Calibri"/>
                <w:color w:val="000000"/>
              </w:rPr>
            </w:pPr>
            <w:r>
              <w:rPr>
                <w:rFonts w:ascii="Calibri" w:hAnsi="Calibri"/>
                <w:color w:val="000000"/>
              </w:rPr>
              <w:t>0.08</w:t>
            </w:r>
          </w:p>
        </w:tc>
        <w:tc>
          <w:tcPr>
            <w:tcW w:w="770" w:type="dxa"/>
            <w:vAlign w:val="center"/>
          </w:tcPr>
          <w:p w:rsidR="00D96F37" w:rsidRDefault="00D96F37" w:rsidP="00DE059E">
            <w:pPr>
              <w:contextualSpacing/>
              <w:jc w:val="center"/>
              <w:rPr>
                <w:rFonts w:ascii="Calibri" w:hAnsi="Calibri"/>
                <w:color w:val="000000"/>
              </w:rPr>
            </w:pPr>
            <w:r>
              <w:rPr>
                <w:rFonts w:ascii="Calibri" w:hAnsi="Calibri"/>
                <w:color w:val="000000"/>
              </w:rPr>
              <w:t>2.01%</w:t>
            </w:r>
          </w:p>
        </w:tc>
        <w:tc>
          <w:tcPr>
            <w:tcW w:w="770" w:type="dxa"/>
            <w:vAlign w:val="center"/>
          </w:tcPr>
          <w:p w:rsidR="00D96F37" w:rsidRDefault="00D96F37" w:rsidP="00DE059E">
            <w:pPr>
              <w:contextualSpacing/>
              <w:jc w:val="center"/>
              <w:rPr>
                <w:rFonts w:ascii="Calibri" w:hAnsi="Calibri"/>
                <w:color w:val="000000"/>
              </w:rPr>
            </w:pPr>
            <w:r>
              <w:rPr>
                <w:rFonts w:ascii="Calibri" w:hAnsi="Calibri"/>
                <w:color w:val="000000"/>
              </w:rPr>
              <w:t>NA</w:t>
            </w:r>
          </w:p>
        </w:tc>
        <w:tc>
          <w:tcPr>
            <w:tcW w:w="771" w:type="dxa"/>
            <w:vAlign w:val="center"/>
          </w:tcPr>
          <w:p w:rsidR="00D96F37" w:rsidRDefault="00D96F37" w:rsidP="00D96F37">
            <w:pPr>
              <w:jc w:val="center"/>
              <w:rPr>
                <w:rFonts w:ascii="Calibri" w:hAnsi="Calibri"/>
                <w:color w:val="000000"/>
              </w:rPr>
            </w:pPr>
            <w:r>
              <w:rPr>
                <w:rFonts w:ascii="Calibri" w:hAnsi="Calibri"/>
                <w:color w:val="000000"/>
              </w:rPr>
              <w:t>3.53%</w:t>
            </w:r>
          </w:p>
        </w:tc>
      </w:tr>
      <w:tr w:rsidR="00D96F37" w:rsidTr="00D96F37">
        <w:trPr>
          <w:divId w:val="648167203"/>
        </w:trPr>
        <w:tc>
          <w:tcPr>
            <w:tcW w:w="2310" w:type="dxa"/>
            <w:tcBorders>
              <w:bottom w:val="single" w:sz="4" w:space="0" w:color="auto"/>
            </w:tcBorders>
            <w:vAlign w:val="center"/>
          </w:tcPr>
          <w:p w:rsidR="00D96F37" w:rsidRDefault="00D96F37" w:rsidP="00DE059E">
            <w:pPr>
              <w:spacing w:line="360" w:lineRule="auto"/>
              <w:contextualSpacing/>
              <w:jc w:val="center"/>
              <w:rPr>
                <w:rFonts w:ascii="Arial" w:hAnsi="Arial" w:cs="Arial"/>
              </w:rPr>
            </w:pPr>
            <w:r>
              <w:rPr>
                <w:rFonts w:ascii="Arial" w:hAnsi="Arial" w:cs="Arial"/>
              </w:rPr>
              <w:t>1996-2014</w:t>
            </w:r>
          </w:p>
        </w:tc>
        <w:tc>
          <w:tcPr>
            <w:tcW w:w="770" w:type="dxa"/>
            <w:tcBorders>
              <w:bottom w:val="single" w:sz="4" w:space="0" w:color="auto"/>
            </w:tcBorders>
            <w:vAlign w:val="center"/>
          </w:tcPr>
          <w:p w:rsidR="00D96F37" w:rsidRDefault="00D96F37" w:rsidP="00DE059E">
            <w:pPr>
              <w:contextualSpacing/>
              <w:jc w:val="center"/>
              <w:rPr>
                <w:rFonts w:ascii="Calibri" w:hAnsi="Calibri"/>
                <w:color w:val="000000"/>
              </w:rPr>
            </w:pPr>
            <w:r>
              <w:rPr>
                <w:rFonts w:ascii="Calibri" w:hAnsi="Calibri"/>
                <w:color w:val="000000"/>
              </w:rPr>
              <w:t>0.09</w:t>
            </w:r>
          </w:p>
        </w:tc>
        <w:tc>
          <w:tcPr>
            <w:tcW w:w="770" w:type="dxa"/>
            <w:tcBorders>
              <w:bottom w:val="single" w:sz="4" w:space="0" w:color="auto"/>
            </w:tcBorders>
            <w:vAlign w:val="center"/>
          </w:tcPr>
          <w:p w:rsidR="00D96F37" w:rsidRDefault="00D96F37" w:rsidP="00DE059E">
            <w:pPr>
              <w:contextualSpacing/>
              <w:jc w:val="center"/>
              <w:rPr>
                <w:rFonts w:ascii="Calibri" w:hAnsi="Calibri"/>
                <w:color w:val="000000"/>
              </w:rPr>
            </w:pPr>
            <w:r>
              <w:rPr>
                <w:rFonts w:ascii="Calibri" w:hAnsi="Calibri"/>
                <w:color w:val="000000"/>
              </w:rPr>
              <w:t>NA</w:t>
            </w:r>
          </w:p>
        </w:tc>
        <w:tc>
          <w:tcPr>
            <w:tcW w:w="770" w:type="dxa"/>
            <w:tcBorders>
              <w:bottom w:val="single" w:sz="4" w:space="0" w:color="auto"/>
            </w:tcBorders>
            <w:vAlign w:val="center"/>
          </w:tcPr>
          <w:p w:rsidR="00D96F37" w:rsidRDefault="00D96F37" w:rsidP="00D96F37">
            <w:pPr>
              <w:jc w:val="center"/>
              <w:rPr>
                <w:rFonts w:ascii="Calibri" w:hAnsi="Calibri"/>
                <w:color w:val="000000"/>
              </w:rPr>
            </w:pPr>
            <w:r>
              <w:rPr>
                <w:rFonts w:ascii="Calibri" w:hAnsi="Calibri"/>
                <w:color w:val="000000"/>
              </w:rPr>
              <w:t>0.62</w:t>
            </w:r>
          </w:p>
        </w:tc>
        <w:tc>
          <w:tcPr>
            <w:tcW w:w="770" w:type="dxa"/>
            <w:tcBorders>
              <w:bottom w:val="single" w:sz="4" w:space="0" w:color="auto"/>
            </w:tcBorders>
            <w:vAlign w:val="center"/>
          </w:tcPr>
          <w:p w:rsidR="00D96F37" w:rsidRDefault="00D96F37" w:rsidP="00DE059E">
            <w:pPr>
              <w:contextualSpacing/>
              <w:jc w:val="center"/>
              <w:rPr>
                <w:rFonts w:ascii="Calibri" w:hAnsi="Calibri"/>
                <w:color w:val="000000"/>
              </w:rPr>
            </w:pPr>
            <w:r>
              <w:rPr>
                <w:rFonts w:ascii="Calibri" w:hAnsi="Calibri"/>
                <w:color w:val="000000"/>
              </w:rPr>
              <w:t>0.61</w:t>
            </w:r>
          </w:p>
        </w:tc>
        <w:tc>
          <w:tcPr>
            <w:tcW w:w="770" w:type="dxa"/>
            <w:tcBorders>
              <w:bottom w:val="single" w:sz="4" w:space="0" w:color="auto"/>
            </w:tcBorders>
            <w:vAlign w:val="center"/>
          </w:tcPr>
          <w:p w:rsidR="00D96F37" w:rsidRDefault="00D96F37" w:rsidP="00DE059E">
            <w:pPr>
              <w:contextualSpacing/>
              <w:jc w:val="center"/>
              <w:rPr>
                <w:rFonts w:ascii="Calibri" w:hAnsi="Calibri"/>
                <w:color w:val="000000"/>
              </w:rPr>
            </w:pPr>
            <w:r>
              <w:rPr>
                <w:rFonts w:ascii="Calibri" w:hAnsi="Calibri"/>
                <w:color w:val="000000"/>
              </w:rPr>
              <w:t>NA</w:t>
            </w:r>
          </w:p>
        </w:tc>
        <w:tc>
          <w:tcPr>
            <w:tcW w:w="771" w:type="dxa"/>
            <w:tcBorders>
              <w:bottom w:val="single" w:sz="4" w:space="0" w:color="auto"/>
            </w:tcBorders>
            <w:vAlign w:val="center"/>
          </w:tcPr>
          <w:p w:rsidR="00D96F37" w:rsidRDefault="00D96F37" w:rsidP="00D96F37">
            <w:pPr>
              <w:jc w:val="center"/>
              <w:rPr>
                <w:rFonts w:ascii="Calibri" w:hAnsi="Calibri"/>
                <w:color w:val="000000"/>
              </w:rPr>
            </w:pPr>
            <w:r>
              <w:rPr>
                <w:rFonts w:ascii="Calibri" w:hAnsi="Calibri"/>
                <w:color w:val="000000"/>
              </w:rPr>
              <w:t>0.16</w:t>
            </w:r>
          </w:p>
        </w:tc>
        <w:tc>
          <w:tcPr>
            <w:tcW w:w="770" w:type="dxa"/>
            <w:tcBorders>
              <w:bottom w:val="single" w:sz="4" w:space="0" w:color="auto"/>
            </w:tcBorders>
            <w:vAlign w:val="center"/>
          </w:tcPr>
          <w:p w:rsidR="00D96F37" w:rsidRDefault="00D96F37" w:rsidP="00DE059E">
            <w:pPr>
              <w:contextualSpacing/>
              <w:jc w:val="center"/>
              <w:rPr>
                <w:rFonts w:ascii="Calibri" w:hAnsi="Calibri"/>
                <w:color w:val="000000"/>
              </w:rPr>
            </w:pPr>
            <w:r>
              <w:rPr>
                <w:rFonts w:ascii="Calibri" w:hAnsi="Calibri"/>
                <w:color w:val="000000"/>
              </w:rPr>
              <w:t>0.50%</w:t>
            </w:r>
          </w:p>
        </w:tc>
        <w:tc>
          <w:tcPr>
            <w:tcW w:w="770" w:type="dxa"/>
            <w:tcBorders>
              <w:bottom w:val="single" w:sz="4" w:space="0" w:color="auto"/>
            </w:tcBorders>
            <w:vAlign w:val="center"/>
          </w:tcPr>
          <w:p w:rsidR="00D96F37" w:rsidRDefault="00D96F37" w:rsidP="00DE059E">
            <w:pPr>
              <w:contextualSpacing/>
              <w:jc w:val="center"/>
              <w:rPr>
                <w:rFonts w:ascii="Calibri" w:hAnsi="Calibri"/>
                <w:color w:val="000000"/>
              </w:rPr>
            </w:pPr>
            <w:r>
              <w:rPr>
                <w:rFonts w:ascii="Calibri" w:hAnsi="Calibri"/>
                <w:color w:val="000000"/>
              </w:rPr>
              <w:t>NA</w:t>
            </w:r>
          </w:p>
        </w:tc>
        <w:tc>
          <w:tcPr>
            <w:tcW w:w="771" w:type="dxa"/>
            <w:tcBorders>
              <w:bottom w:val="single" w:sz="4" w:space="0" w:color="auto"/>
            </w:tcBorders>
            <w:vAlign w:val="center"/>
          </w:tcPr>
          <w:p w:rsidR="00D96F37" w:rsidRDefault="00D96F37" w:rsidP="00D96F37">
            <w:pPr>
              <w:jc w:val="center"/>
              <w:rPr>
                <w:rFonts w:ascii="Calibri" w:hAnsi="Calibri"/>
                <w:color w:val="000000"/>
              </w:rPr>
            </w:pPr>
            <w:r>
              <w:rPr>
                <w:rFonts w:ascii="Calibri" w:hAnsi="Calibri"/>
                <w:color w:val="000000"/>
              </w:rPr>
              <w:t>5.22%</w:t>
            </w:r>
          </w:p>
        </w:tc>
      </w:tr>
    </w:tbl>
    <w:p w:rsidR="00DE059E" w:rsidRPr="009A75A7" w:rsidRDefault="00DE059E" w:rsidP="00DE059E">
      <w:pPr>
        <w:spacing w:line="360" w:lineRule="auto"/>
        <w:contextualSpacing/>
        <w:divId w:val="648167203"/>
        <w:rPr>
          <w:rFonts w:ascii="Arial" w:hAnsi="Arial" w:cs="Arial"/>
        </w:rPr>
      </w:pPr>
    </w:p>
    <w:p w:rsidR="00DE059E" w:rsidRPr="00DE03D6" w:rsidRDefault="00DE03D6" w:rsidP="00DE059E">
      <w:pPr>
        <w:pStyle w:val="NormalWeb"/>
        <w:ind w:left="480" w:hanging="480"/>
        <w:contextualSpacing/>
        <w:divId w:val="648167203"/>
        <w:rPr>
          <w:rFonts w:ascii="Arial" w:hAnsi="Arial" w:cs="Arial"/>
          <w:b/>
        </w:rPr>
      </w:pPr>
      <w:r>
        <w:rPr>
          <w:rFonts w:ascii="Arial" w:hAnsi="Arial" w:cs="Arial"/>
          <w:b/>
        </w:rPr>
        <w:t>Supplementary materials</w:t>
      </w:r>
    </w:p>
    <w:p w:rsidR="00DE03D6" w:rsidRDefault="00DE03D6" w:rsidP="00DE059E">
      <w:pPr>
        <w:pStyle w:val="NormalWeb"/>
        <w:ind w:left="480" w:hanging="480"/>
        <w:contextualSpacing/>
        <w:divId w:val="648167203"/>
        <w:rPr>
          <w:rFonts w:ascii="Arial" w:hAnsi="Arial" w:cs="Arial"/>
        </w:rPr>
      </w:pPr>
    </w:p>
    <w:p w:rsidR="00DE03D6" w:rsidRDefault="00DE03D6" w:rsidP="00DE03D6">
      <w:pPr>
        <w:spacing w:line="360" w:lineRule="auto"/>
        <w:ind w:firstLine="720"/>
        <w:contextualSpacing/>
        <w:divId w:val="648167203"/>
        <w:rPr>
          <w:rFonts w:ascii="Arial" w:eastAsiaTheme="minorEastAsia" w:hAnsi="Arial" w:cs="Arial"/>
        </w:rPr>
      </w:pPr>
      <w:r>
        <w:rPr>
          <w:rFonts w:ascii="Arial" w:eastAsiaTheme="minorEastAsia" w:hAnsi="Arial" w:cs="Arial"/>
        </w:rPr>
        <w:t xml:space="preserve">Tree size metrics used were (i) DBH (cm): diameter at height of 1.3m of tree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(ii) BA (m</w:t>
      </w:r>
      <w:r>
        <w:rPr>
          <w:rFonts w:ascii="Arial" w:eastAsiaTheme="minorEastAsia" w:hAnsi="Arial" w:cs="Arial"/>
          <w:vertAlign w:val="superscript"/>
        </w:rPr>
        <w:t>2</w:t>
      </w:r>
      <w:r>
        <w:rPr>
          <w:rFonts w:ascii="Arial" w:eastAsiaTheme="minorEastAsia" w:hAnsi="Arial" w:cs="Arial"/>
        </w:rPr>
        <w:t xml:space="preserve">): basal area of tree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(iii) DBH (cm) and DBH</w:t>
      </w:r>
      <w:r>
        <w:rPr>
          <w:rFonts w:ascii="Arial" w:eastAsiaTheme="minorEastAsia" w:hAnsi="Arial" w:cs="Arial"/>
          <w:vertAlign w:val="superscript"/>
        </w:rPr>
        <w:t>2</w:t>
      </w:r>
      <w:r>
        <w:rPr>
          <w:rFonts w:ascii="Arial" w:eastAsiaTheme="minorEastAsia" w:hAnsi="Arial" w:cs="Arial"/>
        </w:rPr>
        <w:t xml:space="preserve"> (m</w:t>
      </w:r>
      <w:r>
        <w:rPr>
          <w:rFonts w:ascii="Arial" w:eastAsiaTheme="minorEastAsia" w:hAnsi="Arial" w:cs="Arial"/>
          <w:vertAlign w:val="superscript"/>
        </w:rPr>
        <w:t>2</w:t>
      </w:r>
      <w:r>
        <w:rPr>
          <w:rFonts w:ascii="Arial" w:eastAsiaTheme="minorEastAsia" w:hAnsi="Arial" w:cs="Arial"/>
        </w:rPr>
        <w:t xml:space="preserve">) – used to indicate possible u-shaped mortality curve </w:t>
      </w:r>
      <w:r>
        <w:rPr>
          <w:rFonts w:ascii="Arial" w:eastAsiaTheme="minorEastAsia" w:hAnsi="Arial" w:cs="Arial"/>
        </w:rPr>
        <w:fldChar w:fldCharType="begin" w:fldLock="1"/>
      </w:r>
      <w:r>
        <w:rPr>
          <w:rFonts w:ascii="Arial" w:eastAsiaTheme="minorEastAsia"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Pr>
          <w:rFonts w:ascii="Arial" w:eastAsiaTheme="minorEastAsia" w:hAnsi="Arial" w:cs="Arial"/>
        </w:rPr>
        <w:fldChar w:fldCharType="separate"/>
      </w:r>
      <w:r w:rsidRPr="00707775">
        <w:rPr>
          <w:rFonts w:ascii="Arial" w:eastAsiaTheme="minorEastAsia" w:hAnsi="Arial" w:cs="Arial"/>
          <w:noProof/>
        </w:rPr>
        <w:t xml:space="preserve">(Holzwarth </w:t>
      </w:r>
      <w:r w:rsidRPr="00707775">
        <w:rPr>
          <w:rFonts w:ascii="Arial" w:eastAsiaTheme="minorEastAsia" w:hAnsi="Arial" w:cs="Arial"/>
          <w:i/>
          <w:noProof/>
        </w:rPr>
        <w:t>et al.</w:t>
      </w:r>
      <w:r w:rsidRPr="00707775">
        <w:rPr>
          <w:rFonts w:ascii="Arial" w:eastAsiaTheme="minorEastAsia" w:hAnsi="Arial" w:cs="Arial"/>
          <w:noProof/>
        </w:rPr>
        <w:t xml:space="preserve"> 2013)</w:t>
      </w:r>
      <w:r>
        <w:rPr>
          <w:rFonts w:ascii="Arial" w:eastAsiaTheme="minorEastAsia" w:hAnsi="Arial" w:cs="Arial"/>
        </w:rPr>
        <w:fldChar w:fldCharType="end"/>
      </w:r>
      <w:r>
        <w:rPr>
          <w:rFonts w:ascii="Arial" w:eastAsiaTheme="minorEastAsia" w:hAnsi="Arial" w:cs="Arial"/>
        </w:rPr>
        <w:t xml:space="preserve"> and; (iv) The relative size of tree </w:t>
      </w:r>
      <m:oMath>
        <m:r>
          <w:rPr>
            <w:rFonts w:ascii="Cambria Math" w:eastAsiaTheme="minorEastAsia" w:hAnsi="Cambria Math" w:cs="Arial"/>
          </w:rPr>
          <m:t>i</m:t>
        </m:r>
      </m:oMath>
      <w:r>
        <w:rPr>
          <w:rFonts w:ascii="Arial" w:eastAsiaTheme="minorEastAsia" w:hAnsi="Arial" w:cs="Arial"/>
        </w:rPr>
        <w:t xml:space="preserv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xml:space="preserve"> given with the equation:</w:t>
      </w:r>
    </w:p>
    <w:p w:rsidR="00DE03D6" w:rsidRDefault="00DE03D6" w:rsidP="00DE03D6">
      <w:pPr>
        <w:spacing w:line="360" w:lineRule="auto"/>
        <w:ind w:firstLine="720"/>
        <w:contextualSpacing/>
        <w:divId w:val="648167203"/>
        <w:rPr>
          <w:rFonts w:ascii="Arial" w:eastAsiaTheme="minorEastAsia" w:hAnsi="Arial" w:cs="Arial"/>
        </w:rPr>
      </w:pPr>
    </w:p>
    <w:p w:rsidR="00DE03D6" w:rsidRPr="008C0FB7"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m:t>RS=</m:t>
          </m:r>
          <m:f>
            <m:fPr>
              <m:ctrlPr>
                <w:rPr>
                  <w:rFonts w:ascii="Cambria Math" w:eastAsiaTheme="minorEastAsia" w:hAnsi="Cambria Math" w:cs="Arial"/>
                  <w:i/>
                </w:rPr>
              </m:ctrlPr>
            </m:fPr>
            <m:num>
              <m:nary>
                <m:naryPr>
                  <m:chr m:val="∑"/>
                  <m:limLoc m:val="undOvr"/>
                  <m:subHide m:val="1"/>
                  <m:supHide m:val="1"/>
                  <m:ctrlPr>
                    <w:rPr>
                      <w:rFonts w:ascii="Cambria Math" w:eastAsiaTheme="minorEastAsia" w:hAnsi="Cambria Math" w:cs="Arial"/>
                      <w:i/>
                    </w:rPr>
                  </m:ctrlPr>
                </m:naryPr>
                <m:sub/>
                <m:sup/>
                <m:e>
                  <m:r>
                    <w:rPr>
                      <w:rFonts w:ascii="Cambria Math" w:eastAsiaTheme="minorEastAsia" w:hAnsi="Cambria Math" w:cs="Arial"/>
                    </w:rPr>
                    <m:t>BA</m:t>
                  </m:r>
                </m:e>
              </m:nary>
              <m:r>
                <w:rPr>
                  <w:rFonts w:ascii="Cambria Math" w:eastAsiaTheme="minorEastAsia" w:hAnsi="Cambria Math" w:cs="Arial"/>
                </w:rPr>
                <m:t xml:space="preserve"> of trees smaller than target tree i at </m:t>
              </m:r>
              <m:r>
                <m:rPr>
                  <m:sty m:val="p"/>
                </m:rPr>
                <w:rPr>
                  <w:rFonts w:ascii="Cambria Math" w:eastAsiaTheme="minorEastAsia" w:hAnsi="Cambria Math" w:cs="Arial"/>
                </w:rPr>
                <m:t xml:space="preserve">time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num>
            <m:den>
              <m:nary>
                <m:naryPr>
                  <m:chr m:val="∑"/>
                  <m:limLoc m:val="undOvr"/>
                  <m:subHide m:val="1"/>
                  <m:supHide m:val="1"/>
                  <m:ctrlPr>
                    <w:rPr>
                      <w:rFonts w:ascii="Cambria Math" w:eastAsiaTheme="minorEastAsia" w:hAnsi="Cambria Math" w:cs="Arial"/>
                      <w:i/>
                    </w:rPr>
                  </m:ctrlPr>
                </m:naryPr>
                <m:sub/>
                <m:sup/>
                <m:e>
                  <m:r>
                    <w:rPr>
                      <w:rFonts w:ascii="Cambria Math" w:eastAsiaTheme="minorEastAsia" w:hAnsi="Cambria Math" w:cs="Arial"/>
                    </w:rPr>
                    <m:t>BA</m:t>
                  </m:r>
                </m:e>
              </m:nary>
              <m:r>
                <w:rPr>
                  <w:rFonts w:ascii="Cambria Math" w:eastAsiaTheme="minorEastAsia" w:hAnsi="Cambria Math" w:cs="Arial"/>
                </w:rPr>
                <m:t xml:space="preserve"> of all trees at time</m:t>
              </m:r>
              <m:r>
                <m:rPr>
                  <m:sty m:val="p"/>
                </m:rPr>
                <w:rPr>
                  <w:rFonts w:ascii="Cambria Math" w:eastAsiaTheme="minorEastAsia" w:hAnsi="Cambria Math" w:cs="Arial"/>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den>
          </m:f>
        </m:oMath>
      </m:oMathPara>
    </w:p>
    <w:p w:rsidR="00DE03D6" w:rsidRPr="00012079"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contextualSpacing/>
        <w:divId w:val="648167203"/>
        <w:rPr>
          <w:rFonts w:ascii="Arial" w:eastAsiaTheme="minorEastAsia" w:hAnsi="Arial" w:cs="Arial"/>
        </w:rPr>
      </w:pPr>
      <w:r>
        <w:rPr>
          <w:rFonts w:ascii="Arial" w:eastAsiaTheme="minorEastAsia" w:hAnsi="Arial" w:cs="Arial"/>
        </w:rPr>
        <w:t xml:space="preserve">For the biggest tree in the transect </w:t>
      </w:r>
      <m:oMath>
        <m:r>
          <w:rPr>
            <w:rFonts w:ascii="Cambria Math" w:eastAsiaTheme="minorEastAsia" w:hAnsi="Cambria Math" w:cs="Arial"/>
          </w:rPr>
          <m:t>RS</m:t>
        </m:r>
      </m:oMath>
      <w:r>
        <w:rPr>
          <w:rFonts w:ascii="Arial" w:eastAsiaTheme="minorEastAsia" w:hAnsi="Arial" w:cs="Arial"/>
        </w:rPr>
        <w:t xml:space="preserve"> is close to 1 for the smallest it is close to 0 </w:t>
      </w:r>
      <w:r>
        <w:rPr>
          <w:rFonts w:ascii="Arial" w:eastAsiaTheme="minorEastAsia" w:hAnsi="Arial" w:cs="Arial"/>
        </w:rPr>
        <w:fldChar w:fldCharType="begin" w:fldLock="1"/>
      </w:r>
      <w:r>
        <w:rPr>
          <w:rFonts w:ascii="Arial" w:eastAsiaTheme="minorEastAsia" w:hAnsi="Arial" w:cs="Arial"/>
        </w:rPr>
        <w:instrText>ADDIN CSL_CITATION { "citationItems" : [ { "id" : "ITEM-1", "itemData" : { "DOI" : "10.1016/S0378-1127(98)00419-8", "ISBN" : "0378-1127", "ISSN" : "03781127", "PMID" : "4922", "abstract" : "Individual tree mortality models were developed for the six major forest species of Austria: Norway spruce (Picea abies), white fir (Abies alba), European larch (Larix decidua), Scots pine (Pinus sylvestris), European beech (Fagus silvatica), and oak (Quercus spp.); a joint model for the remaining broadleaf species was also developed. Data came from 5-year remeasurements of the permanent plot network of the Austrian National Forest Inventory. Parameters of the logistic equation were estimated using maximum likelihood methods. For all species, we found the hyperbolic transformation of diameter (D-1) to be highly significant in predicting the high mortality rates for small diameter trees and decreasing mortality rates for larger diameters. For spruce, a quadratic transformation in D was needed to accurately model the increase in mortality observed for large, low-vigor trees with diameter &gt;70 cm, which resulted in a U-shaped distribution. Crown ratio was also consistently significant, except for oak. We likewise found basal-area-in-larger-trees (BAL) to be a highly significant predictor of mortality rate for all species except fir and oak. Predicted mortality rate increases as the basal area in larger trees increases and as crown ratio decreases. The resulting logistic mortality model had the same general form for all species, with the signs of all parameters conforming to expectations, in general, chi-square statistics indicate that the most important variable is D-1, the second most important is crown ratio, and the third most important predictor is BAL. The relative importance of crown ratio appears to be greater for shade tolerant species (fir, beech, spruce) than for shade intolerant species (latch, Scots pine, oak). Examination of graphs of observed vs. predicted mortality rates reveals that the species-specific mortality models are all well behaved, and match the observed mortality rates quite well. The D-1 transformation is flexible, as can be seen by comparing the rather different mortality rates of larch and Scots pine. Predicted and observed mortality rates with respect to crown ratio are quite close to the observed mortality rates for all but the smallest crown ratios (CR&lt;20%), a class with very few observations. Finally, the logistic mortality models passed a validation test on independent data not used in parameter estimation. The key ingredient for obtaining a good mortality model is a data set that is both large and representative of the po\u2026", "author" : [ { "dropping-particle" : "", "family" : "Monserud", "given" : "Robert a.", "non-dropping-particle" : "", "parse-names" : false, "suffix" : "" }, { "dropping-particle" : "", "family" : "Sterba", "given" : "Hubert", "non-dropping-particle" : "", "parse-names" : false, "suffix" : "" } ], "container-title" : "Forest Ecology and Management", "id" : "ITEM-1", "issued" : { "date-parts" : [ [ "1999" ] ] }, "page" : "109-123", "title" : "Modeling individual tree mortality for Austrian forest species", "type" : "article-journal", "volume" : "113" }, "uris" : [ "http://www.mendeley.com/documents/?uuid=aaa6d655-eb1a-4078-a06c-78736ce4b1b2" ] } ], "mendeley" : { "formattedCitation" : "(Monserud &amp; Sterba 1999)", "plainTextFormattedCitation" : "(Monserud &amp; Sterba 1999)", "previouslyFormattedCitation" : "(Monserud &amp; Sterba 1999)" }, "properties" : { "noteIndex" : 0 }, "schema" : "https://github.com/citation-style-language/schema/raw/master/csl-citation.json" }</w:instrText>
      </w:r>
      <w:r>
        <w:rPr>
          <w:rFonts w:ascii="Arial" w:eastAsiaTheme="minorEastAsia" w:hAnsi="Arial" w:cs="Arial"/>
        </w:rPr>
        <w:fldChar w:fldCharType="separate"/>
      </w:r>
      <w:r w:rsidRPr="00560D45">
        <w:rPr>
          <w:rFonts w:ascii="Arial" w:eastAsiaTheme="minorEastAsia" w:hAnsi="Arial" w:cs="Arial"/>
          <w:noProof/>
        </w:rPr>
        <w:t>(Monserud &amp; Sterba 1999)</w:t>
      </w:r>
      <w:r>
        <w:rPr>
          <w:rFonts w:ascii="Arial" w:eastAsiaTheme="minorEastAsia" w:hAnsi="Arial" w:cs="Arial"/>
        </w:rPr>
        <w:fldChar w:fldCharType="end"/>
      </w:r>
      <w:r>
        <w:rPr>
          <w:rFonts w:ascii="Arial" w:eastAsiaTheme="minorEastAsia" w:hAnsi="Arial" w:cs="Arial"/>
        </w:rPr>
        <w:t xml:space="preserve">. </w:t>
      </w:r>
    </w:p>
    <w:p w:rsidR="00DE03D6" w:rsidRDefault="00DE03D6" w:rsidP="00DE03D6">
      <w:pPr>
        <w:spacing w:line="360" w:lineRule="auto"/>
        <w:contextualSpacing/>
        <w:divId w:val="648167203"/>
        <w:rPr>
          <w:rFonts w:ascii="Arial" w:eastAsiaTheme="minorEastAsia" w:hAnsi="Arial" w:cs="Arial"/>
        </w:rPr>
      </w:pPr>
      <w:r>
        <w:rPr>
          <w:rFonts w:ascii="Arial" w:eastAsiaTheme="minorEastAsia" w:hAnsi="Arial" w:cs="Arial"/>
        </w:rPr>
        <w:t>Tree growth rate metrics used were: (i) Annual diameter growth rate (mm year</w:t>
      </w:r>
      <w:r>
        <w:rPr>
          <w:rFonts w:ascii="Arial" w:eastAsiaTheme="minorEastAsia" w:hAnsi="Arial" w:cs="Arial"/>
          <w:vertAlign w:val="superscript"/>
        </w:rPr>
        <w:t>-1</w:t>
      </w:r>
      <w:r>
        <w:rPr>
          <w:rFonts w:ascii="Arial" w:eastAsiaTheme="minorEastAsia" w:hAnsi="Arial" w:cs="Arial"/>
        </w:rPr>
        <w:t>) calculated as:</w:t>
      </w:r>
    </w:p>
    <w:p w:rsidR="00DE03D6" w:rsidRPr="008C0FB7"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m:t>GR=</m:t>
          </m:r>
          <m:f>
            <m:fPr>
              <m:ctrlPr>
                <w:rPr>
                  <w:rFonts w:ascii="Cambria Math" w:eastAsiaTheme="minorEastAsia" w:hAnsi="Cambria Math" w:cs="Arial"/>
                  <w:i/>
                </w:rPr>
              </m:ctrlPr>
            </m:fPr>
            <m:num>
              <m:d>
                <m:dPr>
                  <m:ctrlPr>
                    <w:rPr>
                      <w:rFonts w:ascii="Cambria Math" w:eastAsiaTheme="minorEastAsia" w:hAnsi="Cambria Math" w:cs="Arial"/>
                      <w:i/>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e>
                  </m:d>
                  <m:r>
                    <w:rPr>
                      <w:rFonts w:ascii="Cambria Math" w:eastAsiaTheme="minorEastAsia" w:hAnsi="Cambria Math" w:cs="Arial"/>
                    </w:rPr>
                    <m:t>×10</m:t>
                  </m:r>
                </m:e>
              </m:d>
            </m:num>
            <m:den>
              <m:r>
                <w:rPr>
                  <w:rFonts w:ascii="Cambria Math" w:eastAsiaTheme="minorEastAsia" w:hAnsi="Cambria Math" w:cs="Arial"/>
                </w:rPr>
                <m:t>t1-t0</m:t>
              </m:r>
            </m:den>
          </m:f>
        </m:oMath>
      </m:oMathPara>
    </w:p>
    <w:p w:rsidR="00DE03D6" w:rsidRPr="00012079"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contextualSpacing/>
        <w:divId w:val="648167203"/>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t1</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oMath>
      <w:r>
        <w:rPr>
          <w:rFonts w:ascii="Arial" w:eastAsiaTheme="minorEastAsia" w:hAnsi="Arial" w:cs="Arial"/>
        </w:rPr>
        <w:t xml:space="preserve"> are the </w:t>
      </w:r>
      <w:r>
        <w:rPr>
          <w:rFonts w:ascii="Arial" w:eastAsiaTheme="minorEastAsia" w:hAnsi="Arial" w:cs="Arial"/>
          <w:i/>
        </w:rPr>
        <w:t xml:space="preserve">DBH </w:t>
      </w:r>
      <w:r>
        <w:rPr>
          <w:rFonts w:ascii="Arial" w:eastAsiaTheme="minorEastAsia" w:hAnsi="Arial" w:cs="Arial"/>
        </w:rPr>
        <w:t>values for a tree at time</w:t>
      </w:r>
      <m:oMath>
        <m:r>
          <w:rPr>
            <w:rFonts w:ascii="Cambria Math" w:eastAsiaTheme="minorEastAsia" w:hAnsi="Cambria Math" w:cs="Arial"/>
          </w:rPr>
          <m:t xml:space="preserve"> t1</m:t>
        </m:r>
      </m:oMath>
      <w:r>
        <w:rPr>
          <w:rFonts w:ascii="Arial" w:eastAsiaTheme="minorEastAsia" w:hAnsi="Arial" w:cs="Arial"/>
        </w:rPr>
        <w:t xml:space="preserve"> and </w:t>
      </w:r>
      <m:oMath>
        <m:r>
          <w:rPr>
            <w:rFonts w:ascii="Cambria Math" w:eastAsiaTheme="minorEastAsia" w:hAnsi="Cambria Math" w:cs="Arial"/>
          </w:rPr>
          <m:t>t0</m:t>
        </m:r>
      </m:oMath>
      <w:r>
        <w:rPr>
          <w:rFonts w:ascii="Arial" w:eastAsiaTheme="minorEastAsia" w:hAnsi="Arial" w:cs="Arial"/>
        </w:rPr>
        <w:t xml:space="preserve"> respectively; (ii) Basal area growth rate (cm</w:t>
      </w:r>
      <w:r>
        <w:rPr>
          <w:rFonts w:ascii="Arial" w:eastAsiaTheme="minorEastAsia" w:hAnsi="Arial" w:cs="Arial"/>
          <w:vertAlign w:val="superscript"/>
        </w:rPr>
        <w:t xml:space="preserve">2 </w:t>
      </w:r>
      <w:r>
        <w:rPr>
          <w:rFonts w:ascii="Arial" w:eastAsiaTheme="minorEastAsia" w:hAnsi="Arial" w:cs="Arial"/>
        </w:rPr>
        <w:t>year</w:t>
      </w:r>
      <w:r>
        <w:rPr>
          <w:rFonts w:ascii="Arial" w:eastAsiaTheme="minorEastAsia" w:hAnsi="Arial" w:cs="Arial"/>
          <w:vertAlign w:val="superscript"/>
        </w:rPr>
        <w:t>-1</w:t>
      </w:r>
      <w:r>
        <w:rPr>
          <w:rFonts w:ascii="Arial" w:eastAsiaTheme="minorEastAsia" w:hAnsi="Arial" w:cs="Arial"/>
        </w:rPr>
        <w:t>) calculated as:</w:t>
      </w:r>
    </w:p>
    <w:p w:rsidR="00DE03D6" w:rsidRDefault="00DE03D6" w:rsidP="00DE03D6">
      <w:pPr>
        <w:spacing w:line="360" w:lineRule="auto"/>
        <w:contextualSpacing/>
        <w:divId w:val="648167203"/>
        <w:rPr>
          <w:rFonts w:ascii="Arial" w:eastAsiaTheme="minorEastAsia" w:hAnsi="Arial" w:cs="Arial"/>
        </w:rPr>
      </w:pPr>
    </w:p>
    <w:p w:rsidR="00DE03D6" w:rsidRPr="008C0FB7"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m:t>BAGR=</m:t>
          </m:r>
          <m:f>
            <m:fPr>
              <m:ctrlPr>
                <w:rPr>
                  <w:rFonts w:ascii="Cambria Math" w:eastAsiaTheme="minorEastAsia" w:hAnsi="Cambria Math" w:cs="Arial"/>
                  <w:i/>
                </w:rPr>
              </m:ctrlPr>
            </m:fPr>
            <m:num>
              <m:d>
                <m:dPr>
                  <m:ctrlPr>
                    <w:rPr>
                      <w:rFonts w:ascii="Cambria Math" w:eastAsiaTheme="minorEastAsia" w:hAnsi="Cambria Math" w:cs="Arial"/>
                      <w:i/>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e>
                  </m:d>
                  <m:r>
                    <w:rPr>
                      <w:rFonts w:ascii="Cambria Math" w:eastAsiaTheme="minorEastAsia" w:hAnsi="Cambria Math" w:cs="Arial"/>
                    </w:rPr>
                    <m:t>×10 000</m:t>
                  </m:r>
                </m:e>
              </m:d>
            </m:num>
            <m:den>
              <m:r>
                <w:rPr>
                  <w:rFonts w:ascii="Cambria Math" w:eastAsiaTheme="minorEastAsia" w:hAnsi="Cambria Math" w:cs="Arial"/>
                </w:rPr>
                <m:t>t1-t</m:t>
              </m:r>
              <m:r>
                <m:rPr>
                  <m:sty m:val="p"/>
                </m:rPr>
                <w:rPr>
                  <w:rFonts w:ascii="Cambria Math" w:eastAsiaTheme="minorEastAsia" w:hAnsi="Cambria Math" w:cs="Arial"/>
                </w:rPr>
                <m:t>0</m:t>
              </m:r>
            </m:den>
          </m:f>
        </m:oMath>
      </m:oMathPara>
    </w:p>
    <w:p w:rsidR="00DE03D6" w:rsidRPr="00012079"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contextualSpacing/>
        <w:divId w:val="648167203"/>
        <w:rPr>
          <w:rFonts w:ascii="Arial" w:eastAsiaTheme="minorEastAsia" w:hAnsi="Arial" w:cs="Arial"/>
        </w:rPr>
      </w:pPr>
      <w:proofErr w:type="gramStart"/>
      <w:r>
        <w:rPr>
          <w:rFonts w:ascii="Arial" w:eastAsiaTheme="minorEastAsia" w:hAnsi="Arial" w:cs="Arial"/>
        </w:rPr>
        <w:lastRenderedPageBreak/>
        <w:t>where</w:t>
      </w:r>
      <w:proofErr w:type="gramEnd"/>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t1</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oMath>
      <w:r>
        <w:rPr>
          <w:rFonts w:ascii="Arial" w:eastAsiaTheme="minorEastAsia" w:hAnsi="Arial" w:cs="Arial"/>
        </w:rPr>
        <w:t xml:space="preserve"> are the </w:t>
      </w:r>
      <w:r>
        <w:rPr>
          <w:rFonts w:ascii="Arial" w:eastAsiaTheme="minorEastAsia" w:hAnsi="Arial" w:cs="Arial"/>
          <w:i/>
        </w:rPr>
        <w:t xml:space="preserve">DBH </w:t>
      </w:r>
      <w:r>
        <w:rPr>
          <w:rFonts w:ascii="Arial" w:eastAsiaTheme="minorEastAsia" w:hAnsi="Arial" w:cs="Arial"/>
        </w:rPr>
        <w:t>values for a tree at time</w:t>
      </w:r>
      <m:oMath>
        <m:r>
          <w:rPr>
            <w:rFonts w:ascii="Cambria Math" w:eastAsiaTheme="minorEastAsia" w:hAnsi="Cambria Math" w:cs="Arial"/>
          </w:rPr>
          <m:t xml:space="preserve"> t1</m:t>
        </m:r>
      </m:oMath>
      <w:r>
        <w:rPr>
          <w:rFonts w:ascii="Arial" w:eastAsiaTheme="minorEastAsia" w:hAnsi="Arial" w:cs="Arial"/>
        </w:rPr>
        <w:t xml:space="preserve"> and </w:t>
      </w:r>
      <m:oMath>
        <m:r>
          <w:rPr>
            <w:rFonts w:ascii="Cambria Math" w:eastAsiaTheme="minorEastAsia" w:hAnsi="Cambria Math" w:cs="Arial"/>
          </w:rPr>
          <m:t>t0</m:t>
        </m:r>
      </m:oMath>
      <w:r>
        <w:rPr>
          <w:rFonts w:ascii="Arial" w:eastAsiaTheme="minorEastAsia" w:hAnsi="Arial" w:cs="Arial"/>
        </w:rPr>
        <w:t xml:space="preserve"> respectively; (iii) relative DBH growth rate (% DBH increase year</w:t>
      </w:r>
      <w:r>
        <w:rPr>
          <w:rFonts w:ascii="Arial" w:eastAsiaTheme="minorEastAsia" w:hAnsi="Arial" w:cs="Arial"/>
          <w:vertAlign w:val="superscript"/>
        </w:rPr>
        <w:t>-1</w:t>
      </w:r>
      <w:r>
        <w:rPr>
          <w:rFonts w:ascii="Arial" w:eastAsiaTheme="minorEastAsia" w:hAnsi="Arial" w:cs="Arial"/>
        </w:rPr>
        <w:t>) calculated as:</w:t>
      </w:r>
    </w:p>
    <w:p w:rsidR="00DE03D6" w:rsidRDefault="00DE03D6" w:rsidP="00DE03D6">
      <w:pPr>
        <w:spacing w:line="360" w:lineRule="auto"/>
        <w:contextualSpacing/>
        <w:divId w:val="648167203"/>
        <w:rPr>
          <w:rFonts w:ascii="Arial" w:eastAsiaTheme="minorEastAsia" w:hAnsi="Arial" w:cs="Arial"/>
        </w:rPr>
      </w:pPr>
    </w:p>
    <w:p w:rsidR="00DE03D6" w:rsidRPr="008C0FB7"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m:t>relGR=</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GR</m:t>
                      </m:r>
                    </m:num>
                    <m:den>
                      <m:r>
                        <w:rPr>
                          <w:rFonts w:ascii="Cambria Math" w:eastAsiaTheme="minorEastAsia" w:hAnsi="Cambria Math" w:cs="Arial"/>
                        </w:rPr>
                        <m:t>10</m:t>
                      </m:r>
                    </m:den>
                  </m:f>
                </m:e>
              </m:d>
            </m:num>
            <m:den>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den>
          </m:f>
        </m:oMath>
      </m:oMathPara>
    </w:p>
    <w:p w:rsidR="00DE03D6" w:rsidRPr="00012079"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contextualSpacing/>
        <w:divId w:val="648167203"/>
        <w:rPr>
          <w:rFonts w:ascii="Arial" w:eastAsiaTheme="minorEastAsia" w:hAnsi="Arial" w:cs="Arial"/>
        </w:rPr>
      </w:pPr>
      <w:proofErr w:type="gramStart"/>
      <w:r>
        <w:rPr>
          <w:rFonts w:ascii="Arial" w:eastAsiaTheme="minorEastAsia" w:hAnsi="Arial" w:cs="Arial"/>
        </w:rPr>
        <w:t>and</w:t>
      </w:r>
      <w:proofErr w:type="gramEnd"/>
      <w:r>
        <w:rPr>
          <w:rFonts w:ascii="Arial" w:eastAsiaTheme="minorEastAsia" w:hAnsi="Arial" w:cs="Arial"/>
        </w:rPr>
        <w:t>; (iv) relative BA growth rate (% BA increase year</w:t>
      </w:r>
      <w:r>
        <w:rPr>
          <w:rFonts w:ascii="Arial" w:eastAsiaTheme="minorEastAsia" w:hAnsi="Arial" w:cs="Arial"/>
          <w:vertAlign w:val="superscript"/>
        </w:rPr>
        <w:t>-1</w:t>
      </w:r>
      <w:r>
        <w:rPr>
          <w:rFonts w:ascii="Arial" w:eastAsiaTheme="minorEastAsia" w:hAnsi="Arial" w:cs="Arial"/>
        </w:rPr>
        <w:t>) calculated as:</w:t>
      </w:r>
    </w:p>
    <w:p w:rsidR="00DE03D6" w:rsidRDefault="00DE03D6" w:rsidP="00DE03D6">
      <w:pPr>
        <w:spacing w:line="360" w:lineRule="auto"/>
        <w:contextualSpacing/>
        <w:divId w:val="648167203"/>
        <w:rPr>
          <w:rFonts w:ascii="Arial" w:eastAsiaTheme="minorEastAsia" w:hAnsi="Arial" w:cs="Arial"/>
        </w:rPr>
      </w:pPr>
    </w:p>
    <w:p w:rsidR="00DE03D6" w:rsidRPr="00012079"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m:t>relBAGR=</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BAGR</m:t>
                      </m:r>
                    </m:num>
                    <m:den>
                      <m:r>
                        <w:rPr>
                          <w:rFonts w:ascii="Cambria Math" w:eastAsiaTheme="minorEastAsia" w:hAnsi="Cambria Math" w:cs="Arial"/>
                        </w:rPr>
                        <m:t>10</m:t>
                      </m:r>
                    </m:den>
                  </m:f>
                </m:e>
              </m:d>
            </m:num>
            <m:den>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den>
          </m:f>
        </m:oMath>
      </m:oMathPara>
    </w:p>
    <w:p w:rsidR="00DE03D6"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ind w:firstLine="360"/>
        <w:contextualSpacing/>
        <w:divId w:val="648167203"/>
        <w:rPr>
          <w:rFonts w:ascii="Arial" w:eastAsiaTheme="minorEastAsia" w:hAnsi="Arial" w:cs="Arial"/>
        </w:rPr>
      </w:pPr>
      <w:r>
        <w:rPr>
          <w:rFonts w:ascii="Arial" w:eastAsiaTheme="minorEastAsia" w:hAnsi="Arial" w:cs="Arial"/>
        </w:rPr>
        <w:t xml:space="preserve">Metrics of proximity to dead trees were: (i) </w:t>
      </w:r>
      <w:proofErr w:type="spellStart"/>
      <w:r w:rsidRPr="00012079">
        <w:rPr>
          <w:rFonts w:ascii="Arial" w:eastAsiaTheme="minorEastAsia" w:hAnsi="Arial" w:cs="Arial"/>
          <w:i/>
        </w:rPr>
        <w:t>deadSD</w:t>
      </w:r>
      <w:proofErr w:type="spellEnd"/>
      <w:r>
        <w:rPr>
          <w:rFonts w:ascii="Arial" w:eastAsiaTheme="minorEastAsia" w:hAnsi="Arial" w:cs="Arial"/>
        </w:rPr>
        <w:t xml:space="preserve">=stem density of dead trees at time </w:t>
      </w:r>
      <m:oMath>
        <m:r>
          <w:rPr>
            <w:rFonts w:ascii="Cambria Math" w:eastAsiaTheme="minorEastAsia" w:hAnsi="Cambria Math" w:cs="Arial"/>
          </w:rPr>
          <m:t>t1</m:t>
        </m:r>
      </m:oMath>
      <w:r>
        <w:rPr>
          <w:rFonts w:ascii="Arial" w:eastAsiaTheme="minorEastAsia" w:hAnsi="Arial" w:cs="Arial"/>
        </w:rPr>
        <w:t xml:space="preserve"> within 10 metres of the target tree; (ii) </w:t>
      </w:r>
      <w:r w:rsidRPr="00012079">
        <w:rPr>
          <w:rFonts w:ascii="Arial" w:eastAsiaTheme="minorEastAsia" w:hAnsi="Arial" w:cs="Arial"/>
          <w:i/>
        </w:rPr>
        <w:t>deadSD45</w:t>
      </w:r>
      <w:r>
        <w:rPr>
          <w:rFonts w:ascii="Arial" w:eastAsiaTheme="minorEastAsia" w:hAnsi="Arial" w:cs="Arial"/>
        </w:rPr>
        <w:t xml:space="preserve">=stem density of dead trees ≥45cm DBH at time of death at time </w:t>
      </w:r>
      <m:oMath>
        <m:r>
          <w:rPr>
            <w:rFonts w:ascii="Cambria Math" w:eastAsiaTheme="minorEastAsia" w:hAnsi="Cambria Math" w:cs="Arial"/>
          </w:rPr>
          <m:t>t1</m:t>
        </m:r>
      </m:oMath>
      <w:r>
        <w:rPr>
          <w:rFonts w:ascii="Arial" w:eastAsiaTheme="minorEastAsia" w:hAnsi="Arial" w:cs="Arial"/>
        </w:rPr>
        <w:t xml:space="preserve"> within 10 metres of the target tree; (iii) </w:t>
      </w:r>
      <w:proofErr w:type="spellStart"/>
      <w:r w:rsidRPr="00012079">
        <w:rPr>
          <w:rFonts w:ascii="Arial" w:eastAsiaTheme="minorEastAsia" w:hAnsi="Arial" w:cs="Arial"/>
          <w:i/>
        </w:rPr>
        <w:t>deadDist</w:t>
      </w:r>
      <w:proofErr w:type="spellEnd"/>
      <w:r>
        <w:rPr>
          <w:rFonts w:ascii="Arial" w:eastAsiaTheme="minorEastAsia" w:hAnsi="Arial" w:cs="Arial"/>
        </w:rPr>
        <w:t xml:space="preserve">=distance to nearest dead tree (m) at </w:t>
      </w:r>
      <w:proofErr w:type="gramStart"/>
      <w:r>
        <w:rPr>
          <w:rFonts w:ascii="Arial" w:eastAsiaTheme="minorEastAsia" w:hAnsi="Arial" w:cs="Arial"/>
        </w:rPr>
        <w:t xml:space="preserve">time </w:t>
      </w:r>
      <w:proofErr w:type="gramEnd"/>
      <m:oMath>
        <m:r>
          <w:rPr>
            <w:rFonts w:ascii="Cambria Math" w:eastAsiaTheme="minorEastAsia" w:hAnsi="Cambria Math" w:cs="Arial"/>
          </w:rPr>
          <m:t>t1</m:t>
        </m:r>
      </m:oMath>
      <w:r>
        <w:rPr>
          <w:rFonts w:ascii="Arial" w:eastAsiaTheme="minorEastAsia" w:hAnsi="Arial" w:cs="Arial"/>
        </w:rPr>
        <w:t xml:space="preserve">; (iv) </w:t>
      </w:r>
      <w:r w:rsidRPr="00012079">
        <w:rPr>
          <w:rFonts w:ascii="Arial" w:eastAsiaTheme="minorEastAsia" w:hAnsi="Arial" w:cs="Arial"/>
          <w:i/>
        </w:rPr>
        <w:t>deadDist45</w:t>
      </w:r>
      <w:r>
        <w:rPr>
          <w:rFonts w:ascii="Arial" w:eastAsiaTheme="minorEastAsia" w:hAnsi="Arial" w:cs="Arial"/>
        </w:rPr>
        <w:t xml:space="preserve">=distance to nearest dead tree ≥45cm DBH at time of death (m) at time </w:t>
      </w:r>
      <m:oMath>
        <m:r>
          <w:rPr>
            <w:rFonts w:ascii="Cambria Math" w:eastAsiaTheme="minorEastAsia" w:hAnsi="Cambria Math" w:cs="Arial"/>
          </w:rPr>
          <m:t>t1</m:t>
        </m:r>
      </m:oMath>
      <w:r>
        <w:rPr>
          <w:rFonts w:ascii="Arial" w:eastAsiaTheme="minorEastAsia" w:hAnsi="Arial" w:cs="Arial"/>
        </w:rPr>
        <w:t>. Our rationale for focussing on dead trees ≥45cm DBH was that this represents the upper quartile of tree diameters in the woodland and we hypothesised that the death of larger trees plays a stronger role in altering local microclimate conditions.</w:t>
      </w:r>
    </w:p>
    <w:p w:rsidR="00DE03D6" w:rsidRPr="00E46DB5" w:rsidRDefault="00DE03D6" w:rsidP="00DE03D6">
      <w:pPr>
        <w:spacing w:line="360" w:lineRule="auto"/>
        <w:ind w:firstLine="360"/>
        <w:contextualSpacing/>
        <w:divId w:val="648167203"/>
        <w:rPr>
          <w:rFonts w:ascii="Arial" w:eastAsiaTheme="minorEastAsia" w:hAnsi="Arial" w:cs="Arial"/>
        </w:rPr>
      </w:pPr>
      <w:r>
        <w:rPr>
          <w:rFonts w:ascii="Arial" w:eastAsiaTheme="minorEastAsia" w:hAnsi="Arial" w:cs="Arial"/>
        </w:rPr>
        <w:t>As well as individual based variables that may affect tree mortality we assessed the importance of soil properties as well, given that finer soils may be prone to water logging in the winter, which impedes root growth and consequently reduces the ability of trees to take advantage of water deeper in the soil in dry summers. To do this we used data on the proportion of each soil sample that was classified as sand during laboratory analyses.</w:t>
      </w:r>
    </w:p>
    <w:p w:rsidR="00DE03D6" w:rsidRPr="00E94C26" w:rsidRDefault="00DE03D6" w:rsidP="00DE059E">
      <w:pPr>
        <w:pStyle w:val="NormalWeb"/>
        <w:ind w:left="480" w:hanging="480"/>
        <w:contextualSpacing/>
        <w:divId w:val="648167203"/>
        <w:rPr>
          <w:rFonts w:ascii="Arial" w:hAnsi="Arial" w:cs="Arial"/>
        </w:rPr>
      </w:pPr>
    </w:p>
    <w:sectPr w:rsidR="00DE03D6" w:rsidRPr="00E94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C0315"/>
    <w:multiLevelType w:val="hybridMultilevel"/>
    <w:tmpl w:val="A2D44E8E"/>
    <w:lvl w:ilvl="0" w:tplc="7462492C">
      <w:start w:val="1"/>
      <w:numFmt w:val="lowerRoman"/>
      <w:lvlText w:val="(%1)"/>
      <w:lvlJc w:val="left"/>
      <w:pPr>
        <w:ind w:left="1530" w:hanging="1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1D621C"/>
    <w:multiLevelType w:val="hybridMultilevel"/>
    <w:tmpl w:val="46AED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E35C87"/>
    <w:multiLevelType w:val="hybridMultilevel"/>
    <w:tmpl w:val="C54813CA"/>
    <w:lvl w:ilvl="0" w:tplc="7462492C">
      <w:start w:val="1"/>
      <w:numFmt w:val="lowerRoman"/>
      <w:lvlText w:val="(%1)"/>
      <w:lvlJc w:val="left"/>
      <w:pPr>
        <w:ind w:left="1530" w:hanging="1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1F1255D"/>
    <w:multiLevelType w:val="hybridMultilevel"/>
    <w:tmpl w:val="52DE9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B2A7B18"/>
    <w:multiLevelType w:val="hybridMultilevel"/>
    <w:tmpl w:val="25266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C34299"/>
    <w:multiLevelType w:val="multilevel"/>
    <w:tmpl w:val="790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F97BAA"/>
    <w:multiLevelType w:val="hybridMultilevel"/>
    <w:tmpl w:val="F5627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FEF46E0"/>
    <w:multiLevelType w:val="hybridMultilevel"/>
    <w:tmpl w:val="968E5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1037817"/>
    <w:multiLevelType w:val="hybridMultilevel"/>
    <w:tmpl w:val="C6262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5E144DB"/>
    <w:multiLevelType w:val="hybridMultilevel"/>
    <w:tmpl w:val="9F64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2D11023"/>
    <w:multiLevelType w:val="hybridMultilevel"/>
    <w:tmpl w:val="3630305C"/>
    <w:lvl w:ilvl="0" w:tplc="FA7632C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751F0568"/>
    <w:multiLevelType w:val="hybridMultilevel"/>
    <w:tmpl w:val="35AEB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DAE4EE5"/>
    <w:multiLevelType w:val="hybridMultilevel"/>
    <w:tmpl w:val="D1487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8"/>
  </w:num>
  <w:num w:numId="4">
    <w:abstractNumId w:val="10"/>
  </w:num>
  <w:num w:numId="5">
    <w:abstractNumId w:val="13"/>
  </w:num>
  <w:num w:numId="6">
    <w:abstractNumId w:val="7"/>
  </w:num>
  <w:num w:numId="7">
    <w:abstractNumId w:val="2"/>
  </w:num>
  <w:num w:numId="8">
    <w:abstractNumId w:val="1"/>
  </w:num>
  <w:num w:numId="9">
    <w:abstractNumId w:val="6"/>
  </w:num>
  <w:num w:numId="10">
    <w:abstractNumId w:val="4"/>
  </w:num>
  <w:num w:numId="11">
    <w:abstractNumId w:val="0"/>
  </w:num>
  <w:num w:numId="12">
    <w:abstractNumId w:val="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49"/>
    <w:rsid w:val="00012079"/>
    <w:rsid w:val="00014F29"/>
    <w:rsid w:val="000547AC"/>
    <w:rsid w:val="00093EB5"/>
    <w:rsid w:val="000E1099"/>
    <w:rsid w:val="00133522"/>
    <w:rsid w:val="0013537F"/>
    <w:rsid w:val="00141DB0"/>
    <w:rsid w:val="0017764C"/>
    <w:rsid w:val="00184CE8"/>
    <w:rsid w:val="00196350"/>
    <w:rsid w:val="001D2BB7"/>
    <w:rsid w:val="001D554F"/>
    <w:rsid w:val="001E3EF1"/>
    <w:rsid w:val="001F0817"/>
    <w:rsid w:val="00210A49"/>
    <w:rsid w:val="00214A19"/>
    <w:rsid w:val="0024119F"/>
    <w:rsid w:val="002710E3"/>
    <w:rsid w:val="002778ED"/>
    <w:rsid w:val="002914FD"/>
    <w:rsid w:val="002D6198"/>
    <w:rsid w:val="002E1A3D"/>
    <w:rsid w:val="00343C56"/>
    <w:rsid w:val="003A2B2F"/>
    <w:rsid w:val="003A3232"/>
    <w:rsid w:val="003B2EAA"/>
    <w:rsid w:val="003B4207"/>
    <w:rsid w:val="003B528F"/>
    <w:rsid w:val="003C0F9A"/>
    <w:rsid w:val="004377EC"/>
    <w:rsid w:val="0045030F"/>
    <w:rsid w:val="004810E6"/>
    <w:rsid w:val="00493D40"/>
    <w:rsid w:val="004972E6"/>
    <w:rsid w:val="004A5CBE"/>
    <w:rsid w:val="00527662"/>
    <w:rsid w:val="00547264"/>
    <w:rsid w:val="00550B96"/>
    <w:rsid w:val="00560D45"/>
    <w:rsid w:val="005901C5"/>
    <w:rsid w:val="005915D6"/>
    <w:rsid w:val="005C3479"/>
    <w:rsid w:val="005F05BA"/>
    <w:rsid w:val="005F5763"/>
    <w:rsid w:val="00627B44"/>
    <w:rsid w:val="00654F32"/>
    <w:rsid w:val="006D0493"/>
    <w:rsid w:val="006F5186"/>
    <w:rsid w:val="00707775"/>
    <w:rsid w:val="0075283D"/>
    <w:rsid w:val="0076100C"/>
    <w:rsid w:val="007620D4"/>
    <w:rsid w:val="00770D30"/>
    <w:rsid w:val="00771784"/>
    <w:rsid w:val="007B1610"/>
    <w:rsid w:val="007F1451"/>
    <w:rsid w:val="008016AC"/>
    <w:rsid w:val="008538A9"/>
    <w:rsid w:val="008635F1"/>
    <w:rsid w:val="0087671F"/>
    <w:rsid w:val="00890A2D"/>
    <w:rsid w:val="008B325C"/>
    <w:rsid w:val="008C0FB7"/>
    <w:rsid w:val="008C77A4"/>
    <w:rsid w:val="008D27BE"/>
    <w:rsid w:val="009578E6"/>
    <w:rsid w:val="00976D3D"/>
    <w:rsid w:val="00984D8E"/>
    <w:rsid w:val="009A75A7"/>
    <w:rsid w:val="009E4C20"/>
    <w:rsid w:val="00A342D0"/>
    <w:rsid w:val="00A365D6"/>
    <w:rsid w:val="00A7669F"/>
    <w:rsid w:val="00A83601"/>
    <w:rsid w:val="00A83D76"/>
    <w:rsid w:val="00A948B8"/>
    <w:rsid w:val="00AC7BB4"/>
    <w:rsid w:val="00B04394"/>
    <w:rsid w:val="00B058F4"/>
    <w:rsid w:val="00B17487"/>
    <w:rsid w:val="00B32223"/>
    <w:rsid w:val="00B439A6"/>
    <w:rsid w:val="00B46DE7"/>
    <w:rsid w:val="00B7759F"/>
    <w:rsid w:val="00B93215"/>
    <w:rsid w:val="00BA02A4"/>
    <w:rsid w:val="00BD6D98"/>
    <w:rsid w:val="00BF6271"/>
    <w:rsid w:val="00BF6823"/>
    <w:rsid w:val="00BF6D02"/>
    <w:rsid w:val="00C11569"/>
    <w:rsid w:val="00C32B1F"/>
    <w:rsid w:val="00C3761E"/>
    <w:rsid w:val="00C46459"/>
    <w:rsid w:val="00C8266E"/>
    <w:rsid w:val="00CA5118"/>
    <w:rsid w:val="00CA72B0"/>
    <w:rsid w:val="00CE7F28"/>
    <w:rsid w:val="00CF6EE3"/>
    <w:rsid w:val="00D1587D"/>
    <w:rsid w:val="00D31E89"/>
    <w:rsid w:val="00D42CB2"/>
    <w:rsid w:val="00D4426B"/>
    <w:rsid w:val="00D644F8"/>
    <w:rsid w:val="00D77E51"/>
    <w:rsid w:val="00D814E0"/>
    <w:rsid w:val="00D81A0F"/>
    <w:rsid w:val="00D96F37"/>
    <w:rsid w:val="00DB2427"/>
    <w:rsid w:val="00DB2877"/>
    <w:rsid w:val="00DC1C53"/>
    <w:rsid w:val="00DC2328"/>
    <w:rsid w:val="00DE03D6"/>
    <w:rsid w:val="00DE059E"/>
    <w:rsid w:val="00E00C5D"/>
    <w:rsid w:val="00E46DB5"/>
    <w:rsid w:val="00E55003"/>
    <w:rsid w:val="00E94C26"/>
    <w:rsid w:val="00EA7F18"/>
    <w:rsid w:val="00EB1B07"/>
    <w:rsid w:val="00EC3673"/>
    <w:rsid w:val="00EC5CC9"/>
    <w:rsid w:val="00EC6403"/>
    <w:rsid w:val="00F06791"/>
    <w:rsid w:val="00F262DF"/>
    <w:rsid w:val="00F35515"/>
    <w:rsid w:val="00F41B50"/>
    <w:rsid w:val="00F75EED"/>
    <w:rsid w:val="00F7662A"/>
    <w:rsid w:val="00FA4889"/>
    <w:rsid w:val="00FA7178"/>
    <w:rsid w:val="00FB42E3"/>
    <w:rsid w:val="00FE0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6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49"/>
    <w:pPr>
      <w:ind w:left="720"/>
      <w:contextualSpacing/>
    </w:pPr>
  </w:style>
  <w:style w:type="paragraph" w:styleId="NormalWeb">
    <w:name w:val="Normal (Web)"/>
    <w:basedOn w:val="Normal"/>
    <w:uiPriority w:val="99"/>
    <w:unhideWhenUsed/>
    <w:rsid w:val="00F262D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262DF"/>
    <w:rPr>
      <w:color w:val="808080"/>
    </w:rPr>
  </w:style>
  <w:style w:type="paragraph" w:styleId="BalloonText">
    <w:name w:val="Balloon Text"/>
    <w:basedOn w:val="Normal"/>
    <w:link w:val="BalloonTextChar"/>
    <w:uiPriority w:val="99"/>
    <w:semiHidden/>
    <w:unhideWhenUsed/>
    <w:rsid w:val="00F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DF"/>
    <w:rPr>
      <w:rFonts w:ascii="Tahoma" w:hAnsi="Tahoma" w:cs="Tahoma"/>
      <w:sz w:val="16"/>
      <w:szCs w:val="16"/>
    </w:rPr>
  </w:style>
  <w:style w:type="character" w:styleId="CommentReference">
    <w:name w:val="annotation reference"/>
    <w:basedOn w:val="DefaultParagraphFont"/>
    <w:uiPriority w:val="99"/>
    <w:semiHidden/>
    <w:unhideWhenUsed/>
    <w:rsid w:val="004A5CBE"/>
    <w:rPr>
      <w:sz w:val="16"/>
      <w:szCs w:val="16"/>
    </w:rPr>
  </w:style>
  <w:style w:type="paragraph" w:styleId="CommentText">
    <w:name w:val="annotation text"/>
    <w:basedOn w:val="Normal"/>
    <w:link w:val="CommentTextChar"/>
    <w:uiPriority w:val="99"/>
    <w:semiHidden/>
    <w:unhideWhenUsed/>
    <w:rsid w:val="004A5CBE"/>
    <w:pPr>
      <w:spacing w:line="240" w:lineRule="auto"/>
    </w:pPr>
    <w:rPr>
      <w:sz w:val="20"/>
      <w:szCs w:val="20"/>
    </w:rPr>
  </w:style>
  <w:style w:type="character" w:customStyle="1" w:styleId="CommentTextChar">
    <w:name w:val="Comment Text Char"/>
    <w:basedOn w:val="DefaultParagraphFont"/>
    <w:link w:val="CommentText"/>
    <w:uiPriority w:val="99"/>
    <w:semiHidden/>
    <w:rsid w:val="004A5CBE"/>
    <w:rPr>
      <w:sz w:val="20"/>
      <w:szCs w:val="20"/>
    </w:rPr>
  </w:style>
  <w:style w:type="paragraph" w:styleId="CommentSubject">
    <w:name w:val="annotation subject"/>
    <w:basedOn w:val="CommentText"/>
    <w:next w:val="CommentText"/>
    <w:link w:val="CommentSubjectChar"/>
    <w:uiPriority w:val="99"/>
    <w:semiHidden/>
    <w:unhideWhenUsed/>
    <w:rsid w:val="004A5CBE"/>
    <w:rPr>
      <w:b/>
      <w:bCs/>
    </w:rPr>
  </w:style>
  <w:style w:type="character" w:customStyle="1" w:styleId="CommentSubjectChar">
    <w:name w:val="Comment Subject Char"/>
    <w:basedOn w:val="CommentTextChar"/>
    <w:link w:val="CommentSubject"/>
    <w:uiPriority w:val="99"/>
    <w:semiHidden/>
    <w:rsid w:val="004A5CBE"/>
    <w:rPr>
      <w:b/>
      <w:bCs/>
      <w:sz w:val="20"/>
      <w:szCs w:val="20"/>
    </w:rPr>
  </w:style>
  <w:style w:type="character" w:customStyle="1" w:styleId="apple-converted-space">
    <w:name w:val="apple-converted-space"/>
    <w:basedOn w:val="DefaultParagraphFont"/>
    <w:rsid w:val="008B325C"/>
  </w:style>
  <w:style w:type="character" w:customStyle="1" w:styleId="highlight">
    <w:name w:val="highlight"/>
    <w:basedOn w:val="DefaultParagraphFont"/>
    <w:rsid w:val="008B325C"/>
  </w:style>
  <w:style w:type="table" w:styleId="TableGrid">
    <w:name w:val="Table Grid"/>
    <w:basedOn w:val="TableNormal"/>
    <w:uiPriority w:val="59"/>
    <w:rsid w:val="009A7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6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49"/>
    <w:pPr>
      <w:ind w:left="720"/>
      <w:contextualSpacing/>
    </w:pPr>
  </w:style>
  <w:style w:type="paragraph" w:styleId="NormalWeb">
    <w:name w:val="Normal (Web)"/>
    <w:basedOn w:val="Normal"/>
    <w:uiPriority w:val="99"/>
    <w:unhideWhenUsed/>
    <w:rsid w:val="00F262D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262DF"/>
    <w:rPr>
      <w:color w:val="808080"/>
    </w:rPr>
  </w:style>
  <w:style w:type="paragraph" w:styleId="BalloonText">
    <w:name w:val="Balloon Text"/>
    <w:basedOn w:val="Normal"/>
    <w:link w:val="BalloonTextChar"/>
    <w:uiPriority w:val="99"/>
    <w:semiHidden/>
    <w:unhideWhenUsed/>
    <w:rsid w:val="00F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DF"/>
    <w:rPr>
      <w:rFonts w:ascii="Tahoma" w:hAnsi="Tahoma" w:cs="Tahoma"/>
      <w:sz w:val="16"/>
      <w:szCs w:val="16"/>
    </w:rPr>
  </w:style>
  <w:style w:type="character" w:styleId="CommentReference">
    <w:name w:val="annotation reference"/>
    <w:basedOn w:val="DefaultParagraphFont"/>
    <w:uiPriority w:val="99"/>
    <w:semiHidden/>
    <w:unhideWhenUsed/>
    <w:rsid w:val="004A5CBE"/>
    <w:rPr>
      <w:sz w:val="16"/>
      <w:szCs w:val="16"/>
    </w:rPr>
  </w:style>
  <w:style w:type="paragraph" w:styleId="CommentText">
    <w:name w:val="annotation text"/>
    <w:basedOn w:val="Normal"/>
    <w:link w:val="CommentTextChar"/>
    <w:uiPriority w:val="99"/>
    <w:semiHidden/>
    <w:unhideWhenUsed/>
    <w:rsid w:val="004A5CBE"/>
    <w:pPr>
      <w:spacing w:line="240" w:lineRule="auto"/>
    </w:pPr>
    <w:rPr>
      <w:sz w:val="20"/>
      <w:szCs w:val="20"/>
    </w:rPr>
  </w:style>
  <w:style w:type="character" w:customStyle="1" w:styleId="CommentTextChar">
    <w:name w:val="Comment Text Char"/>
    <w:basedOn w:val="DefaultParagraphFont"/>
    <w:link w:val="CommentText"/>
    <w:uiPriority w:val="99"/>
    <w:semiHidden/>
    <w:rsid w:val="004A5CBE"/>
    <w:rPr>
      <w:sz w:val="20"/>
      <w:szCs w:val="20"/>
    </w:rPr>
  </w:style>
  <w:style w:type="paragraph" w:styleId="CommentSubject">
    <w:name w:val="annotation subject"/>
    <w:basedOn w:val="CommentText"/>
    <w:next w:val="CommentText"/>
    <w:link w:val="CommentSubjectChar"/>
    <w:uiPriority w:val="99"/>
    <w:semiHidden/>
    <w:unhideWhenUsed/>
    <w:rsid w:val="004A5CBE"/>
    <w:rPr>
      <w:b/>
      <w:bCs/>
    </w:rPr>
  </w:style>
  <w:style w:type="character" w:customStyle="1" w:styleId="CommentSubjectChar">
    <w:name w:val="Comment Subject Char"/>
    <w:basedOn w:val="CommentTextChar"/>
    <w:link w:val="CommentSubject"/>
    <w:uiPriority w:val="99"/>
    <w:semiHidden/>
    <w:rsid w:val="004A5CBE"/>
    <w:rPr>
      <w:b/>
      <w:bCs/>
      <w:sz w:val="20"/>
      <w:szCs w:val="20"/>
    </w:rPr>
  </w:style>
  <w:style w:type="character" w:customStyle="1" w:styleId="apple-converted-space">
    <w:name w:val="apple-converted-space"/>
    <w:basedOn w:val="DefaultParagraphFont"/>
    <w:rsid w:val="008B325C"/>
  </w:style>
  <w:style w:type="character" w:customStyle="1" w:styleId="highlight">
    <w:name w:val="highlight"/>
    <w:basedOn w:val="DefaultParagraphFont"/>
    <w:rsid w:val="008B325C"/>
  </w:style>
  <w:style w:type="table" w:styleId="TableGrid">
    <w:name w:val="Table Grid"/>
    <w:basedOn w:val="TableNormal"/>
    <w:uiPriority w:val="59"/>
    <w:rsid w:val="009A7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745020">
      <w:bodyDiv w:val="1"/>
      <w:marLeft w:val="0"/>
      <w:marRight w:val="0"/>
      <w:marTop w:val="0"/>
      <w:marBottom w:val="0"/>
      <w:divBdr>
        <w:top w:val="none" w:sz="0" w:space="0" w:color="auto"/>
        <w:left w:val="none" w:sz="0" w:space="0" w:color="auto"/>
        <w:bottom w:val="none" w:sz="0" w:space="0" w:color="auto"/>
        <w:right w:val="none" w:sz="0" w:space="0" w:color="auto"/>
      </w:divBdr>
      <w:divsChild>
        <w:div w:id="2135635554">
          <w:marLeft w:val="0"/>
          <w:marRight w:val="0"/>
          <w:marTop w:val="0"/>
          <w:marBottom w:val="0"/>
          <w:divBdr>
            <w:top w:val="none" w:sz="0" w:space="0" w:color="auto"/>
            <w:left w:val="none" w:sz="0" w:space="0" w:color="auto"/>
            <w:bottom w:val="none" w:sz="0" w:space="0" w:color="auto"/>
            <w:right w:val="none" w:sz="0" w:space="0" w:color="auto"/>
          </w:divBdr>
          <w:divsChild>
            <w:div w:id="797718683">
              <w:marLeft w:val="0"/>
              <w:marRight w:val="0"/>
              <w:marTop w:val="0"/>
              <w:marBottom w:val="0"/>
              <w:divBdr>
                <w:top w:val="none" w:sz="0" w:space="0" w:color="auto"/>
                <w:left w:val="none" w:sz="0" w:space="0" w:color="auto"/>
                <w:bottom w:val="none" w:sz="0" w:space="0" w:color="auto"/>
                <w:right w:val="none" w:sz="0" w:space="0" w:color="auto"/>
              </w:divBdr>
              <w:divsChild>
                <w:div w:id="870804840">
                  <w:marLeft w:val="0"/>
                  <w:marRight w:val="0"/>
                  <w:marTop w:val="0"/>
                  <w:marBottom w:val="0"/>
                  <w:divBdr>
                    <w:top w:val="none" w:sz="0" w:space="0" w:color="auto"/>
                    <w:left w:val="none" w:sz="0" w:space="0" w:color="auto"/>
                    <w:bottom w:val="none" w:sz="0" w:space="0" w:color="auto"/>
                    <w:right w:val="none" w:sz="0" w:space="0" w:color="auto"/>
                  </w:divBdr>
                  <w:divsChild>
                    <w:div w:id="27798255">
                      <w:marLeft w:val="0"/>
                      <w:marRight w:val="0"/>
                      <w:marTop w:val="0"/>
                      <w:marBottom w:val="0"/>
                      <w:divBdr>
                        <w:top w:val="none" w:sz="0" w:space="0" w:color="auto"/>
                        <w:left w:val="none" w:sz="0" w:space="0" w:color="auto"/>
                        <w:bottom w:val="none" w:sz="0" w:space="0" w:color="auto"/>
                        <w:right w:val="none" w:sz="0" w:space="0" w:color="auto"/>
                      </w:divBdr>
                      <w:divsChild>
                        <w:div w:id="1403064269">
                          <w:marLeft w:val="0"/>
                          <w:marRight w:val="0"/>
                          <w:marTop w:val="0"/>
                          <w:marBottom w:val="0"/>
                          <w:divBdr>
                            <w:top w:val="none" w:sz="0" w:space="0" w:color="auto"/>
                            <w:left w:val="none" w:sz="0" w:space="0" w:color="auto"/>
                            <w:bottom w:val="none" w:sz="0" w:space="0" w:color="auto"/>
                            <w:right w:val="none" w:sz="0" w:space="0" w:color="auto"/>
                          </w:divBdr>
                          <w:divsChild>
                            <w:div w:id="116216272">
                              <w:marLeft w:val="0"/>
                              <w:marRight w:val="0"/>
                              <w:marTop w:val="0"/>
                              <w:marBottom w:val="0"/>
                              <w:divBdr>
                                <w:top w:val="none" w:sz="0" w:space="0" w:color="auto"/>
                                <w:left w:val="none" w:sz="0" w:space="0" w:color="auto"/>
                                <w:bottom w:val="none" w:sz="0" w:space="0" w:color="auto"/>
                                <w:right w:val="none" w:sz="0" w:space="0" w:color="auto"/>
                              </w:divBdr>
                              <w:divsChild>
                                <w:div w:id="1966421268">
                                  <w:marLeft w:val="0"/>
                                  <w:marRight w:val="0"/>
                                  <w:marTop w:val="0"/>
                                  <w:marBottom w:val="0"/>
                                  <w:divBdr>
                                    <w:top w:val="none" w:sz="0" w:space="0" w:color="auto"/>
                                    <w:left w:val="none" w:sz="0" w:space="0" w:color="auto"/>
                                    <w:bottom w:val="none" w:sz="0" w:space="0" w:color="auto"/>
                                    <w:right w:val="none" w:sz="0" w:space="0" w:color="auto"/>
                                  </w:divBdr>
                                  <w:divsChild>
                                    <w:div w:id="2030793807">
                                      <w:marLeft w:val="0"/>
                                      <w:marRight w:val="0"/>
                                      <w:marTop w:val="0"/>
                                      <w:marBottom w:val="0"/>
                                      <w:divBdr>
                                        <w:top w:val="none" w:sz="0" w:space="0" w:color="auto"/>
                                        <w:left w:val="none" w:sz="0" w:space="0" w:color="auto"/>
                                        <w:bottom w:val="none" w:sz="0" w:space="0" w:color="auto"/>
                                        <w:right w:val="none" w:sz="0" w:space="0" w:color="auto"/>
                                      </w:divBdr>
                                      <w:divsChild>
                                        <w:div w:id="1238202766">
                                          <w:marLeft w:val="0"/>
                                          <w:marRight w:val="0"/>
                                          <w:marTop w:val="0"/>
                                          <w:marBottom w:val="0"/>
                                          <w:divBdr>
                                            <w:top w:val="none" w:sz="0" w:space="0" w:color="auto"/>
                                            <w:left w:val="none" w:sz="0" w:space="0" w:color="auto"/>
                                            <w:bottom w:val="none" w:sz="0" w:space="0" w:color="auto"/>
                                            <w:right w:val="none" w:sz="0" w:space="0" w:color="auto"/>
                                          </w:divBdr>
                                          <w:divsChild>
                                            <w:div w:id="1300837229">
                                              <w:marLeft w:val="0"/>
                                              <w:marRight w:val="0"/>
                                              <w:marTop w:val="0"/>
                                              <w:marBottom w:val="0"/>
                                              <w:divBdr>
                                                <w:top w:val="none" w:sz="0" w:space="0" w:color="auto"/>
                                                <w:left w:val="none" w:sz="0" w:space="0" w:color="auto"/>
                                                <w:bottom w:val="none" w:sz="0" w:space="0" w:color="auto"/>
                                                <w:right w:val="none" w:sz="0" w:space="0" w:color="auto"/>
                                              </w:divBdr>
                                              <w:divsChild>
                                                <w:div w:id="1846631581">
                                                  <w:marLeft w:val="0"/>
                                                  <w:marRight w:val="0"/>
                                                  <w:marTop w:val="0"/>
                                                  <w:marBottom w:val="0"/>
                                                  <w:divBdr>
                                                    <w:top w:val="none" w:sz="0" w:space="0" w:color="auto"/>
                                                    <w:left w:val="none" w:sz="0" w:space="0" w:color="auto"/>
                                                    <w:bottom w:val="none" w:sz="0" w:space="0" w:color="auto"/>
                                                    <w:right w:val="none" w:sz="0" w:space="0" w:color="auto"/>
                                                  </w:divBdr>
                                                  <w:divsChild>
                                                    <w:div w:id="354501129">
                                                      <w:marLeft w:val="0"/>
                                                      <w:marRight w:val="0"/>
                                                      <w:marTop w:val="0"/>
                                                      <w:marBottom w:val="0"/>
                                                      <w:divBdr>
                                                        <w:top w:val="none" w:sz="0" w:space="0" w:color="auto"/>
                                                        <w:left w:val="none" w:sz="0" w:space="0" w:color="auto"/>
                                                        <w:bottom w:val="none" w:sz="0" w:space="0" w:color="auto"/>
                                                        <w:right w:val="none" w:sz="0" w:space="0" w:color="auto"/>
                                                      </w:divBdr>
                                                      <w:divsChild>
                                                        <w:div w:id="1753773502">
                                                          <w:marLeft w:val="0"/>
                                                          <w:marRight w:val="0"/>
                                                          <w:marTop w:val="0"/>
                                                          <w:marBottom w:val="0"/>
                                                          <w:divBdr>
                                                            <w:top w:val="none" w:sz="0" w:space="0" w:color="auto"/>
                                                            <w:left w:val="none" w:sz="0" w:space="0" w:color="auto"/>
                                                            <w:bottom w:val="none" w:sz="0" w:space="0" w:color="auto"/>
                                                            <w:right w:val="none" w:sz="0" w:space="0" w:color="auto"/>
                                                          </w:divBdr>
                                                          <w:divsChild>
                                                            <w:div w:id="334498152">
                                                              <w:marLeft w:val="0"/>
                                                              <w:marRight w:val="0"/>
                                                              <w:marTop w:val="0"/>
                                                              <w:marBottom w:val="0"/>
                                                              <w:divBdr>
                                                                <w:top w:val="none" w:sz="0" w:space="0" w:color="auto"/>
                                                                <w:left w:val="none" w:sz="0" w:space="0" w:color="auto"/>
                                                                <w:bottom w:val="none" w:sz="0" w:space="0" w:color="auto"/>
                                                                <w:right w:val="none" w:sz="0" w:space="0" w:color="auto"/>
                                                              </w:divBdr>
                                                              <w:divsChild>
                                                                <w:div w:id="1456556157">
                                                                  <w:marLeft w:val="0"/>
                                                                  <w:marRight w:val="0"/>
                                                                  <w:marTop w:val="0"/>
                                                                  <w:marBottom w:val="0"/>
                                                                  <w:divBdr>
                                                                    <w:top w:val="none" w:sz="0" w:space="0" w:color="auto"/>
                                                                    <w:left w:val="none" w:sz="0" w:space="0" w:color="auto"/>
                                                                    <w:bottom w:val="none" w:sz="0" w:space="0" w:color="auto"/>
                                                                    <w:right w:val="none" w:sz="0" w:space="0" w:color="auto"/>
                                                                  </w:divBdr>
                                                                  <w:divsChild>
                                                                    <w:div w:id="1795126863">
                                                                      <w:marLeft w:val="0"/>
                                                                      <w:marRight w:val="0"/>
                                                                      <w:marTop w:val="0"/>
                                                                      <w:marBottom w:val="0"/>
                                                                      <w:divBdr>
                                                                        <w:top w:val="none" w:sz="0" w:space="0" w:color="auto"/>
                                                                        <w:left w:val="none" w:sz="0" w:space="0" w:color="auto"/>
                                                                        <w:bottom w:val="none" w:sz="0" w:space="0" w:color="auto"/>
                                                                        <w:right w:val="none" w:sz="0" w:space="0" w:color="auto"/>
                                                                      </w:divBdr>
                                                                      <w:divsChild>
                                                                        <w:div w:id="422998894">
                                                                          <w:marLeft w:val="0"/>
                                                                          <w:marRight w:val="0"/>
                                                                          <w:marTop w:val="0"/>
                                                                          <w:marBottom w:val="0"/>
                                                                          <w:divBdr>
                                                                            <w:top w:val="none" w:sz="0" w:space="0" w:color="auto"/>
                                                                            <w:left w:val="none" w:sz="0" w:space="0" w:color="auto"/>
                                                                            <w:bottom w:val="none" w:sz="0" w:space="0" w:color="auto"/>
                                                                            <w:right w:val="none" w:sz="0" w:space="0" w:color="auto"/>
                                                                          </w:divBdr>
                                                                          <w:divsChild>
                                                                            <w:div w:id="582422868">
                                                                              <w:marLeft w:val="0"/>
                                                                              <w:marRight w:val="0"/>
                                                                              <w:marTop w:val="0"/>
                                                                              <w:marBottom w:val="0"/>
                                                                              <w:divBdr>
                                                                                <w:top w:val="none" w:sz="0" w:space="0" w:color="auto"/>
                                                                                <w:left w:val="none" w:sz="0" w:space="0" w:color="auto"/>
                                                                                <w:bottom w:val="none" w:sz="0" w:space="0" w:color="auto"/>
                                                                                <w:right w:val="none" w:sz="0" w:space="0" w:color="auto"/>
                                                                              </w:divBdr>
                                                                              <w:divsChild>
                                                                                <w:div w:id="1773740130">
                                                                                  <w:marLeft w:val="0"/>
                                                                                  <w:marRight w:val="0"/>
                                                                                  <w:marTop w:val="0"/>
                                                                                  <w:marBottom w:val="0"/>
                                                                                  <w:divBdr>
                                                                                    <w:top w:val="none" w:sz="0" w:space="0" w:color="auto"/>
                                                                                    <w:left w:val="none" w:sz="0" w:space="0" w:color="auto"/>
                                                                                    <w:bottom w:val="none" w:sz="0" w:space="0" w:color="auto"/>
                                                                                    <w:right w:val="none" w:sz="0" w:space="0" w:color="auto"/>
                                                                                  </w:divBdr>
                                                                                  <w:divsChild>
                                                                                    <w:div w:id="2115979693">
                                                                                      <w:marLeft w:val="0"/>
                                                                                      <w:marRight w:val="0"/>
                                                                                      <w:marTop w:val="0"/>
                                                                                      <w:marBottom w:val="0"/>
                                                                                      <w:divBdr>
                                                                                        <w:top w:val="none" w:sz="0" w:space="0" w:color="auto"/>
                                                                                        <w:left w:val="none" w:sz="0" w:space="0" w:color="auto"/>
                                                                                        <w:bottom w:val="none" w:sz="0" w:space="0" w:color="auto"/>
                                                                                        <w:right w:val="none" w:sz="0" w:space="0" w:color="auto"/>
                                                                                      </w:divBdr>
                                                                                      <w:divsChild>
                                                                                        <w:div w:id="1489709836">
                                                                                          <w:marLeft w:val="0"/>
                                                                                          <w:marRight w:val="0"/>
                                                                                          <w:marTop w:val="0"/>
                                                                                          <w:marBottom w:val="0"/>
                                                                                          <w:divBdr>
                                                                                            <w:top w:val="none" w:sz="0" w:space="0" w:color="auto"/>
                                                                                            <w:left w:val="none" w:sz="0" w:space="0" w:color="auto"/>
                                                                                            <w:bottom w:val="none" w:sz="0" w:space="0" w:color="auto"/>
                                                                                            <w:right w:val="none" w:sz="0" w:space="0" w:color="auto"/>
                                                                                          </w:divBdr>
                                                                                          <w:divsChild>
                                                                                            <w:div w:id="1503546404">
                                                                                              <w:marLeft w:val="0"/>
                                                                                              <w:marRight w:val="0"/>
                                                                                              <w:marTop w:val="0"/>
                                                                                              <w:marBottom w:val="0"/>
                                                                                              <w:divBdr>
                                                                                                <w:top w:val="none" w:sz="0" w:space="0" w:color="auto"/>
                                                                                                <w:left w:val="none" w:sz="0" w:space="0" w:color="auto"/>
                                                                                                <w:bottom w:val="none" w:sz="0" w:space="0" w:color="auto"/>
                                                                                                <w:right w:val="none" w:sz="0" w:space="0" w:color="auto"/>
                                                                                              </w:divBdr>
                                                                                              <w:divsChild>
                                                                                                <w:div w:id="1473450309">
                                                                                                  <w:marLeft w:val="0"/>
                                                                                                  <w:marRight w:val="0"/>
                                                                                                  <w:marTop w:val="0"/>
                                                                                                  <w:marBottom w:val="0"/>
                                                                                                  <w:divBdr>
                                                                                                    <w:top w:val="none" w:sz="0" w:space="0" w:color="auto"/>
                                                                                                    <w:left w:val="none" w:sz="0" w:space="0" w:color="auto"/>
                                                                                                    <w:bottom w:val="none" w:sz="0" w:space="0" w:color="auto"/>
                                                                                                    <w:right w:val="none" w:sz="0" w:space="0" w:color="auto"/>
                                                                                                  </w:divBdr>
                                                                                                  <w:divsChild>
                                                                                                    <w:div w:id="1517696431">
                                                                                                      <w:marLeft w:val="0"/>
                                                                                                      <w:marRight w:val="0"/>
                                                                                                      <w:marTop w:val="0"/>
                                                                                                      <w:marBottom w:val="0"/>
                                                                                                      <w:divBdr>
                                                                                                        <w:top w:val="none" w:sz="0" w:space="0" w:color="auto"/>
                                                                                                        <w:left w:val="none" w:sz="0" w:space="0" w:color="auto"/>
                                                                                                        <w:bottom w:val="none" w:sz="0" w:space="0" w:color="auto"/>
                                                                                                        <w:right w:val="none" w:sz="0" w:space="0" w:color="auto"/>
                                                                                                      </w:divBdr>
                                                                                                      <w:divsChild>
                                                                                                        <w:div w:id="1294483748">
                                                                                                          <w:marLeft w:val="0"/>
                                                                                                          <w:marRight w:val="0"/>
                                                                                                          <w:marTop w:val="0"/>
                                                                                                          <w:marBottom w:val="0"/>
                                                                                                          <w:divBdr>
                                                                                                            <w:top w:val="none" w:sz="0" w:space="0" w:color="auto"/>
                                                                                                            <w:left w:val="none" w:sz="0" w:space="0" w:color="auto"/>
                                                                                                            <w:bottom w:val="none" w:sz="0" w:space="0" w:color="auto"/>
                                                                                                            <w:right w:val="none" w:sz="0" w:space="0" w:color="auto"/>
                                                                                                          </w:divBdr>
                                                                                                          <w:divsChild>
                                                                                                            <w:div w:id="260065252">
                                                                                                              <w:marLeft w:val="0"/>
                                                                                                              <w:marRight w:val="0"/>
                                                                                                              <w:marTop w:val="0"/>
                                                                                                              <w:marBottom w:val="0"/>
                                                                                                              <w:divBdr>
                                                                                                                <w:top w:val="none" w:sz="0" w:space="0" w:color="auto"/>
                                                                                                                <w:left w:val="none" w:sz="0" w:space="0" w:color="auto"/>
                                                                                                                <w:bottom w:val="none" w:sz="0" w:space="0" w:color="auto"/>
                                                                                                                <w:right w:val="none" w:sz="0" w:space="0" w:color="auto"/>
                                                                                                              </w:divBdr>
                                                                                                              <w:divsChild>
                                                                                                                <w:div w:id="143208981">
                                                                                                                  <w:marLeft w:val="0"/>
                                                                                                                  <w:marRight w:val="0"/>
                                                                                                                  <w:marTop w:val="0"/>
                                                                                                                  <w:marBottom w:val="0"/>
                                                                                                                  <w:divBdr>
                                                                                                                    <w:top w:val="none" w:sz="0" w:space="0" w:color="auto"/>
                                                                                                                    <w:left w:val="none" w:sz="0" w:space="0" w:color="auto"/>
                                                                                                                    <w:bottom w:val="none" w:sz="0" w:space="0" w:color="auto"/>
                                                                                                                    <w:right w:val="none" w:sz="0" w:space="0" w:color="auto"/>
                                                                                                                  </w:divBdr>
                                                                                                                  <w:divsChild>
                                                                                                                    <w:div w:id="398023357">
                                                                                                                      <w:marLeft w:val="0"/>
                                                                                                                      <w:marRight w:val="0"/>
                                                                                                                      <w:marTop w:val="0"/>
                                                                                                                      <w:marBottom w:val="0"/>
                                                                                                                      <w:divBdr>
                                                                                                                        <w:top w:val="none" w:sz="0" w:space="0" w:color="auto"/>
                                                                                                                        <w:left w:val="none" w:sz="0" w:space="0" w:color="auto"/>
                                                                                                                        <w:bottom w:val="none" w:sz="0" w:space="0" w:color="auto"/>
                                                                                                                        <w:right w:val="none" w:sz="0" w:space="0" w:color="auto"/>
                                                                                                                      </w:divBdr>
                                                                                                                      <w:divsChild>
                                                                                                                        <w:div w:id="1375276318">
                                                                                                                          <w:marLeft w:val="0"/>
                                                                                                                          <w:marRight w:val="0"/>
                                                                                                                          <w:marTop w:val="0"/>
                                                                                                                          <w:marBottom w:val="0"/>
                                                                                                                          <w:divBdr>
                                                                                                                            <w:top w:val="none" w:sz="0" w:space="0" w:color="auto"/>
                                                                                                                            <w:left w:val="none" w:sz="0" w:space="0" w:color="auto"/>
                                                                                                                            <w:bottom w:val="none" w:sz="0" w:space="0" w:color="auto"/>
                                                                                                                            <w:right w:val="none" w:sz="0" w:space="0" w:color="auto"/>
                                                                                                                          </w:divBdr>
                                                                                                                          <w:divsChild>
                                                                                                                            <w:div w:id="1110929991">
                                                                                                                              <w:marLeft w:val="0"/>
                                                                                                                              <w:marRight w:val="0"/>
                                                                                                                              <w:marTop w:val="0"/>
                                                                                                                              <w:marBottom w:val="0"/>
                                                                                                                              <w:divBdr>
                                                                                                                                <w:top w:val="none" w:sz="0" w:space="0" w:color="auto"/>
                                                                                                                                <w:left w:val="none" w:sz="0" w:space="0" w:color="auto"/>
                                                                                                                                <w:bottom w:val="none" w:sz="0" w:space="0" w:color="auto"/>
                                                                                                                                <w:right w:val="none" w:sz="0" w:space="0" w:color="auto"/>
                                                                                                                              </w:divBdr>
                                                                                                                              <w:divsChild>
                                                                                                                                <w:div w:id="321934033">
                                                                                                                                  <w:marLeft w:val="0"/>
                                                                                                                                  <w:marRight w:val="0"/>
                                                                                                                                  <w:marTop w:val="0"/>
                                                                                                                                  <w:marBottom w:val="0"/>
                                                                                                                                  <w:divBdr>
                                                                                                                                    <w:top w:val="none" w:sz="0" w:space="0" w:color="auto"/>
                                                                                                                                    <w:left w:val="none" w:sz="0" w:space="0" w:color="auto"/>
                                                                                                                                    <w:bottom w:val="none" w:sz="0" w:space="0" w:color="auto"/>
                                                                                                                                    <w:right w:val="none" w:sz="0" w:space="0" w:color="auto"/>
                                                                                                                                  </w:divBdr>
                                                                                                                                  <w:divsChild>
                                                                                                                                    <w:div w:id="648167203">
                                                                                                                                      <w:marLeft w:val="0"/>
                                                                                                                                      <w:marRight w:val="0"/>
                                                                                                                                      <w:marTop w:val="0"/>
                                                                                                                                      <w:marBottom w:val="0"/>
                                                                                                                                      <w:divBdr>
                                                                                                                                        <w:top w:val="none" w:sz="0" w:space="0" w:color="auto"/>
                                                                                                                                        <w:left w:val="none" w:sz="0" w:space="0" w:color="auto"/>
                                                                                                                                        <w:bottom w:val="none" w:sz="0" w:space="0" w:color="auto"/>
                                                                                                                                        <w:right w:val="none" w:sz="0" w:space="0" w:color="auto"/>
                                                                                                                                      </w:divBdr>
                                                                                                                                      <w:divsChild>
                                                                                                                                        <w:div w:id="928926356">
                                                                                                                                          <w:marLeft w:val="0"/>
                                                                                                                                          <w:marRight w:val="0"/>
                                                                                                                                          <w:marTop w:val="0"/>
                                                                                                                                          <w:marBottom w:val="0"/>
                                                                                                                                          <w:divBdr>
                                                                                                                                            <w:top w:val="none" w:sz="0" w:space="0" w:color="auto"/>
                                                                                                                                            <w:left w:val="none" w:sz="0" w:space="0" w:color="auto"/>
                                                                                                                                            <w:bottom w:val="none" w:sz="0" w:space="0" w:color="auto"/>
                                                                                                                                            <w:right w:val="none" w:sz="0" w:space="0" w:color="auto"/>
                                                                                                                                          </w:divBdr>
                                                                                                                                          <w:divsChild>
                                                                                                                                            <w:div w:id="35664229">
                                                                                                                                              <w:marLeft w:val="0"/>
                                                                                                                                              <w:marRight w:val="0"/>
                                                                                                                                              <w:marTop w:val="0"/>
                                                                                                                                              <w:marBottom w:val="0"/>
                                                                                                                                              <w:divBdr>
                                                                                                                                                <w:top w:val="none" w:sz="0" w:space="0" w:color="auto"/>
                                                                                                                                                <w:left w:val="none" w:sz="0" w:space="0" w:color="auto"/>
                                                                                                                                                <w:bottom w:val="none" w:sz="0" w:space="0" w:color="auto"/>
                                                                                                                                                <w:right w:val="none" w:sz="0" w:space="0" w:color="auto"/>
                                                                                                                                              </w:divBdr>
                                                                                                                                              <w:divsChild>
                                                                                                                                                <w:div w:id="2010517082">
                                                                                                                                                  <w:marLeft w:val="0"/>
                                                                                                                                                  <w:marRight w:val="0"/>
                                                                                                                                                  <w:marTop w:val="0"/>
                                                                                                                                                  <w:marBottom w:val="0"/>
                                                                                                                                                  <w:divBdr>
                                                                                                                                                    <w:top w:val="none" w:sz="0" w:space="0" w:color="auto"/>
                                                                                                                                                    <w:left w:val="none" w:sz="0" w:space="0" w:color="auto"/>
                                                                                                                                                    <w:bottom w:val="none" w:sz="0" w:space="0" w:color="auto"/>
                                                                                                                                                    <w:right w:val="none" w:sz="0" w:space="0" w:color="auto"/>
                                                                                                                                                  </w:divBdr>
                                                                                                                                                  <w:divsChild>
                                                                                                                                                    <w:div w:id="1962420421">
                                                                                                                                                      <w:marLeft w:val="0"/>
                                                                                                                                                      <w:marRight w:val="0"/>
                                                                                                                                                      <w:marTop w:val="0"/>
                                                                                                                                                      <w:marBottom w:val="0"/>
                                                                                                                                                      <w:divBdr>
                                                                                                                                                        <w:top w:val="none" w:sz="0" w:space="0" w:color="auto"/>
                                                                                                                                                        <w:left w:val="none" w:sz="0" w:space="0" w:color="auto"/>
                                                                                                                                                        <w:bottom w:val="none" w:sz="0" w:space="0" w:color="auto"/>
                                                                                                                                                        <w:right w:val="none" w:sz="0" w:space="0" w:color="auto"/>
                                                                                                                                                      </w:divBdr>
                                                                                                                                                      <w:divsChild>
                                                                                                                                                        <w:div w:id="1451970825">
                                                                                                                                                          <w:marLeft w:val="0"/>
                                                                                                                                                          <w:marRight w:val="0"/>
                                                                                                                                                          <w:marTop w:val="0"/>
                                                                                                                                                          <w:marBottom w:val="0"/>
                                                                                                                                                          <w:divBdr>
                                                                                                                                                            <w:top w:val="none" w:sz="0" w:space="0" w:color="auto"/>
                                                                                                                                                            <w:left w:val="none" w:sz="0" w:space="0" w:color="auto"/>
                                                                                                                                                            <w:bottom w:val="none" w:sz="0" w:space="0" w:color="auto"/>
                                                                                                                                                            <w:right w:val="none" w:sz="0" w:space="0" w:color="auto"/>
                                                                                                                                                          </w:divBdr>
                                                                                                                                                          <w:divsChild>
                                                                                                                                                            <w:div w:id="2010211250">
                                                                                                                                                              <w:marLeft w:val="0"/>
                                                                                                                                                              <w:marRight w:val="0"/>
                                                                                                                                                              <w:marTop w:val="0"/>
                                                                                                                                                              <w:marBottom w:val="0"/>
                                                                                                                                                              <w:divBdr>
                                                                                                                                                                <w:top w:val="none" w:sz="0" w:space="0" w:color="auto"/>
                                                                                                                                                                <w:left w:val="none" w:sz="0" w:space="0" w:color="auto"/>
                                                                                                                                                                <w:bottom w:val="none" w:sz="0" w:space="0" w:color="auto"/>
                                                                                                                                                                <w:right w:val="none" w:sz="0" w:space="0" w:color="auto"/>
                                                                                                                                                              </w:divBdr>
                                                                                                                                                              <w:divsChild>
                                                                                                                                                                <w:div w:id="1730030825">
                                                                                                                                                                  <w:marLeft w:val="0"/>
                                                                                                                                                                  <w:marRight w:val="0"/>
                                                                                                                                                                  <w:marTop w:val="0"/>
                                                                                                                                                                  <w:marBottom w:val="0"/>
                                                                                                                                                                  <w:divBdr>
                                                                                                                                                                    <w:top w:val="none" w:sz="0" w:space="0" w:color="auto"/>
                                                                                                                                                                    <w:left w:val="none" w:sz="0" w:space="0" w:color="auto"/>
                                                                                                                                                                    <w:bottom w:val="none" w:sz="0" w:space="0" w:color="auto"/>
                                                                                                                                                                    <w:right w:val="none" w:sz="0" w:space="0" w:color="auto"/>
                                                                                                                                                                  </w:divBdr>
                                                                                                                                                                  <w:divsChild>
                                                                                                                                                                    <w:div w:id="1944459893">
                                                                                                                                                                      <w:marLeft w:val="0"/>
                                                                                                                                                                      <w:marRight w:val="0"/>
                                                                                                                                                                      <w:marTop w:val="0"/>
                                                                                                                                                                      <w:marBottom w:val="0"/>
                                                                                                                                                                      <w:divBdr>
                                                                                                                                                                        <w:top w:val="none" w:sz="0" w:space="0" w:color="auto"/>
                                                                                                                                                                        <w:left w:val="none" w:sz="0" w:space="0" w:color="auto"/>
                                                                                                                                                                        <w:bottom w:val="none" w:sz="0" w:space="0" w:color="auto"/>
                                                                                                                                                                        <w:right w:val="none" w:sz="0" w:space="0" w:color="auto"/>
                                                                                                                                                                      </w:divBdr>
                                                                                                                                                                      <w:divsChild>
                                                                                                                                                                        <w:div w:id="1128281201">
                                                                                                                                                                          <w:marLeft w:val="0"/>
                                                                                                                                                                          <w:marRight w:val="0"/>
                                                                                                                                                                          <w:marTop w:val="0"/>
                                                                                                                                                                          <w:marBottom w:val="0"/>
                                                                                                                                                                          <w:divBdr>
                                                                                                                                                                            <w:top w:val="none" w:sz="0" w:space="0" w:color="auto"/>
                                                                                                                                                                            <w:left w:val="none" w:sz="0" w:space="0" w:color="auto"/>
                                                                                                                                                                            <w:bottom w:val="none" w:sz="0" w:space="0" w:color="auto"/>
                                                                                                                                                                            <w:right w:val="none" w:sz="0" w:space="0" w:color="auto"/>
                                                                                                                                                                          </w:divBdr>
                                                                                                                                                                          <w:divsChild>
                                                                                                                                                                            <w:div w:id="1668090862">
                                                                                                                                                                              <w:marLeft w:val="0"/>
                                                                                                                                                                              <w:marRight w:val="0"/>
                                                                                                                                                                              <w:marTop w:val="0"/>
                                                                                                                                                                              <w:marBottom w:val="0"/>
                                                                                                                                                                              <w:divBdr>
                                                                                                                                                                                <w:top w:val="none" w:sz="0" w:space="0" w:color="auto"/>
                                                                                                                                                                                <w:left w:val="none" w:sz="0" w:space="0" w:color="auto"/>
                                                                                                                                                                                <w:bottom w:val="none" w:sz="0" w:space="0" w:color="auto"/>
                                                                                                                                                                                <w:right w:val="none" w:sz="0" w:space="0" w:color="auto"/>
                                                                                                                                                                              </w:divBdr>
                                                                                                                                                                              <w:divsChild>
                                                                                                                                                                                <w:div w:id="1677271774">
                                                                                                                                                                                  <w:marLeft w:val="0"/>
                                                                                                                                                                                  <w:marRight w:val="0"/>
                                                                                                                                                                                  <w:marTop w:val="0"/>
                                                                                                                                                                                  <w:marBottom w:val="0"/>
                                                                                                                                                                                  <w:divBdr>
                                                                                                                                                                                    <w:top w:val="none" w:sz="0" w:space="0" w:color="auto"/>
                                                                                                                                                                                    <w:left w:val="none" w:sz="0" w:space="0" w:color="auto"/>
                                                                                                                                                                                    <w:bottom w:val="none" w:sz="0" w:space="0" w:color="auto"/>
                                                                                                                                                                                    <w:right w:val="none" w:sz="0" w:space="0" w:color="auto"/>
                                                                                                                                                                                  </w:divBdr>
                                                                                                                                                                                  <w:divsChild>
                                                                                                                                                                                    <w:div w:id="1519464615">
                                                                                                                                                                                      <w:marLeft w:val="0"/>
                                                                                                                                                                                      <w:marRight w:val="0"/>
                                                                                                                                                                                      <w:marTop w:val="0"/>
                                                                                                                                                                                      <w:marBottom w:val="0"/>
                                                                                                                                                                                      <w:divBdr>
                                                                                                                                                                                        <w:top w:val="none" w:sz="0" w:space="0" w:color="auto"/>
                                                                                                                                                                                        <w:left w:val="none" w:sz="0" w:space="0" w:color="auto"/>
                                                                                                                                                                                        <w:bottom w:val="none" w:sz="0" w:space="0" w:color="auto"/>
                                                                                                                                                                                        <w:right w:val="none" w:sz="0" w:space="0" w:color="auto"/>
                                                                                                                                                                                      </w:divBdr>
                                                                                                                                                                                      <w:divsChild>
                                                                                                                                                                                        <w:div w:id="1871604985">
                                                                                                                                                                                          <w:marLeft w:val="0"/>
                                                                                                                                                                                          <w:marRight w:val="0"/>
                                                                                                                                                                                          <w:marTop w:val="0"/>
                                                                                                                                                                                          <w:marBottom w:val="0"/>
                                                                                                                                                                                          <w:divBdr>
                                                                                                                                                                                            <w:top w:val="none" w:sz="0" w:space="0" w:color="auto"/>
                                                                                                                                                                                            <w:left w:val="none" w:sz="0" w:space="0" w:color="auto"/>
                                                                                                                                                                                            <w:bottom w:val="none" w:sz="0" w:space="0" w:color="auto"/>
                                                                                                                                                                                            <w:right w:val="none" w:sz="0" w:space="0" w:color="auto"/>
                                                                                                                                                                                          </w:divBdr>
                                                                                                                                                                                          <w:divsChild>
                                                                                                                                                                                            <w:div w:id="306473090">
                                                                                                                                                                                              <w:marLeft w:val="0"/>
                                                                                                                                                                                              <w:marRight w:val="0"/>
                                                                                                                                                                                              <w:marTop w:val="0"/>
                                                                                                                                                                                              <w:marBottom w:val="0"/>
                                                                                                                                                                                              <w:divBdr>
                                                                                                                                                                                                <w:top w:val="none" w:sz="0" w:space="0" w:color="auto"/>
                                                                                                                                                                                                <w:left w:val="none" w:sz="0" w:space="0" w:color="auto"/>
                                                                                                                                                                                                <w:bottom w:val="none" w:sz="0" w:space="0" w:color="auto"/>
                                                                                                                                                                                                <w:right w:val="none" w:sz="0" w:space="0" w:color="auto"/>
                                                                                                                                                                                              </w:divBdr>
                                                                                                                                                                                              <w:divsChild>
                                                                                                                                                                                                <w:div w:id="1939672302">
                                                                                                                                                                                                  <w:marLeft w:val="0"/>
                                                                                                                                                                                                  <w:marRight w:val="0"/>
                                                                                                                                                                                                  <w:marTop w:val="0"/>
                                                                                                                                                                                                  <w:marBottom w:val="0"/>
                                                                                                                                                                                                  <w:divBdr>
                                                                                                                                                                                                    <w:top w:val="none" w:sz="0" w:space="0" w:color="auto"/>
                                                                                                                                                                                                    <w:left w:val="none" w:sz="0" w:space="0" w:color="auto"/>
                                                                                                                                                                                                    <w:bottom w:val="none" w:sz="0" w:space="0" w:color="auto"/>
                                                                                                                                                                                                    <w:right w:val="none" w:sz="0" w:space="0" w:color="auto"/>
                                                                                                                                                                                                  </w:divBdr>
                                                                                                                                                                                                  <w:divsChild>
                                                                                                                                                                                                    <w:div w:id="1513715970">
                                                                                                                                                                                                      <w:marLeft w:val="0"/>
                                                                                                                                                                                                      <w:marRight w:val="0"/>
                                                                                                                                                                                                      <w:marTop w:val="0"/>
                                                                                                                                                                                                      <w:marBottom w:val="0"/>
                                                                                                                                                                                                      <w:divBdr>
                                                                                                                                                                                                        <w:top w:val="none" w:sz="0" w:space="0" w:color="auto"/>
                                                                                                                                                                                                        <w:left w:val="none" w:sz="0" w:space="0" w:color="auto"/>
                                                                                                                                                                                                        <w:bottom w:val="none" w:sz="0" w:space="0" w:color="auto"/>
                                                                                                                                                                                                        <w:right w:val="none" w:sz="0" w:space="0" w:color="auto"/>
                                                                                                                                                                                                      </w:divBdr>
                                                                                                                                                                                                      <w:divsChild>
                                                                                                                                                                                                        <w:div w:id="976570824">
                                                                                                                                                                                                          <w:marLeft w:val="0"/>
                                                                                                                                                                                                          <w:marRight w:val="0"/>
                                                                                                                                                                                                          <w:marTop w:val="0"/>
                                                                                                                                                                                                          <w:marBottom w:val="0"/>
                                                                                                                                                                                                          <w:divBdr>
                                                                                                                                                                                                            <w:top w:val="none" w:sz="0" w:space="0" w:color="auto"/>
                                                                                                                                                                                                            <w:left w:val="none" w:sz="0" w:space="0" w:color="auto"/>
                                                                                                                                                                                                            <w:bottom w:val="none" w:sz="0" w:space="0" w:color="auto"/>
                                                                                                                                                                                                            <w:right w:val="none" w:sz="0" w:space="0" w:color="auto"/>
                                                                                                                                                                                                          </w:divBdr>
                                                                                                                                                                                                          <w:divsChild>
                                                                                                                                                                                                            <w:div w:id="1525553172">
                                                                                                                                                                                                              <w:marLeft w:val="0"/>
                                                                                                                                                                                                              <w:marRight w:val="0"/>
                                                                                                                                                                                                              <w:marTop w:val="0"/>
                                                                                                                                                                                                              <w:marBottom w:val="0"/>
                                                                                                                                                                                                              <w:divBdr>
                                                                                                                                                                                                                <w:top w:val="none" w:sz="0" w:space="0" w:color="auto"/>
                                                                                                                                                                                                                <w:left w:val="none" w:sz="0" w:space="0" w:color="auto"/>
                                                                                                                                                                                                                <w:bottom w:val="none" w:sz="0" w:space="0" w:color="auto"/>
                                                                                                                                                                                                                <w:right w:val="none" w:sz="0" w:space="0" w:color="auto"/>
                                                                                                                                                                                                              </w:divBdr>
                                                                                                                                                                                                              <w:divsChild>
                                                                                                                                                                                                                <w:div w:id="2115665620">
                                                                                                                                                                                                                  <w:marLeft w:val="0"/>
                                                                                                                                                                                                                  <w:marRight w:val="0"/>
                                                                                                                                                                                                                  <w:marTop w:val="0"/>
                                                                                                                                                                                                                  <w:marBottom w:val="0"/>
                                                                                                                                                                                                                  <w:divBdr>
                                                                                                                                                                                                                    <w:top w:val="none" w:sz="0" w:space="0" w:color="auto"/>
                                                                                                                                                                                                                    <w:left w:val="none" w:sz="0" w:space="0" w:color="auto"/>
                                                                                                                                                                                                                    <w:bottom w:val="none" w:sz="0" w:space="0" w:color="auto"/>
                                                                                                                                                                                                                    <w:right w:val="none" w:sz="0" w:space="0" w:color="auto"/>
                                                                                                                                                                                                                  </w:divBdr>
                                                                                                                                                                                                                  <w:divsChild>
                                                                                                                                                                                                                    <w:div w:id="1519806614">
                                                                                                                                                                                                                      <w:marLeft w:val="0"/>
                                                                                                                                                                                                                      <w:marRight w:val="0"/>
                                                                                                                                                                                                                      <w:marTop w:val="0"/>
                                                                                                                                                                                                                      <w:marBottom w:val="0"/>
                                                                                                                                                                                                                      <w:divBdr>
                                                                                                                                                                                                                        <w:top w:val="none" w:sz="0" w:space="0" w:color="auto"/>
                                                                                                                                                                                                                        <w:left w:val="none" w:sz="0" w:space="0" w:color="auto"/>
                                                                                                                                                                                                                        <w:bottom w:val="none" w:sz="0" w:space="0" w:color="auto"/>
                                                                                                                                                                                                                        <w:right w:val="none" w:sz="0" w:space="0" w:color="auto"/>
                                                                                                                                                                                                                      </w:divBdr>
                                                                                                                                                                                                                      <w:divsChild>
                                                                                                                                                                                                                        <w:div w:id="21439967">
                                                                                                                                                                                                                          <w:marLeft w:val="0"/>
                                                                                                                                                                                                                          <w:marRight w:val="0"/>
                                                                                                                                                                                                                          <w:marTop w:val="0"/>
                                                                                                                                                                                                                          <w:marBottom w:val="0"/>
                                                                                                                                                                                                                          <w:divBdr>
                                                                                                                                                                                                                            <w:top w:val="none" w:sz="0" w:space="0" w:color="auto"/>
                                                                                                                                                                                                                            <w:left w:val="none" w:sz="0" w:space="0" w:color="auto"/>
                                                                                                                                                                                                                            <w:bottom w:val="none" w:sz="0" w:space="0" w:color="auto"/>
                                                                                                                                                                                                                            <w:right w:val="none" w:sz="0" w:space="0" w:color="auto"/>
                                                                                                                                                                                                                          </w:divBdr>
                                                                                                                                                                                                                          <w:divsChild>
                                                                                                                                                                                                                            <w:div w:id="1351301218">
                                                                                                                                                                                                                              <w:marLeft w:val="0"/>
                                                                                                                                                                                                                              <w:marRight w:val="0"/>
                                                                                                                                                                                                                              <w:marTop w:val="0"/>
                                                                                                                                                                                                                              <w:marBottom w:val="0"/>
                                                                                                                                                                                                                              <w:divBdr>
                                                                                                                                                                                                                                <w:top w:val="none" w:sz="0" w:space="0" w:color="auto"/>
                                                                                                                                                                                                                                <w:left w:val="none" w:sz="0" w:space="0" w:color="auto"/>
                                                                                                                                                                                                                                <w:bottom w:val="none" w:sz="0" w:space="0" w:color="auto"/>
                                                                                                                                                                                                                                <w:right w:val="none" w:sz="0" w:space="0" w:color="auto"/>
                                                                                                                                                                                                                              </w:divBdr>
                                                                                                                                                                                                                              <w:divsChild>
                                                                                                                                                                                                                                <w:div w:id="1321693495">
                                                                                                                                                                                                                                  <w:marLeft w:val="0"/>
                                                                                                                                                                                                                                  <w:marRight w:val="0"/>
                                                                                                                                                                                                                                  <w:marTop w:val="0"/>
                                                                                                                                                                                                                                  <w:marBottom w:val="0"/>
                                                                                                                                                                                                                                  <w:divBdr>
                                                                                                                                                                                                                                    <w:top w:val="none" w:sz="0" w:space="0" w:color="auto"/>
                                                                                                                                                                                                                                    <w:left w:val="none" w:sz="0" w:space="0" w:color="auto"/>
                                                                                                                                                                                                                                    <w:bottom w:val="none" w:sz="0" w:space="0" w:color="auto"/>
                                                                                                                                                                                                                                    <w:right w:val="none" w:sz="0" w:space="0" w:color="auto"/>
                                                                                                                                                                                                                                  </w:divBdr>
                                                                                                                                                                                                                                  <w:divsChild>
                                                                                                                                                                                                                                    <w:div w:id="557210631">
                                                                                                                                                                                                                                      <w:marLeft w:val="0"/>
                                                                                                                                                                                                                                      <w:marRight w:val="0"/>
                                                                                                                                                                                                                                      <w:marTop w:val="0"/>
                                                                                                                                                                                                                                      <w:marBottom w:val="0"/>
                                                                                                                                                                                                                                      <w:divBdr>
                                                                                                                                                                                                                                        <w:top w:val="none" w:sz="0" w:space="0" w:color="auto"/>
                                                                                                                                                                                                                                        <w:left w:val="none" w:sz="0" w:space="0" w:color="auto"/>
                                                                                                                                                                                                                                        <w:bottom w:val="none" w:sz="0" w:space="0" w:color="auto"/>
                                                                                                                                                                                                                                        <w:right w:val="none" w:sz="0" w:space="0" w:color="auto"/>
                                                                                                                                                                                                                                      </w:divBdr>
                                                                                                                                                                                                                                      <w:divsChild>
                                                                                                                                                                                                                                        <w:div w:id="1865556370">
                                                                                                                                                                                                                                          <w:marLeft w:val="0"/>
                                                                                                                                                                                                                                          <w:marRight w:val="0"/>
                                                                                                                                                                                                                                          <w:marTop w:val="0"/>
                                                                                                                                                                                                                                          <w:marBottom w:val="0"/>
                                                                                                                                                                                                                                          <w:divBdr>
                                                                                                                                                                                                                                            <w:top w:val="none" w:sz="0" w:space="0" w:color="auto"/>
                                                                                                                                                                                                                                            <w:left w:val="none" w:sz="0" w:space="0" w:color="auto"/>
                                                                                                                                                                                                                                            <w:bottom w:val="none" w:sz="0" w:space="0" w:color="auto"/>
                                                                                                                                                                                                                                            <w:right w:val="none" w:sz="0" w:space="0" w:color="auto"/>
                                                                                                                                                                                                                                          </w:divBdr>
                                                                                                                                                                                                                                          <w:divsChild>
                                                                                                                                                                                                                                            <w:div w:id="545026974">
                                                                                                                                                                                                                                              <w:marLeft w:val="0"/>
                                                                                                                                                                                                                                              <w:marRight w:val="0"/>
                                                                                                                                                                                                                                              <w:marTop w:val="0"/>
                                                                                                                                                                                                                                              <w:marBottom w:val="0"/>
                                                                                                                                                                                                                                              <w:divBdr>
                                                                                                                                                                                                                                                <w:top w:val="none" w:sz="0" w:space="0" w:color="auto"/>
                                                                                                                                                                                                                                                <w:left w:val="none" w:sz="0" w:space="0" w:color="auto"/>
                                                                                                                                                                                                                                                <w:bottom w:val="none" w:sz="0" w:space="0" w:color="auto"/>
                                                                                                                                                                                                                                                <w:right w:val="none" w:sz="0" w:space="0" w:color="auto"/>
                                                                                                                                                                                                                                              </w:divBdr>
                                                                                                                                                                                                                                              <w:divsChild>
                                                                                                                                                                                                                                                <w:div w:id="1575966951">
                                                                                                                                                                                                                                                  <w:marLeft w:val="0"/>
                                                                                                                                                                                                                                                  <w:marRight w:val="0"/>
                                                                                                                                                                                                                                                  <w:marTop w:val="0"/>
                                                                                                                                                                                                                                                  <w:marBottom w:val="0"/>
                                                                                                                                                                                                                                                  <w:divBdr>
                                                                                                                                                                                                                                                    <w:top w:val="none" w:sz="0" w:space="0" w:color="auto"/>
                                                                                                                                                                                                                                                    <w:left w:val="none" w:sz="0" w:space="0" w:color="auto"/>
                                                                                                                                                                                                                                                    <w:bottom w:val="none" w:sz="0" w:space="0" w:color="auto"/>
                                                                                                                                                                                                                                                    <w:right w:val="none" w:sz="0" w:space="0" w:color="auto"/>
                                                                                                                                                                                                                                                  </w:divBdr>
                                                                                                                                                                                                                                                  <w:divsChild>
                                                                                                                                                                                                                                                    <w:div w:id="731851967">
                                                                                                                                                                                                                                                      <w:marLeft w:val="0"/>
                                                                                                                                                                                                                                                      <w:marRight w:val="0"/>
                                                                                                                                                                                                                                                      <w:marTop w:val="0"/>
                                                                                                                                                                                                                                                      <w:marBottom w:val="0"/>
                                                                                                                                                                                                                                                      <w:divBdr>
                                                                                                                                                                                                                                                        <w:top w:val="none" w:sz="0" w:space="0" w:color="auto"/>
                                                                                                                                                                                                                                                        <w:left w:val="none" w:sz="0" w:space="0" w:color="auto"/>
                                                                                                                                                                                                                                                        <w:bottom w:val="none" w:sz="0" w:space="0" w:color="auto"/>
                                                                                                                                                                                                                                                        <w:right w:val="none" w:sz="0" w:space="0" w:color="auto"/>
                                                                                                                                                                                                                                                      </w:divBdr>
                                                                                                                                                                                                                                                      <w:divsChild>
                                                                                                                                                                                                                                                        <w:div w:id="1024480449">
                                                                                                                                                                                                                                                          <w:marLeft w:val="0"/>
                                                                                                                                                                                                                                                          <w:marRight w:val="0"/>
                                                                                                                                                                                                                                                          <w:marTop w:val="0"/>
                                                                                                                                                                                                                                                          <w:marBottom w:val="0"/>
                                                                                                                                                                                                                                                          <w:divBdr>
                                                                                                                                                                                                                                                            <w:top w:val="none" w:sz="0" w:space="0" w:color="auto"/>
                                                                                                                                                                                                                                                            <w:left w:val="none" w:sz="0" w:space="0" w:color="auto"/>
                                                                                                                                                                                                                                                            <w:bottom w:val="none" w:sz="0" w:space="0" w:color="auto"/>
                                                                                                                                                                                                                                                            <w:right w:val="none" w:sz="0" w:space="0" w:color="auto"/>
                                                                                                                                                                                                                                                          </w:divBdr>
                                                                                                                                                                                                                                                          <w:divsChild>
                                                                                                                                                                                                                                                            <w:div w:id="612519765">
                                                                                                                                                                                                                                                              <w:marLeft w:val="0"/>
                                                                                                                                                                                                                                                              <w:marRight w:val="0"/>
                                                                                                                                                                                                                                                              <w:marTop w:val="0"/>
                                                                                                                                                                                                                                                              <w:marBottom w:val="0"/>
                                                                                                                                                                                                                                                              <w:divBdr>
                                                                                                                                                                                                                                                                <w:top w:val="none" w:sz="0" w:space="0" w:color="auto"/>
                                                                                                                                                                                                                                                                <w:left w:val="none" w:sz="0" w:space="0" w:color="auto"/>
                                                                                                                                                                                                                                                                <w:bottom w:val="none" w:sz="0" w:space="0" w:color="auto"/>
                                                                                                                                                                                                                                                                <w:right w:val="none" w:sz="0" w:space="0" w:color="auto"/>
                                                                                                                                                                                                                                                              </w:divBdr>
                                                                                                                                                                                                                                                              <w:divsChild>
                                                                                                                                                                                                                                                                <w:div w:id="1470513194">
                                                                                                                                                                                                                                                                  <w:marLeft w:val="0"/>
                                                                                                                                                                                                                                                                  <w:marRight w:val="0"/>
                                                                                                                                                                                                                                                                  <w:marTop w:val="0"/>
                                                                                                                                                                                                                                                                  <w:marBottom w:val="0"/>
                                                                                                                                                                                                                                                                  <w:divBdr>
                                                                                                                                                                                                                                                                    <w:top w:val="none" w:sz="0" w:space="0" w:color="auto"/>
                                                                                                                                                                                                                                                                    <w:left w:val="none" w:sz="0" w:space="0" w:color="auto"/>
                                                                                                                                                                                                                                                                    <w:bottom w:val="none" w:sz="0" w:space="0" w:color="auto"/>
                                                                                                                                                                                                                                                                    <w:right w:val="none" w:sz="0" w:space="0" w:color="auto"/>
                                                                                                                                                                                                                                                                  </w:divBdr>
                                                                                                                                                                                                                                                                  <w:divsChild>
                                                                                                                                                                                                                                                                    <w:div w:id="1357854111">
                                                                                                                                                                                                                                                                      <w:marLeft w:val="0"/>
                                                                                                                                                                                                                                                                      <w:marRight w:val="0"/>
                                                                                                                                                                                                                                                                      <w:marTop w:val="0"/>
                                                                                                                                                                                                                                                                      <w:marBottom w:val="0"/>
                                                                                                                                                                                                                                                                      <w:divBdr>
                                                                                                                                                                                                                                                                        <w:top w:val="none" w:sz="0" w:space="0" w:color="auto"/>
                                                                                                                                                                                                                                                                        <w:left w:val="none" w:sz="0" w:space="0" w:color="auto"/>
                                                                                                                                                                                                                                                                        <w:bottom w:val="none" w:sz="0" w:space="0" w:color="auto"/>
                                                                                                                                                                                                                                                                        <w:right w:val="none" w:sz="0" w:space="0" w:color="auto"/>
                                                                                                                                                                                                                                                                      </w:divBdr>
                                                                                                                                                                                                                                                                      <w:divsChild>
                                                                                                                                                                                                                                                                        <w:div w:id="267978804">
                                                                                                                                                                                                                                                                          <w:marLeft w:val="0"/>
                                                                                                                                                                                                                                                                          <w:marRight w:val="0"/>
                                                                                                                                                                                                                                                                          <w:marTop w:val="0"/>
                                                                                                                                                                                                                                                                          <w:marBottom w:val="0"/>
                                                                                                                                                                                                                                                                          <w:divBdr>
                                                                                                                                                                                                                                                                            <w:top w:val="none" w:sz="0" w:space="0" w:color="auto"/>
                                                                                                                                                                                                                                                                            <w:left w:val="none" w:sz="0" w:space="0" w:color="auto"/>
                                                                                                                                                                                                                                                                            <w:bottom w:val="none" w:sz="0" w:space="0" w:color="auto"/>
                                                                                                                                                                                                                                                                            <w:right w:val="none" w:sz="0" w:space="0" w:color="auto"/>
                                                                                                                                                                                                                                                                          </w:divBdr>
                                                                                                                                                                                                                                                                          <w:divsChild>
                                                                                                                                                                                                                                                                            <w:div w:id="930163572">
                                                                                                                                                                                                                                                                              <w:marLeft w:val="0"/>
                                                                                                                                                                                                                                                                              <w:marRight w:val="0"/>
                                                                                                                                                                                                                                                                              <w:marTop w:val="0"/>
                                                                                                                                                                                                                                                                              <w:marBottom w:val="0"/>
                                                                                                                                                                                                                                                                              <w:divBdr>
                                                                                                                                                                                                                                                                                <w:top w:val="none" w:sz="0" w:space="0" w:color="auto"/>
                                                                                                                                                                                                                                                                                <w:left w:val="none" w:sz="0" w:space="0" w:color="auto"/>
                                                                                                                                                                                                                                                                                <w:bottom w:val="none" w:sz="0" w:space="0" w:color="auto"/>
                                                                                                                                                                                                                                                                                <w:right w:val="none" w:sz="0" w:space="0" w:color="auto"/>
                                                                                                                                                                                                                                                                              </w:divBdr>
                                                                                                                                                                                                                                                                              <w:divsChild>
                                                                                                                                                                                                                                                                                <w:div w:id="17951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7181307">
      <w:bodyDiv w:val="1"/>
      <w:marLeft w:val="0"/>
      <w:marRight w:val="0"/>
      <w:marTop w:val="0"/>
      <w:marBottom w:val="0"/>
      <w:divBdr>
        <w:top w:val="none" w:sz="0" w:space="0" w:color="auto"/>
        <w:left w:val="none" w:sz="0" w:space="0" w:color="auto"/>
        <w:bottom w:val="none" w:sz="0" w:space="0" w:color="auto"/>
        <w:right w:val="none" w:sz="0" w:space="0" w:color="auto"/>
      </w:divBdr>
    </w:div>
    <w:div w:id="1150098172">
      <w:bodyDiv w:val="1"/>
      <w:marLeft w:val="0"/>
      <w:marRight w:val="0"/>
      <w:marTop w:val="0"/>
      <w:marBottom w:val="0"/>
      <w:divBdr>
        <w:top w:val="none" w:sz="0" w:space="0" w:color="auto"/>
        <w:left w:val="none" w:sz="0" w:space="0" w:color="auto"/>
        <w:bottom w:val="none" w:sz="0" w:space="0" w:color="auto"/>
        <w:right w:val="none" w:sz="0" w:space="0" w:color="auto"/>
      </w:divBdr>
      <w:divsChild>
        <w:div w:id="1491674538">
          <w:marLeft w:val="0"/>
          <w:marRight w:val="0"/>
          <w:marTop w:val="0"/>
          <w:marBottom w:val="0"/>
          <w:divBdr>
            <w:top w:val="none" w:sz="0" w:space="0" w:color="auto"/>
            <w:left w:val="none" w:sz="0" w:space="0" w:color="auto"/>
            <w:bottom w:val="none" w:sz="0" w:space="0" w:color="auto"/>
            <w:right w:val="none" w:sz="0" w:space="0" w:color="auto"/>
          </w:divBdr>
        </w:div>
        <w:div w:id="2043439825">
          <w:marLeft w:val="1080"/>
          <w:marRight w:val="0"/>
          <w:marTop w:val="0"/>
          <w:marBottom w:val="0"/>
          <w:divBdr>
            <w:top w:val="none" w:sz="0" w:space="0" w:color="auto"/>
            <w:left w:val="none" w:sz="0" w:space="0" w:color="auto"/>
            <w:bottom w:val="none" w:sz="0" w:space="0" w:color="auto"/>
            <w:right w:val="none" w:sz="0" w:space="0" w:color="auto"/>
          </w:divBdr>
        </w:div>
        <w:div w:id="1880891563">
          <w:marLeft w:val="1080"/>
          <w:marRight w:val="0"/>
          <w:marTop w:val="0"/>
          <w:marBottom w:val="0"/>
          <w:divBdr>
            <w:top w:val="none" w:sz="0" w:space="0" w:color="auto"/>
            <w:left w:val="none" w:sz="0" w:space="0" w:color="auto"/>
            <w:bottom w:val="none" w:sz="0" w:space="0" w:color="auto"/>
            <w:right w:val="none" w:sz="0" w:space="0" w:color="auto"/>
          </w:divBdr>
        </w:div>
        <w:div w:id="1194809095">
          <w:marLeft w:val="1080"/>
          <w:marRight w:val="0"/>
          <w:marTop w:val="0"/>
          <w:marBottom w:val="0"/>
          <w:divBdr>
            <w:top w:val="none" w:sz="0" w:space="0" w:color="auto"/>
            <w:left w:val="none" w:sz="0" w:space="0" w:color="auto"/>
            <w:bottom w:val="none" w:sz="0" w:space="0" w:color="auto"/>
            <w:right w:val="none" w:sz="0" w:space="0" w:color="auto"/>
          </w:divBdr>
        </w:div>
        <w:div w:id="1392971035">
          <w:marLeft w:val="1080"/>
          <w:marRight w:val="0"/>
          <w:marTop w:val="0"/>
          <w:marBottom w:val="0"/>
          <w:divBdr>
            <w:top w:val="none" w:sz="0" w:space="0" w:color="auto"/>
            <w:left w:val="none" w:sz="0" w:space="0" w:color="auto"/>
            <w:bottom w:val="none" w:sz="0" w:space="0" w:color="auto"/>
            <w:right w:val="none" w:sz="0" w:space="0" w:color="auto"/>
          </w:divBdr>
        </w:div>
      </w:divsChild>
    </w:div>
    <w:div w:id="118432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FC258-D0C1-43A5-97BC-A431A3583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19796</Words>
  <Characters>112842</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4</cp:revision>
  <dcterms:created xsi:type="dcterms:W3CDTF">2015-07-22T13:32:00Z</dcterms:created>
  <dcterms:modified xsi:type="dcterms:W3CDTF">2015-07-22T13:44:00Z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http://csl.mendeley.com/styles/4604571/british-ecological-society</vt:lpwstr>
  </property>
  <property fmtid="{D5CDD505-2E9C-101B-9397-08002B2CF9AE}" pid="8" name="Mendeley Recent Style Name 1_1">
    <vt:lpwstr>British Ecological Society - Philip Martin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http://csl.mendeley.com/styles/4604571/elsevier-harvard</vt:lpwstr>
  </property>
  <property fmtid="{D5CDD505-2E9C-101B-9397-08002B2CF9AE}" pid="12" name="Mendeley Recent Style Name 3_1">
    <vt:lpwstr>Elsevier Harvard (with titles) - Philip Martin</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