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Pr="004E3A00">
        <w:rPr>
          <w:rFonts w:ascii="Arial" w:eastAsia="Times New Roman" w:hAnsi="Arial" w:cs="Arial"/>
          <w:b/>
          <w:bCs/>
          <w:color w:val="000000"/>
          <w:lang w:eastAsia="en-GB"/>
        </w:rPr>
        <w:t>600</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forest dieback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 xml:space="preserve">Forests may be particularly vulnerable to rapid changes because they trees are long lived, immobile organism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780DF1" w:rsidRPr="004E3A00" w:rsidRDefault="00C94F83" w:rsidP="00F11B0B">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perturbations result in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 xml:space="preserve">. In the context of forests </w:t>
      </w:r>
      <w:r w:rsidR="002D258C" w:rsidRPr="004E3A00">
        <w:rPr>
          <w:rFonts w:ascii="Arial" w:eastAsia="Times New Roman" w:hAnsi="Arial" w:cs="Arial"/>
          <w:color w:val="000000"/>
          <w:lang w:eastAsia="en-GB"/>
        </w:rPr>
        <w:t xml:space="preserve">the most </w:t>
      </w:r>
      <w:r w:rsidR="004C5D56" w:rsidRPr="004E3A00">
        <w:rPr>
          <w:rFonts w:ascii="Arial" w:eastAsia="Times New Roman" w:hAnsi="Arial" w:cs="Arial"/>
          <w:color w:val="000000"/>
          <w:lang w:eastAsia="en-GB"/>
        </w:rPr>
        <w:t xml:space="preserve">relevant </w:t>
      </w:r>
      <w:r w:rsidR="002D258C" w:rsidRPr="004E3A00">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2D258C" w:rsidRPr="004E3A00">
        <w:rPr>
          <w:rFonts w:ascii="Arial" w:eastAsia="Times New Roman" w:hAnsi="Arial" w:cs="Arial"/>
          <w:color w:val="000000"/>
          <w:lang w:eastAsia="en-GB"/>
        </w:rPr>
        <w:t>are</w:t>
      </w:r>
      <w:r w:rsidR="004C5D56" w:rsidRPr="004E3A00">
        <w:rPr>
          <w:rFonts w:ascii="Arial" w:eastAsia="Times New Roman" w:hAnsi="Arial" w:cs="Arial"/>
          <w:color w:val="000000"/>
          <w:lang w:eastAsia="en-GB"/>
        </w:rPr>
        <w:t xml:space="preserve"> cutting of trees by humans, fire, drought or land-use change. Theory relating to ecosystem resilience suggests that these perturbations may interact either amongst each other or with other drivers resulting in positive feedbacks driving the system into a different state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However, despite their importance, these feedbacks can be difficult to detect because drivers may </w:t>
      </w:r>
      <w:r w:rsidR="00CB7AA1" w:rsidRPr="004E3A00">
        <w:rPr>
          <w:rFonts w:ascii="Arial" w:eastAsia="Times New Roman" w:hAnsi="Arial" w:cs="Arial"/>
          <w:color w:val="000000"/>
          <w:lang w:eastAsia="en-GB"/>
        </w:rPr>
        <w:t xml:space="preserve">operate </w:t>
      </w:r>
      <w:r w:rsidR="004C5D56" w:rsidRPr="004E3A00">
        <w:rPr>
          <w:rFonts w:ascii="Arial" w:eastAsia="Times New Roman" w:hAnsi="Arial" w:cs="Arial"/>
          <w:color w:val="000000"/>
          <w:lang w:eastAsia="en-GB"/>
        </w:rPr>
        <w:t xml:space="preserve">over </w:t>
      </w:r>
      <w:r w:rsidR="00CB7AA1" w:rsidRPr="004E3A00">
        <w:rPr>
          <w:rFonts w:ascii="Arial" w:eastAsia="Times New Roman" w:hAnsi="Arial" w:cs="Arial"/>
          <w:color w:val="000000"/>
          <w:lang w:eastAsia="en-GB"/>
        </w:rPr>
        <w:t>spatial and temporal scales</w:t>
      </w:r>
      <w:r w:rsidR="006F3166" w:rsidRPr="004E3A00">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that vary by many orders of magnitude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p>
    <w:p w:rsidR="00780DF1" w:rsidRPr="004E3A00" w:rsidRDefault="00780DF1" w:rsidP="00780DF1">
      <w:pPr>
        <w:spacing w:after="0" w:line="360" w:lineRule="auto"/>
        <w:ind w:firstLine="720"/>
        <w:contextualSpacing/>
        <w:textAlignment w:val="baseline"/>
        <w:rPr>
          <w:rFonts w:ascii="Arial" w:hAnsi="Arial" w:cs="Arial"/>
        </w:rPr>
      </w:pPr>
      <w:r w:rsidRPr="004E3A00">
        <w:rPr>
          <w:rFonts w:ascii="Arial" w:eastAsia="Times New Roman" w:hAnsi="Arial" w:cs="Arial"/>
          <w:color w:val="000000"/>
          <w:lang w:eastAsia="en-GB"/>
        </w:rPr>
        <w:t xml:space="preserve">From the perspective of forests, feedbacks of particular concern </w:t>
      </w:r>
      <w:r w:rsidR="004618A6" w:rsidRPr="004E3A00">
        <w:rPr>
          <w:rFonts w:ascii="Arial" w:eastAsia="Times New Roman" w:hAnsi="Arial" w:cs="Arial"/>
          <w:color w:val="000000"/>
          <w:lang w:eastAsia="en-GB"/>
        </w:rPr>
        <w:t xml:space="preserve">are </w:t>
      </w:r>
      <w:r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w:t>
      </w:r>
      <w:r w:rsidR="00BE09E1" w:rsidRPr="004E3A00">
        <w:rPr>
          <w:rFonts w:ascii="Arial" w:eastAsia="Times New Roman" w:hAnsi="Arial" w:cs="Arial"/>
          <w:color w:val="000000"/>
          <w:lang w:eastAsia="en-GB"/>
        </w:rPr>
        <w:t xml:space="preserve">it is thought that </w:t>
      </w:r>
      <w:r w:rsidR="00CB7AA1" w:rsidRPr="004E3A00">
        <w:rPr>
          <w:rFonts w:ascii="Arial" w:eastAsia="Times New Roman" w:hAnsi="Arial" w:cs="Arial"/>
          <w:color w:val="000000"/>
          <w:lang w:eastAsia="en-GB"/>
        </w:rPr>
        <w:t xml:space="preserve">logging and deforestation in tropical forests combined with drought and increased frequency of fires may lead to a shift to 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p>
    <w:p w:rsidR="007D4DA1" w:rsidRPr="004E3A00" w:rsidRDefault="002D258C" w:rsidP="00F11B0B">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w:t>
      </w:r>
      <w:r w:rsidR="00BE09E1" w:rsidRPr="004E3A00">
        <w:rPr>
          <w:rFonts w:ascii="Arial" w:eastAsia="Times New Roman" w:hAnsi="Arial" w:cs="Arial"/>
          <w:color w:val="000000"/>
          <w:lang w:eastAsia="en-GB"/>
        </w:rPr>
        <w:t xml:space="preserve">he feedbacks that </w:t>
      </w:r>
      <w:r w:rsidRPr="004E3A00">
        <w:rPr>
          <w:rFonts w:ascii="Arial" w:eastAsia="Times New Roman" w:hAnsi="Arial" w:cs="Arial"/>
          <w:color w:val="000000"/>
          <w:lang w:eastAsia="en-GB"/>
        </w:rPr>
        <w:t xml:space="preserve">promote forest transitions that </w:t>
      </w:r>
      <w:r w:rsidR="00BE09E1" w:rsidRPr="004E3A00">
        <w:rPr>
          <w:rFonts w:ascii="Arial" w:eastAsia="Times New Roman" w:hAnsi="Arial" w:cs="Arial"/>
          <w:color w:val="000000"/>
          <w:lang w:eastAsia="en-GB"/>
        </w:rPr>
        <w:t xml:space="preserve">have been characterised </w:t>
      </w:r>
      <w:r w:rsidRPr="004E3A00">
        <w:rPr>
          <w:rFonts w:ascii="Arial" w:eastAsia="Times New Roman" w:hAnsi="Arial" w:cs="Arial"/>
          <w:color w:val="000000"/>
          <w:lang w:eastAsia="en-GB"/>
        </w:rPr>
        <w:t xml:space="preserve">most effectively </w:t>
      </w:r>
      <w:r w:rsidR="00E177C4" w:rsidRPr="004E3A00">
        <w:rPr>
          <w:rFonts w:ascii="Arial" w:eastAsia="Times New Roman" w:hAnsi="Arial" w:cs="Arial"/>
          <w:color w:val="000000"/>
          <w:lang w:eastAsia="en-GB"/>
        </w:rPr>
        <w:t xml:space="preserve">are from regions where perturbations promote </w:t>
      </w:r>
      <w:r w:rsidR="00780DF1" w:rsidRPr="004E3A00">
        <w:rPr>
          <w:rFonts w:ascii="Arial" w:eastAsia="Times New Roman" w:hAnsi="Arial" w:cs="Arial"/>
          <w:color w:val="000000"/>
          <w:lang w:eastAsia="en-GB"/>
        </w:rPr>
        <w:t xml:space="preserve">increased </w:t>
      </w:r>
      <w:r w:rsidR="00E177C4" w:rsidRPr="004E3A00">
        <w:rPr>
          <w:rFonts w:ascii="Arial" w:eastAsia="Times New Roman" w:hAnsi="Arial" w:cs="Arial"/>
          <w:color w:val="000000"/>
          <w:lang w:eastAsia="en-GB"/>
        </w:rPr>
        <w:t xml:space="preserve">fire </w:t>
      </w:r>
      <w:r w:rsidR="00780DF1" w:rsidRPr="004E3A00">
        <w:rPr>
          <w:rFonts w:ascii="Arial" w:eastAsia="Times New Roman" w:hAnsi="Arial" w:cs="Arial"/>
          <w:color w:val="000000"/>
          <w:lang w:eastAsia="en-GB"/>
        </w:rPr>
        <w:t xml:space="preserve">frequency and severity </w:t>
      </w:r>
      <w:r w:rsidR="00E177C4" w:rsidRPr="004E3A00">
        <w:rPr>
          <w:rFonts w:ascii="Arial" w:eastAsia="Times New Roman" w:hAnsi="Arial" w:cs="Arial"/>
          <w:color w:val="000000"/>
          <w:lang w:eastAsia="en-GB"/>
        </w:rPr>
        <w:t>b</w:t>
      </w:r>
      <w:r w:rsidRPr="004E3A00">
        <w:rPr>
          <w:rFonts w:ascii="Arial" w:eastAsia="Times New Roman" w:hAnsi="Arial" w:cs="Arial"/>
          <w:color w:val="000000"/>
          <w:lang w:eastAsia="en-GB"/>
        </w:rPr>
        <w:t>ecause of climatic interactions.</w:t>
      </w:r>
      <w:r w:rsidR="00E177C4"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regions that do not exhibit </w:t>
      </w:r>
      <w:r w:rsidR="00780DF1" w:rsidRPr="004E3A00">
        <w:rPr>
          <w:rFonts w:ascii="Arial" w:eastAsia="Times New Roman" w:hAnsi="Arial" w:cs="Arial"/>
          <w:color w:val="000000"/>
          <w:lang w:eastAsia="en-GB"/>
        </w:rPr>
        <w:t>similar feedback mechanisms</w:t>
      </w:r>
      <w:r w:rsidR="00E177C4" w:rsidRPr="004E3A00">
        <w:rPr>
          <w:rFonts w:ascii="Arial" w:eastAsia="Times New Roman" w:hAnsi="Arial" w:cs="Arial"/>
          <w:color w:val="000000"/>
          <w:lang w:eastAsia="en-GB"/>
        </w:rPr>
        <w:t xml:space="preserve"> </w:t>
      </w:r>
      <w:r w:rsidR="00E177C4" w:rsidRPr="004E3A00">
        <w:rPr>
          <w:rFonts w:ascii="Arial" w:eastAsia="Times New Roman" w:hAnsi="Arial" w:cs="Arial"/>
          <w:color w:val="000000"/>
          <w:lang w:eastAsia="en-GB"/>
        </w:rPr>
        <w:fldChar w:fldCharType="begin" w:fldLock="1"/>
      </w:r>
      <w:r w:rsidR="008B2F2E" w:rsidRPr="004E3A00">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2015a)", "plainTextFormattedCitation" : "(Martin et al. 2015a)", "previouslyFormattedCitation" : "(Martin &lt;i&gt;et al.&lt;/i&gt; 2015a)"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(Martin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2015a)</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Given that tree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E177C4" w:rsidRPr="004E3A00">
        <w:rPr>
          <w:rFonts w:ascii="Arial" w:eastAsia="Times New Roman" w:hAnsi="Arial" w:cs="Arial"/>
          <w:color w:val="000000"/>
          <w:lang w:eastAsia="en-GB"/>
        </w:rPr>
        <w:t>investigation of feedbacks that may drive these systems into non-forest states is needed</w:t>
      </w:r>
      <w:r w:rsidR="00602857" w:rsidRPr="004E3A00">
        <w:rPr>
          <w:rFonts w:ascii="Arial" w:eastAsia="Times New Roman" w:hAnsi="Arial" w:cs="Arial"/>
          <w:color w:val="000000"/>
          <w:lang w:eastAsia="en-GB"/>
        </w:rPr>
        <w:t xml:space="preserve"> to aid risk assessment</w:t>
      </w:r>
      <w:r w:rsidR="00E177C4" w:rsidRPr="004E3A00">
        <w:rPr>
          <w:rFonts w:ascii="Arial" w:eastAsia="Times New Roman" w:hAnsi="Arial" w:cs="Arial"/>
          <w:color w:val="000000"/>
          <w:lang w:eastAsia="en-GB"/>
        </w:rPr>
        <w:t>.</w:t>
      </w:r>
    </w:p>
    <w:p w:rsidR="00602857" w:rsidRPr="004E3A00" w:rsidRDefault="00E177C4" w:rsidP="00F11B0B">
      <w:pPr>
        <w:spacing w:after="0" w:line="360" w:lineRule="auto"/>
        <w:ind w:firstLine="720"/>
        <w:contextualSpacing/>
        <w:rPr>
          <w:rFonts w:ascii="Arial" w:hAnsi="Arial" w:cs="Arial"/>
        </w:rPr>
      </w:pPr>
      <w:r w:rsidRPr="004E3A00">
        <w:rPr>
          <w:rFonts w:ascii="Arial" w:hAnsi="Arial" w:cs="Arial"/>
        </w:rPr>
        <w:lastRenderedPageBreak/>
        <w:t xml:space="preserve">Here we use a long-term data set, collected in a temperate forest ecosystem that has undergone partial stand dieback in recent decades. At this site in southern England, monitoring data have been collected repeatedly over a period of 50 years from 1964-2014 </w:t>
      </w:r>
      <w:r w:rsidRPr="004E3A00">
        <w:rPr>
          <w:rFonts w:ascii="Arial" w:hAnsi="Arial" w:cs="Arial"/>
        </w:rPr>
        <w:fldChar w:fldCharType="begin" w:fldLock="1"/>
      </w:r>
      <w:r w:rsidR="008B2F2E" w:rsidRPr="004E3A00">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"title" : "Stand dieback and collapse in a temperate forest and its impact on forest structure and biodiversity", "type" : "article-journal" }, "uris" : [ "http://www.mendeley.com/documents/?uuid=4d0132e6-102f-4c9e-a936-8b81dbcd7607" ] } ], "mendeley" : { "formattedCitation" : "(Mountford &lt;i&gt;et al.&lt;/i&gt; 1999; Mountford &amp; Peterken 2003; Martin &lt;i&gt;et al.&lt;/i&gt; 2015a)", "plainTextFormattedCitation" : "(Mountford et al. 1999; Mountford &amp; Peterken 2003; Martin et al. 2015a)", "previouslyFormattedCitation" : "(Mountford &lt;i&gt;et al.&lt;/i&gt; 1999; Mountford &amp; Peterken 2003; Martin &lt;i&gt;et al.&lt;/i&gt; 2015a)" }, "properties" : { "noteIndex" : 0 }, "schema" : "https://github.com/citation-style-language/schema/raw/master/csl-citation.json" }</w:instrText>
      </w:r>
      <w:r w:rsidRPr="004E3A00">
        <w:rPr>
          <w:rFonts w:ascii="Arial" w:hAnsi="Arial" w:cs="Arial"/>
        </w:rPr>
        <w:fldChar w:fldCharType="separate"/>
      </w:r>
      <w:r w:rsidR="00BA763D" w:rsidRPr="004E3A00">
        <w:rPr>
          <w:rFonts w:ascii="Arial" w:hAnsi="Arial" w:cs="Arial"/>
          <w:noProof/>
        </w:rPr>
        <w:t xml:space="preserve">(Mountford </w:t>
      </w:r>
      <w:r w:rsidR="00BA763D" w:rsidRPr="004E3A00">
        <w:rPr>
          <w:rFonts w:ascii="Arial" w:hAnsi="Arial" w:cs="Arial"/>
          <w:i/>
          <w:noProof/>
        </w:rPr>
        <w:t>et al.</w:t>
      </w:r>
      <w:r w:rsidR="00BA763D" w:rsidRPr="004E3A00">
        <w:rPr>
          <w:rFonts w:ascii="Arial" w:hAnsi="Arial" w:cs="Arial"/>
          <w:noProof/>
        </w:rPr>
        <w:t xml:space="preserve"> 1999; Mountford &amp; Peterken 2003; Martin </w:t>
      </w:r>
      <w:r w:rsidR="00BA763D" w:rsidRPr="004E3A00">
        <w:rPr>
          <w:rFonts w:ascii="Arial" w:hAnsi="Arial" w:cs="Arial"/>
          <w:i/>
          <w:noProof/>
        </w:rPr>
        <w:t>et al.</w:t>
      </w:r>
      <w:r w:rsidR="00BA763D" w:rsidRPr="004E3A00">
        <w:rPr>
          <w:rFonts w:ascii="Arial" w:hAnsi="Arial" w:cs="Arial"/>
          <w:noProof/>
        </w:rPr>
        <w:t xml:space="preserve"> 2015a)</w:t>
      </w:r>
      <w:r w:rsidRPr="004E3A00">
        <w:rPr>
          <w:rFonts w:ascii="Arial" w:hAnsi="Arial" w:cs="Arial"/>
        </w:rPr>
        <w:fldChar w:fldCharType="end"/>
      </w:r>
      <w:r w:rsidRPr="004E3A00">
        <w:rPr>
          <w:rFonts w:ascii="Arial" w:hAnsi="Arial" w:cs="Arial"/>
        </w:rPr>
        <w:t>.</w:t>
      </w:r>
      <w:r w:rsidR="00602857" w:rsidRPr="004E3A00">
        <w:rPr>
          <w:rFonts w:ascii="Arial" w:hAnsi="Arial" w:cs="Arial"/>
        </w:rPr>
        <w:t xml:space="preserve"> Using statistical models we investigate correlates of tree mortality and recruitment, both of which include potential feedback mechanisms. We then use results from these models and information from the literature to produce an individual based model to test the effects of identified feedbacks on forest structure. Specifically, using these methods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8B2F2E" w:rsidRPr="004E3A00">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"(2015a)", "plainTextFormattedCitation" : "(2015a)", "previouslyFormattedCitation" : "(2015a)"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(2015a)</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8B2F2E" w:rsidRPr="004E3A00">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"(2015a)", "plainTextFormattedCitation" : "(2015a)", "previouslyFormattedCitation" : "(2015a)"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(2015a)</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w:t>
      </w:r>
      <w:r w:rsidRPr="004E3A00">
        <w:rPr>
          <w:rFonts w:ascii="Arial" w:eastAsia="Times New Roman" w:hAnsi="Arial" w:cs="Arial"/>
          <w:color w:val="000000"/>
          <w:lang w:eastAsia="en-GB"/>
        </w:rPr>
        <w:lastRenderedPageBreak/>
        <w:t xml:space="preserve">and their status assessed as either alive or dead. Each stem &gt;1.3m height was given a unique ID number to allow individual trees to be tracked. Stems &lt;10 cm DBH were classified as saplings and those &gt;10 cm DBH as mature. </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with subplot </w:t>
      </w:r>
      <w:r w:rsidRPr="004E3A00">
        <w:rPr>
          <w:rFonts w:ascii="Arial" w:eastAsia="Times New Roman" w:hAnsi="Arial" w:cs="Arial"/>
          <w:color w:val="000000"/>
          <w:lang w:eastAsia="en-GB"/>
        </w:rPr>
        <w:lastRenderedPageBreak/>
        <w:t>number as a random effect to relate stem density to basal area. A negative slope suggests a gain in BA with a loss of stem density while a positive slope suggests a gain in BA with increasing stem density.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During data processing tree status (alive or</w:t>
      </w:r>
      <w:r w:rsidR="008513D6" w:rsidRPr="004E3A00">
        <w:rPr>
          <w:rFonts w:ascii="Arial" w:eastAsia="Times New Roman" w:hAnsi="Arial" w:cs="Arial"/>
          <w:color w:val="000000"/>
          <w:lang w:eastAsia="en-GB"/>
        </w:rPr>
        <w:t xml:space="preserve"> dead) was coded at census time</w:t>
      </w:r>
      <w:r w:rsidRPr="004E3A00">
        <w:rPr>
          <w:rFonts w:ascii="Arial" w:eastAsia="Times New Roman" w:hAnsi="Arial" w:cs="Arial"/>
          <w:color w:val="000000"/>
          <w:lang w:eastAsia="en-GB"/>
        </w:rPr>
        <w:t>. Only trees with diameter measurements</w:t>
      </w:r>
      <w:r w:rsidR="008513D6" w:rsidRPr="004E3A00">
        <w:rPr>
          <w:rFonts w:ascii="Arial" w:eastAsia="Times New Roman" w:hAnsi="Arial" w:cs="Arial"/>
          <w:color w:val="000000"/>
          <w:lang w:eastAsia="en-GB"/>
        </w:rPr>
        <w:t xml:space="preserve"> at both and prior to time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at both and prior to time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 tree size – DBH (cm), Basal area (m</w:t>
      </w:r>
      <w:r w:rsidRPr="004E3A00">
        <w:rPr>
          <w:rFonts w:ascii="Arial" w:eastAsia="Times New Roman" w:hAnsi="Arial" w:cs="Arial"/>
          <w:color w:val="000000"/>
          <w:sz w:val="13"/>
          <w:szCs w:val="13"/>
          <w:vertAlign w:val="superscript"/>
          <w:lang w:eastAsia="en-GB"/>
        </w:rPr>
        <w:t>2</w:t>
      </w:r>
      <w:r w:rsidRPr="004E3A00">
        <w:rPr>
          <w:rFonts w:ascii="Arial" w:eastAsia="Times New Roman" w:hAnsi="Arial" w:cs="Arial"/>
          <w:color w:val="000000"/>
          <w:lang w:eastAsia="en-GB"/>
        </w:rPr>
        <w:t>), and tree size relative to other trees in the transect (bounded between 0 and 1)</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tree growth - Annual diameter growth rate (mm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basal area growth rate (mm</w:t>
      </w:r>
      <w:r w:rsidRPr="004E3A00">
        <w:rPr>
          <w:rFonts w:ascii="Arial" w:eastAsia="Times New Roman" w:hAnsi="Arial" w:cs="Arial"/>
          <w:color w:val="000000"/>
          <w:sz w:val="13"/>
          <w:szCs w:val="13"/>
          <w:vertAlign w:val="superscript"/>
          <w:lang w:eastAsia="en-GB"/>
        </w:rPr>
        <w:t xml:space="preserve">2 </w:t>
      </w:r>
      <w:r w:rsidRPr="004E3A00">
        <w:rPr>
          <w:rFonts w:ascii="Arial" w:eastAsia="Times New Roman" w:hAnsi="Arial" w:cs="Arial"/>
          <w:color w:val="000000"/>
          <w:lang w:eastAsia="en-GB"/>
        </w:rPr>
        <w:t>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relative DBH growth rate (% DBH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and relative BA growth rate (% BA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proximity to dead trees - distance of an individual tree to a dead tree and abundance of dead trees in a 10m buffer</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"id" : "ITEM-2",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"ITEM-2", "issue" : "2", "issued" : { "date-parts" : [ [ "2008" ] ] }, "page" : "281-292", "title" : "Growth and wood density predict tree mortality in Amazon forests", "type" : "article-journal", "volume" : "96" }, "uris" : [ "http://www.mendeley.com/documents/?uuid=665e8c58-bfd5-4791-a7a7-0718ec88c9db" ] } ], "mendeley" : { "formattedCitation" : "(Burnham &amp; Anderson 2002; Chao &lt;i&gt;et al.&lt;/i&gt; 2008a)", "plainTextFormattedCitation" : "(Burnham &amp; Anderson 2002; Chao et al. 2008a)", "previouslyFormattedCitation" : "(Burnham &amp; Anderson 2002; Chao &lt;i&gt;et al.&lt;/i&gt; 2008a)"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(Burnham &amp; Anderson 2002; Chao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2008a)</w:t>
      </w:r>
      <w:r w:rsidR="00C049AF"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2008b)", "plainTextFormattedCitation" : "(Chao et al. 2008b)", "previouslyFormattedCitation" : "(Chao &lt;i&gt;et al.&lt;/i&gt; 2008b)"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(Chao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2008b)</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1"/>
      <w:r w:rsidRPr="004E3A00">
        <w:rPr>
          <w:rFonts w:ascii="Arial" w:hAnsi="Arial" w:cs="Arial"/>
          <w:b/>
        </w:rPr>
        <w:t xml:space="preserve">Individual based model </w:t>
      </w:r>
      <w:commentRangeEnd w:id="1"/>
      <w:r w:rsidR="004166E0" w:rsidRPr="004E3A00">
        <w:rPr>
          <w:rStyle w:val="CommentReference"/>
        </w:rPr>
        <w:commentReference w:id="1"/>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174EF6" w:rsidRPr="004E3A00">
        <w:rPr>
          <w:rFonts w:ascii="Arial" w:hAnsi="Arial" w:cs="Arial"/>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area, and mortality of the species has caused the majority of BA loss from 1964-2014 </w:t>
      </w:r>
      <w:r w:rsidR="003348F5" w:rsidRPr="004E3A00">
        <w:rPr>
          <w:rFonts w:ascii="Arial" w:hAnsi="Arial" w:cs="Arial"/>
        </w:rPr>
        <w:fldChar w:fldCharType="begin" w:fldLock="1"/>
      </w:r>
      <w:r w:rsidR="008B2F2E" w:rsidRPr="004E3A00">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2015a)", "plainTextFormattedCitation" : "(Martin et al. 2015a)", "previouslyFormattedCitation" : "(Martin &lt;i&gt;et al.&lt;/i&gt; 2015a)" }, "properties" : { "noteIndex" : 0 }, "schema" : "https://github.com/citation-style-language/schema/raw/master/csl-citation.json" }</w:instrText>
      </w:r>
      <w:r w:rsidR="003348F5" w:rsidRPr="004E3A00">
        <w:rPr>
          <w:rFonts w:ascii="Arial" w:hAnsi="Arial" w:cs="Arial"/>
        </w:rPr>
        <w:fldChar w:fldCharType="separate"/>
      </w:r>
      <w:r w:rsidR="00BA763D" w:rsidRPr="004E3A00">
        <w:rPr>
          <w:rFonts w:ascii="Arial" w:hAnsi="Arial" w:cs="Arial"/>
          <w:noProof/>
        </w:rPr>
        <w:t xml:space="preserve">(Martin </w:t>
      </w:r>
      <w:r w:rsidR="00BA763D" w:rsidRPr="004E3A00">
        <w:rPr>
          <w:rFonts w:ascii="Arial" w:hAnsi="Arial" w:cs="Arial"/>
          <w:i/>
          <w:noProof/>
        </w:rPr>
        <w:t>et al.</w:t>
      </w:r>
      <w:r w:rsidR="00BA763D" w:rsidRPr="004E3A00">
        <w:rPr>
          <w:rFonts w:ascii="Arial" w:hAnsi="Arial" w:cs="Arial"/>
          <w:noProof/>
        </w:rPr>
        <w:t xml:space="preserve"> 2015a)</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D05602" w:rsidRPr="004E3A00">
        <w:rPr>
          <w:rFonts w:ascii="Arial" w:hAnsi="Arial" w:cs="Arial"/>
        </w:rPr>
        <w:t>), local basal area and stem density of mature trees</w:t>
      </w:r>
      <w:r w:rsidR="0009127F" w:rsidRPr="004E3A00">
        <w:rPr>
          <w:rFonts w:ascii="Arial" w:hAnsi="Arial" w:cs="Arial"/>
        </w:rPr>
        <w:t xml:space="preserve"> (within a circles with an area of 400 m</w:t>
      </w:r>
      <w:r w:rsidR="0009127F" w:rsidRPr="004E3A00">
        <w:rPr>
          <w:rFonts w:ascii="Arial" w:hAnsi="Arial" w:cs="Arial"/>
          <w:vertAlign w:val="superscript"/>
        </w:rPr>
        <w:t>2</w:t>
      </w:r>
      <w:r w:rsidR="0009127F" w:rsidRPr="004E3A00">
        <w:rPr>
          <w:rFonts w:ascii="Arial" w:hAnsi="Arial" w:cs="Arial"/>
        </w:rPr>
        <w:t>, the size of plots we used for surveys)</w:t>
      </w:r>
      <w:r w:rsidR="00D05602" w:rsidRPr="004E3A00">
        <w:rPr>
          <w:rFonts w:ascii="Arial" w:hAnsi="Arial" w:cs="Arial"/>
        </w:rPr>
        <w:t xml:space="preserve">, and distance to nearest dead tree (m) </w:t>
      </w:r>
      <w:r w:rsidRPr="004E3A00">
        <w:rPr>
          <w:rFonts w:ascii="Arial" w:hAnsi="Arial" w:cs="Arial"/>
        </w:rPr>
        <w:t xml:space="preserve">. DBH of mature trees and </w:t>
      </w:r>
      <w:r w:rsidR="00D05602" w:rsidRPr="004E3A00">
        <w:rPr>
          <w:rFonts w:ascii="Arial" w:hAnsi="Arial" w:cs="Arial"/>
        </w:rPr>
        <w:t xml:space="preserve">juveniles </w:t>
      </w:r>
      <w:r w:rsidRPr="004E3A00">
        <w:rPr>
          <w:rFonts w:ascii="Arial" w:hAnsi="Arial" w:cs="Arial"/>
        </w:rPr>
        <w:t xml:space="preserve">is derived from the age of trees using an equation for beech growth defined in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Holzwarth </w:t>
      </w:r>
      <w:r w:rsidRPr="004E3A00">
        <w:rPr>
          <w:rFonts w:ascii="Arial" w:hAnsi="Arial" w:cs="Arial"/>
          <w:i/>
          <w:noProof/>
        </w:rPr>
        <w:t>et al.</w:t>
      </w:r>
      <w:r w:rsidRPr="004E3A00">
        <w:rPr>
          <w:rFonts w:ascii="Arial" w:hAnsi="Arial" w:cs="Arial"/>
          <w:noProof/>
        </w:rPr>
        <w:t xml:space="preserve"> (2013)</w:t>
      </w:r>
      <w:r w:rsidRPr="004E3A00">
        <w:rPr>
          <w:rFonts w:ascii="Arial" w:hAnsi="Arial" w:cs="Arial"/>
        </w:rPr>
        <w:fldChar w:fldCharType="end"/>
      </w:r>
      <w:r w:rsidRPr="004E3A00">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Local basal area and stem density represent the total BA and stem density within a circle with an area of 400 m</w:t>
      </w:r>
      <w:r w:rsidR="00D05602" w:rsidRPr="004E3A00">
        <w:rPr>
          <w:rFonts w:ascii="Arial" w:hAnsi="Arial" w:cs="Arial"/>
          <w:vertAlign w:val="superscript"/>
        </w:rPr>
        <w:t>2</w:t>
      </w:r>
      <w:r w:rsidR="00D05602" w:rsidRPr="004E3A00">
        <w:rPr>
          <w:rFonts w:ascii="Arial" w:hAnsi="Arial" w:cs="Arial"/>
        </w:rPr>
        <w:t xml:space="preserve"> – equivalent to the plot size used in data collection. Dispersal distance is a random number drawn from an exponential distribution with a mean of 5 m.</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D05602" w:rsidRPr="004E3A00">
        <w:rPr>
          <w:rFonts w:ascii="Arial" w:hAnsi="Arial" w:cs="Arial"/>
        </w:rPr>
        <w:t xml:space="preserve">Each grid cell is characterised by its location, whether a tree has died in that patch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Each grid cell can only contain one mature individual, but may contain multiple juveniles. The model landscape consists of 100 x 100 grid cells, with each cell representing 1 m</w:t>
      </w:r>
      <w:r w:rsidRPr="004E3A00">
        <w:rPr>
          <w:rFonts w:ascii="Arial" w:hAnsi="Arial" w:cs="Arial"/>
          <w:vertAlign w:val="superscript"/>
        </w:rPr>
        <w:t>2</w:t>
      </w:r>
      <w:r w:rsidRPr="004E3A00">
        <w:rPr>
          <w:rFonts w:ascii="Arial" w:hAnsi="Arial" w:cs="Arial"/>
        </w:rPr>
        <w:t>, thus the entire area represents 1 ha. Each model time step represents one year.</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lastRenderedPageBreak/>
        <w:t xml:space="preserve">Initially the distribution of individuals is determined by randomly distributing </w:t>
      </w:r>
      <w:r w:rsidR="008B0D23" w:rsidRPr="004E3A00">
        <w:rPr>
          <w:rFonts w:ascii="Arial" w:hAnsi="Arial" w:cs="Arial"/>
        </w:rPr>
        <w:t>280</w:t>
      </w:r>
      <w:r w:rsidRPr="004E3A00">
        <w:rPr>
          <w:rFonts w:ascii="Arial" w:hAnsi="Arial" w:cs="Arial"/>
        </w:rPr>
        <w:t xml:space="preserve"> mature individuals with a random age drawn from an exponential distribution with a mean of </w:t>
      </w:r>
      <w:r w:rsidR="008B0D23" w:rsidRPr="004E3A00">
        <w:rPr>
          <w:rFonts w:ascii="Arial" w:hAnsi="Arial" w:cs="Arial"/>
        </w:rPr>
        <w:t>80</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At the same time 1</w:t>
      </w:r>
      <w:r w:rsidR="008B0D23" w:rsidRPr="004E3A00">
        <w:rPr>
          <w:rFonts w:ascii="Arial" w:hAnsi="Arial" w:cs="Arial"/>
        </w:rPr>
        <w:t>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 Then in each time step the following events are processed in the given order: increase age of individuals by one </w:t>
      </w:r>
      <w:proofErr w:type="gramStart"/>
      <w:r w:rsidRPr="004E3A00">
        <w:rPr>
          <w:rFonts w:ascii="Arial" w:hAnsi="Arial" w:cs="Arial"/>
        </w:rPr>
        <w:t>year</w:t>
      </w:r>
      <w:r w:rsidR="009B692C" w:rsidRPr="004E3A00">
        <w:rPr>
          <w:rFonts w:ascii="Arial" w:hAnsi="Arial" w:cs="Arial"/>
        </w:rPr>
        <w:t>,</w:t>
      </w:r>
      <w:proofErr w:type="gramEnd"/>
      <w:r w:rsidR="009B692C" w:rsidRPr="004E3A00">
        <w:rPr>
          <w:rFonts w:ascii="Arial" w:hAnsi="Arial" w:cs="Arial"/>
        </w:rPr>
        <w:t xml:space="preserve"> increase individual DBH &amp; BA</w:t>
      </w:r>
      <w:r w:rsidRPr="004E3A00">
        <w:rPr>
          <w:rFonts w:ascii="Arial" w:hAnsi="Arial" w:cs="Arial"/>
        </w:rPr>
        <w:t xml:space="preserve">, </w:t>
      </w:r>
      <w:r w:rsidR="009B692C" w:rsidRPr="004E3A00">
        <w:rPr>
          <w:rFonts w:ascii="Arial" w:hAnsi="Arial" w:cs="Arial"/>
        </w:rPr>
        <w:t xml:space="preserve">identification of whether the time step represents a mast year, </w:t>
      </w:r>
      <w:r w:rsidRPr="004E3A00">
        <w:rPr>
          <w:rFonts w:ascii="Arial" w:hAnsi="Arial" w:cs="Arial"/>
        </w:rPr>
        <w:t>seed</w:t>
      </w:r>
      <w:r w:rsidR="003348F5" w:rsidRPr="004E3A00">
        <w:rPr>
          <w:rFonts w:ascii="Arial" w:hAnsi="Arial" w:cs="Arial"/>
        </w:rPr>
        <w:t xml:space="preserve"> dispersal from mature trees &gt; 4</w:t>
      </w:r>
      <w:r w:rsidRPr="004E3A00">
        <w:rPr>
          <w:rFonts w:ascii="Arial" w:hAnsi="Arial" w:cs="Arial"/>
        </w:rPr>
        <w:t>0 years old</w:t>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commentRangeStart w:id="2"/>
      <w:r w:rsidRPr="004E3A00">
        <w:rPr>
          <w:rFonts w:ascii="Arial" w:hAnsi="Arial" w:cs="Arial"/>
        </w:rPr>
        <w:t xml:space="preserve">his is modelled by defining a maximum number of </w:t>
      </w:r>
      <w:r w:rsidR="009B692C" w:rsidRPr="004E3A00">
        <w:rPr>
          <w:rFonts w:ascii="Arial" w:hAnsi="Arial" w:cs="Arial"/>
        </w:rPr>
        <w:t>juveniles that can coexist in the area as 1000</w:t>
      </w:r>
      <w:commentRangeEnd w:id="2"/>
      <w:r w:rsidR="00A33D3E" w:rsidRPr="004E3A00">
        <w:rPr>
          <w:rStyle w:val="CommentReference"/>
        </w:rPr>
        <w:commentReference w:id="2"/>
      </w:r>
      <w:r w:rsidR="00A33D3E" w:rsidRPr="004E3A00">
        <w:rPr>
          <w:rFonts w:ascii="Arial" w:hAnsi="Arial" w:cs="Arial"/>
        </w:rPr>
        <w:t>, and a maximum number of juveniles per cell as 100</w:t>
      </w:r>
      <w:r w:rsidRPr="004E3A00">
        <w:rPr>
          <w:rFonts w:ascii="Arial" w:hAnsi="Arial" w:cs="Arial"/>
        </w:rPr>
        <w:t>.</w:t>
      </w:r>
      <w:r w:rsidR="00A33D3E" w:rsidRPr="004E3A00">
        <w:rPr>
          <w:rFonts w:ascii="Arial" w:hAnsi="Arial" w:cs="Arial"/>
        </w:rPr>
        <w:t xml:space="preserve"> When these numbers are exceeded the smallest juveniles are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r w:rsidR="008C51BD" w:rsidRPr="004E3A00">
        <w:rPr>
          <w:rFonts w:ascii="Arial" w:hAnsi="Arial" w:cs="Arial"/>
        </w:rPr>
        <w:t xml:space="preserve"> </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have a 0.02 annual chance of survival</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8513D6" w:rsidRPr="004E3A00">
        <w:rPr>
          <w:rFonts w:ascii="Arial" w:hAnsi="Arial" w:cs="Arial"/>
        </w:rPr>
        <w:t xml:space="preserve"> </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 xml:space="preserve">test the model we first initiated the model so that forest structure was similar to that seen in 1964. We then ran different scenarios with and without differential juvenile mortality and spatial mortality feedbacks and compared the change in BA and forest structure after 50 time steps to those we observed in 2014. Following this we ran the models using the same parameterisation for a further 100 years to investigate possible future </w:t>
      </w:r>
      <w:r w:rsidR="003D61E5" w:rsidRPr="004E3A00">
        <w:rPr>
          <w:rFonts w:ascii="Arial" w:hAnsi="Arial" w:cs="Arial"/>
        </w:rPr>
        <w:lastRenderedPageBreak/>
        <w:t>changes in BA and tree cover under the different scenarios. Each model run had 100 iterations and median values were used to summarise model results.</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4E3A00" w:rsidRDefault="00A87DA1" w:rsidP="00A87DA1">
      <w:pPr>
        <w:spacing w:line="360" w:lineRule="auto"/>
        <w:contextualSpacing/>
        <w:rPr>
          <w:rFonts w:ascii="Arial" w:hAnsi="Arial" w:cs="Arial"/>
          <w:b/>
        </w:rPr>
      </w:pPr>
      <w:r w:rsidRPr="004E3A00">
        <w:rPr>
          <w:rFonts w:ascii="Arial" w:hAnsi="Arial" w:cs="Arial"/>
          <w:b/>
        </w:rPr>
        <w:t>Tree recruitment</w:t>
      </w:r>
    </w:p>
    <w:p w:rsidR="00A87DA1" w:rsidRPr="004E3A00" w:rsidRDefault="00A87DA1" w:rsidP="00A87DA1">
      <w:pPr>
        <w:spacing w:line="360" w:lineRule="auto"/>
        <w:contextualSpacing/>
        <w:rPr>
          <w:rFonts w:ascii="Arial" w:hAnsi="Arial" w:cs="Arial"/>
        </w:rPr>
      </w:pPr>
    </w:p>
    <w:p w:rsidR="00A87DA1" w:rsidRPr="004E3A00" w:rsidRDefault="00A87DA1"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A87DA1" w:rsidRPr="004E3A00" w:rsidRDefault="00A87DA1" w:rsidP="00A87DA1">
      <w:pPr>
        <w:spacing w:line="360" w:lineRule="auto"/>
        <w:ind w:firstLine="360"/>
        <w:contextualSpacing/>
        <w:rPr>
          <w:rFonts w:ascii="Arial" w:hAnsi="Arial" w:cs="Arial"/>
        </w:rPr>
      </w:pPr>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 xml:space="preserve">a). Next most important was tree DBH with an importance value of 0.8, and models suggested that tree size was positively correlated with probability of </w:t>
      </w:r>
      <w:r w:rsidRPr="004E3A00">
        <w:rPr>
          <w:rFonts w:ascii="Arial" w:hAnsi="Arial" w:cs="Arial"/>
        </w:rPr>
        <w:lastRenderedPageBreak/>
        <w:t>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3"/>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3"/>
      <w:r w:rsidR="00C049AF" w:rsidRPr="004E3A00">
        <w:rPr>
          <w:rStyle w:val="CommentReference"/>
        </w:rPr>
        <w:commentReference w:id="3"/>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In our study we found that recruitment of beech seedlings and saplings in Denny wood was limited. Seedling density was negatively correlated with canopy cover, while sapling 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 "non-dropping-particle" : "", "parse-names" : false, "suffix" : "" }, { "dropping-particle" : "", "family" : "Newton", "given" : "Adrian C.",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"http://www.mendeley.com/documents/?uuid=695ebeb6-b45a-401b-b6ce-6b88790e2d1e" ] } ], "mendeley" : { "formattedCitation" : "(Martin &lt;i&gt;et al.&lt;/i&gt; 2015b)", "plainTextFormattedCitation" : "(Martin et al. 2015b)", "previouslyFormattedCitation" : "(Martin &lt;i&gt;et al.&lt;/i&gt; 2015b)"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(Martin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2015b)</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There are a number of potential explanations of this. It is possible that ungulate browsing is concentrated in areas where grass cover is highest resulting in high mortality of seedlings which are eaten. Meanwhile, seedlings regenerating under closed canopies may be less likely to be eaten. Though grass can provide protection from browsing herbivores, at high densities this </w:t>
      </w:r>
      <w:r w:rsidR="004D78CA" w:rsidRPr="004E3A00">
        <w:rPr>
          <w:rFonts w:ascii="Arial" w:eastAsia="Times New Roman" w:hAnsi="Arial" w:cs="Arial"/>
          <w:color w:val="000000"/>
          <w:lang w:eastAsia="en-GB"/>
        </w:rPr>
        <w:lastRenderedPageBreak/>
        <w:t xml:space="preserve">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 xml:space="preserve">and this correlation may reflect increased mortality under unfavourable growing conditions as well as senescence. The second most important predictor of beech mortality was DBH. This positive relationship between DBH and mortality indicates a stand undergoing disturbance,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8B2F2E" w:rsidRPr="004E3A00">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 "non-dropping-particle" : "", "parse-names" : false, "suffix" : "" }, { "dropping-particle" : "", "family" : "Newton", "given" : "Adrian C.",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"http://www.mendeley.com/documents/?uuid=695ebeb6-b45a-401b-b6ce-6b88790e2d1e" ] } ], "mendeley" : { "formattedCitation" : "(Martin &lt;i&gt;et al.&lt;/i&gt; 2015b)", "plainTextFormattedCitation" : "(Martin et al. 2015b)", "previouslyFormattedCitation" : "(Martin &lt;i&gt;et al.&lt;/i&gt; 2015b)"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(Martin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2015b)</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similar 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which has caused beech mortality in continental Europe and has been recorded in the New Forest, may result in this mechanism by spreading amongst trees.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Our analyses indicate that positive feedbacks are potentially important for structuring the forest system. Our </w:t>
      </w:r>
      <w:proofErr w:type="gramStart"/>
      <w:r w:rsidRPr="004E3A00">
        <w:rPr>
          <w:rFonts w:ascii="Arial" w:eastAsia="Times New Roman" w:hAnsi="Arial" w:cs="Arial"/>
          <w:color w:val="000000"/>
          <w:lang w:eastAsia="en-GB"/>
        </w:rPr>
        <w:t>observations that seedling density was highest in areas with low canopy cover but sapling density was highest in areas with high canopy cover suggests</w:t>
      </w:r>
      <w:proofErr w:type="gramEnd"/>
      <w:r w:rsidRPr="004E3A00">
        <w:rPr>
          <w:rFonts w:ascii="Arial" w:eastAsia="Times New Roman" w:hAnsi="Arial" w:cs="Arial"/>
          <w:color w:val="000000"/>
          <w:lang w:eastAsia="en-GB"/>
        </w:rPr>
        <w:t xml:space="preserve"> such a feedback.</w:t>
      </w:r>
      <w:r w:rsidR="00F112FE" w:rsidRPr="004E3A00">
        <w:rPr>
          <w:rFonts w:ascii="Arial" w:eastAsia="Times New Roman" w:hAnsi="Arial" w:cs="Arial"/>
          <w:color w:val="000000"/>
          <w:lang w:eastAsia="en-GB"/>
        </w:rPr>
        <w:t xml:space="preserve"> This observation suggests that mortality mechanisms for seedlings and saplings may differ resulting in clusters of treeless areas. This has the potential to result in </w:t>
      </w:r>
      <w:proofErr w:type="gramStart"/>
      <w:r w:rsidR="00F112FE" w:rsidRPr="004E3A00">
        <w:rPr>
          <w:rFonts w:ascii="Arial" w:eastAsia="Times New Roman" w:hAnsi="Arial" w:cs="Arial"/>
          <w:color w:val="000000"/>
          <w:lang w:eastAsia="en-GB"/>
        </w:rPr>
        <w:t>a much</w:t>
      </w:r>
      <w:proofErr w:type="gramEnd"/>
      <w:r w:rsidR="00F112FE" w:rsidRPr="004E3A00">
        <w:rPr>
          <w:rFonts w:ascii="Arial" w:eastAsia="Times New Roman" w:hAnsi="Arial" w:cs="Arial"/>
          <w:color w:val="000000"/>
          <w:lang w:eastAsia="en-GB"/>
        </w:rPr>
        <w:t xml:space="preserve"> more open woodland than that found at present, as suggested by Vera et al. 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lastRenderedPageBreak/>
        <w:t>However, rapid collapse to a treeless state does not occur because trees buffer against this (~200 words)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meaning predictions from our model may be conservative. This lack of loss of forest cover in our study was a result of the long generation times of trees, which helped to buffer against total loss as a result of disturbance. This is synonymous with extinction debt where there is a time-lag between disturbance and the ultimate loss of a population.</w:t>
      </w:r>
      <w:r w:rsidR="00D405AE" w:rsidRPr="004E3A00">
        <w:rPr>
          <w:rFonts w:ascii="Arial" w:eastAsia="Times New Roman" w:hAnsi="Arial" w:cs="Arial"/>
          <w:color w:val="000000"/>
          <w:lang w:eastAsia="en-GB"/>
        </w:rPr>
        <w:t xml:space="preserve"> Such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w:instrText>
      </w:r>
      <w:r w:rsidR="00D405AE" w:rsidRPr="004E3A00">
        <w:rPr>
          <w:rFonts w:ascii="Arial" w:eastAsia="Times New Roman" w:hAnsi="Arial" w:cs="Arial"/>
          <w:color w:val="000000"/>
          <w:lang w:eastAsia="en-GB"/>
        </w:rPr>
        <w:instrText>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universal 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tree ages.</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D405AE" w:rsidRPr="004E3A00" w:rsidRDefault="00F11B0B">
      <w:pPr>
        <w:pStyle w:val="NormalWeb"/>
        <w:ind w:left="480" w:hanging="480"/>
        <w:divId w:val="1331367614"/>
        <w:rPr>
          <w:rFonts w:ascii="Calibri" w:hAnsi="Calibri"/>
          <w:noProof/>
          <w:sz w:val="22"/>
        </w:rPr>
      </w:pPr>
      <w:r w:rsidRPr="004E3A00">
        <w:lastRenderedPageBreak/>
        <w:fldChar w:fldCharType="begin" w:fldLock="1"/>
      </w:r>
      <w:r w:rsidRPr="004E3A00">
        <w:instrText xml:space="preserve">ADDIN Mendeley Bibliography CSL_BIBLIOGRAPHY </w:instrText>
      </w:r>
      <w:r w:rsidRPr="004E3A00">
        <w:fldChar w:fldCharType="separate"/>
      </w:r>
      <w:r w:rsidR="00D405AE" w:rsidRPr="004E3A00">
        <w:rPr>
          <w:rFonts w:ascii="Calibri" w:hAnsi="Calibri"/>
          <w:noProof/>
          <w:sz w:val="22"/>
        </w:rPr>
        <w:t xml:space="preserve">Acácio, V., Holmgren, M., Jansen, P.A. &amp; Schrotter, O. (2007) Multiple Recruitment Limitation Causes Arrested Succession in Mediterranean Cork Oak Systems. </w:t>
      </w:r>
      <w:r w:rsidR="00D405AE" w:rsidRPr="004E3A00">
        <w:rPr>
          <w:rFonts w:ascii="Calibri" w:hAnsi="Calibri"/>
          <w:i/>
          <w:iCs/>
          <w:noProof/>
          <w:sz w:val="22"/>
        </w:rPr>
        <w:t>Ecosystems</w:t>
      </w:r>
      <w:r w:rsidR="00D405AE" w:rsidRPr="004E3A00">
        <w:rPr>
          <w:rFonts w:ascii="Calibri" w:hAnsi="Calibri"/>
          <w:noProof/>
          <w:sz w:val="22"/>
        </w:rPr>
        <w:t xml:space="preserve">, </w:t>
      </w:r>
      <w:r w:rsidR="00D405AE" w:rsidRPr="004E3A00">
        <w:rPr>
          <w:rFonts w:ascii="Calibri" w:hAnsi="Calibri"/>
          <w:b/>
          <w:bCs/>
          <w:noProof/>
          <w:sz w:val="22"/>
        </w:rPr>
        <w:t>10</w:t>
      </w:r>
      <w:r w:rsidR="00D405AE" w:rsidRPr="004E3A00">
        <w:rPr>
          <w:rFonts w:ascii="Calibri" w:hAnsi="Calibri"/>
          <w:noProof/>
          <w:sz w:val="22"/>
        </w:rPr>
        <w:t>, 1220–1230.</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Barlow, J. &amp; Peres, C.A. (2008) Fire-mediated dieback and compositional cascade in an Amazonian forest. </w:t>
      </w:r>
      <w:r w:rsidRPr="004E3A00">
        <w:rPr>
          <w:rFonts w:ascii="Calibri" w:hAnsi="Calibri"/>
          <w:i/>
          <w:iCs/>
          <w:noProof/>
          <w:sz w:val="22"/>
        </w:rPr>
        <w:t>Philosophical Transactions of the Royal Society B: Biological Sciences</w:t>
      </w:r>
      <w:r w:rsidRPr="004E3A00">
        <w:rPr>
          <w:rFonts w:ascii="Calibri" w:hAnsi="Calibri"/>
          <w:noProof/>
          <w:sz w:val="22"/>
        </w:rPr>
        <w:t xml:space="preserve">, </w:t>
      </w:r>
      <w:r w:rsidRPr="004E3A00">
        <w:rPr>
          <w:rFonts w:ascii="Calibri" w:hAnsi="Calibri"/>
          <w:b/>
          <w:bCs/>
          <w:noProof/>
          <w:sz w:val="22"/>
        </w:rPr>
        <w:t>363</w:t>
      </w:r>
      <w:r w:rsidRPr="004E3A00">
        <w:rPr>
          <w:rFonts w:ascii="Calibri" w:hAnsi="Calibri"/>
          <w:noProof/>
          <w:sz w:val="22"/>
        </w:rPr>
        <w:t>, 1787–1794.</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Burnham, K.P. &amp; Anderson, D.R. (2002) </w:t>
      </w:r>
      <w:r w:rsidRPr="004E3A00">
        <w:rPr>
          <w:rFonts w:ascii="Calibri" w:hAnsi="Calibri"/>
          <w:i/>
          <w:iCs/>
          <w:noProof/>
          <w:sz w:val="22"/>
        </w:rPr>
        <w:t>Model Selection and Multimodel Inference: A Practical Information-Theoretic Approach</w:t>
      </w:r>
      <w:r w:rsidRPr="004E3A00">
        <w:rPr>
          <w:rFonts w:ascii="Calibri" w:hAnsi="Calibri"/>
          <w:noProof/>
          <w:sz w:val="22"/>
        </w:rPr>
        <w:t>.</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3A00">
        <w:rPr>
          <w:rFonts w:ascii="Calibri" w:hAnsi="Calibri"/>
          <w:i/>
          <w:iCs/>
          <w:noProof/>
          <w:sz w:val="22"/>
        </w:rPr>
        <w:t>Science</w:t>
      </w:r>
      <w:r w:rsidRPr="004E3A00">
        <w:rPr>
          <w:rFonts w:ascii="Calibri" w:hAnsi="Calibri"/>
          <w:noProof/>
          <w:sz w:val="22"/>
        </w:rPr>
        <w:t xml:space="preserve">, </w:t>
      </w:r>
      <w:r w:rsidRPr="004E3A00">
        <w:rPr>
          <w:rFonts w:ascii="Calibri" w:hAnsi="Calibri"/>
          <w:b/>
          <w:bCs/>
          <w:noProof/>
          <w:sz w:val="22"/>
        </w:rPr>
        <w:t>334</w:t>
      </w:r>
      <w:r w:rsidRPr="004E3A00">
        <w:rPr>
          <w:rFonts w:ascii="Calibri" w:hAnsi="Calibri"/>
          <w:noProof/>
          <w:sz w:val="22"/>
        </w:rPr>
        <w:t>, 652–655.</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Chao, K.J., Phillips, O.L., Gloor, E., Monteagudo, A., Torres-Lezama, A. &amp; Martínez, R.V. (2008a) Growth and wood density predict tree mortality in Amazon forests.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96</w:t>
      </w:r>
      <w:r w:rsidRPr="004E3A00">
        <w:rPr>
          <w:rFonts w:ascii="Calibri" w:hAnsi="Calibri"/>
          <w:noProof/>
          <w:sz w:val="22"/>
        </w:rPr>
        <w:t>, 281–292.</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Chao, K.J., Phillips, O.L., Gloor, E., Monteagudo, A., Torres-Lezama, A. &amp; Martínez, R.V. (2008b) Growth and wood density predict tree mortality in Amazon forests.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96</w:t>
      </w:r>
      <w:r w:rsidRPr="004E3A00">
        <w:rPr>
          <w:rFonts w:ascii="Calibri" w:hAnsi="Calibri"/>
          <w:noProof/>
          <w:sz w:val="22"/>
        </w:rPr>
        <w:t>, 281–292.</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Collet, C., Lantera, O. &amp; Pardos, M. (2001) Effects of canopy opening on height and diameter growth. </w:t>
      </w:r>
      <w:r w:rsidRPr="004E3A00">
        <w:rPr>
          <w:rFonts w:ascii="Calibri" w:hAnsi="Calibri"/>
          <w:i/>
          <w:iCs/>
          <w:noProof/>
          <w:sz w:val="22"/>
        </w:rPr>
        <w:t>Annuals of forest science</w:t>
      </w:r>
      <w:r w:rsidRPr="004E3A00">
        <w:rPr>
          <w:rFonts w:ascii="Calibri" w:hAnsi="Calibri"/>
          <w:noProof/>
          <w:sz w:val="22"/>
        </w:rPr>
        <w:t xml:space="preserve">, </w:t>
      </w:r>
      <w:r w:rsidRPr="004E3A00">
        <w:rPr>
          <w:rFonts w:ascii="Calibri" w:hAnsi="Calibri"/>
          <w:b/>
          <w:bCs/>
          <w:noProof/>
          <w:sz w:val="22"/>
        </w:rPr>
        <w:t>58</w:t>
      </w:r>
      <w:r w:rsidRPr="004E3A00">
        <w:rPr>
          <w:rFonts w:ascii="Calibri" w:hAnsi="Calibri"/>
          <w:noProof/>
          <w:sz w:val="22"/>
        </w:rPr>
        <w:t>, 127–134.</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Coomes, D. a. &amp; Allen, R.B. (2007) Mortality and tree-size distributions in natural mixed-age forests.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95</w:t>
      </w:r>
      <w:r w:rsidRPr="004E3A00">
        <w:rPr>
          <w:rFonts w:ascii="Calibri" w:hAnsi="Calibri"/>
          <w:noProof/>
          <w:sz w:val="22"/>
        </w:rPr>
        <w:t>, 27–40.</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Duwyn, A. &amp; MacDougall, A.S. (2015) When anthropogenic-related disturbances overwhelm demographic persistence mechanisms. </w:t>
      </w:r>
      <w:r w:rsidRPr="004E3A00">
        <w:rPr>
          <w:rFonts w:ascii="Calibri" w:hAnsi="Calibri"/>
          <w:i/>
          <w:iCs/>
          <w:noProof/>
          <w:sz w:val="22"/>
        </w:rPr>
        <w:t>Journal of Ecology</w:t>
      </w:r>
      <w:r w:rsidRPr="004E3A00">
        <w:rPr>
          <w:rFonts w:ascii="Calibri" w:hAnsi="Calibri"/>
          <w:noProof/>
          <w:sz w:val="22"/>
        </w:rPr>
        <w:t>, n/a–n/a.</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Flory, S.L., Clay, K., Emery, S.M., Robb, J.R. &amp; Winters, B. (2015) Fire and non-native grass invasion interact to suppress tree regeneration in temperate deciduous forests. </w:t>
      </w:r>
      <w:r w:rsidRPr="004E3A00">
        <w:rPr>
          <w:rFonts w:ascii="Calibri" w:hAnsi="Calibri"/>
          <w:i/>
          <w:iCs/>
          <w:noProof/>
          <w:sz w:val="22"/>
        </w:rPr>
        <w:t>Journal of Applied Ecology</w:t>
      </w:r>
      <w:r w:rsidRPr="004E3A00">
        <w:rPr>
          <w:rFonts w:ascii="Calibri" w:hAnsi="Calibri"/>
          <w:noProof/>
          <w:sz w:val="22"/>
        </w:rPr>
        <w:t xml:space="preserve">, </w:t>
      </w:r>
      <w:r w:rsidRPr="004E3A00">
        <w:rPr>
          <w:rFonts w:ascii="Calibri" w:hAnsi="Calibri"/>
          <w:b/>
          <w:bCs/>
          <w:noProof/>
          <w:sz w:val="22"/>
        </w:rPr>
        <w:t>52</w:t>
      </w:r>
      <w:r w:rsidRPr="004E3A00">
        <w:rPr>
          <w:rFonts w:ascii="Calibri" w:hAnsi="Calibri"/>
          <w:noProof/>
          <w:sz w:val="22"/>
        </w:rPr>
        <w:t>, 992–1000.</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3A00">
        <w:rPr>
          <w:rFonts w:ascii="Calibri" w:hAnsi="Calibri"/>
          <w:i/>
          <w:iCs/>
          <w:noProof/>
          <w:sz w:val="22"/>
        </w:rPr>
        <w:t>Ecological Modelling</w:t>
      </w:r>
      <w:r w:rsidRPr="004E3A00">
        <w:rPr>
          <w:rFonts w:ascii="Calibri" w:hAnsi="Calibri"/>
          <w:noProof/>
          <w:sz w:val="22"/>
        </w:rPr>
        <w:t xml:space="preserve">, </w:t>
      </w:r>
      <w:r w:rsidRPr="004E3A00">
        <w:rPr>
          <w:rFonts w:ascii="Calibri" w:hAnsi="Calibri"/>
          <w:b/>
          <w:bCs/>
          <w:noProof/>
          <w:sz w:val="22"/>
        </w:rPr>
        <w:t>198</w:t>
      </w:r>
      <w:r w:rsidRPr="004E3A00">
        <w:rPr>
          <w:rFonts w:ascii="Calibri" w:hAnsi="Calibri"/>
          <w:noProof/>
          <w:sz w:val="22"/>
        </w:rPr>
        <w:t>, 115–126.</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Hirota, M., Holmgren, M., Van Nes, E.H. &amp; Scheffer, M. (2011) Global resilience of tropical forest and savanna to critical transitions. </w:t>
      </w:r>
      <w:r w:rsidRPr="004E3A00">
        <w:rPr>
          <w:rFonts w:ascii="Calibri" w:hAnsi="Calibri"/>
          <w:i/>
          <w:iCs/>
          <w:noProof/>
          <w:sz w:val="22"/>
        </w:rPr>
        <w:t>Science</w:t>
      </w:r>
      <w:r w:rsidRPr="004E3A00">
        <w:rPr>
          <w:rFonts w:ascii="Calibri" w:hAnsi="Calibri"/>
          <w:noProof/>
          <w:sz w:val="22"/>
        </w:rPr>
        <w:t xml:space="preserve">, </w:t>
      </w:r>
      <w:r w:rsidRPr="004E3A00">
        <w:rPr>
          <w:rFonts w:ascii="Calibri" w:hAnsi="Calibri"/>
          <w:b/>
          <w:bCs/>
          <w:noProof/>
          <w:sz w:val="22"/>
        </w:rPr>
        <w:t>334</w:t>
      </w:r>
      <w:r w:rsidRPr="004E3A00">
        <w:rPr>
          <w:rFonts w:ascii="Calibri" w:hAnsi="Calibri"/>
          <w:noProof/>
          <w:sz w:val="22"/>
        </w:rPr>
        <w:t>, 232–235.</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Holzwarth, F., Kahl, A., Bauhus, J. &amp; Wirth, C. (2013) Many ways to die - partitioning tree mortality dynamics in a near-natural mixed deciduous forest (ed P Zuidema).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101</w:t>
      </w:r>
      <w:r w:rsidRPr="004E3A00">
        <w:rPr>
          <w:rFonts w:ascii="Calibri" w:hAnsi="Calibri"/>
          <w:noProof/>
          <w:sz w:val="22"/>
        </w:rPr>
        <w:t>, 220–230.</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Kuijper, D.P.J., Cromsigt, J.P.G.M., Jędrzejewska, B., Miścicki, S., Churski, M., Jędrzejewski, W. &amp; Kweczlich, I. (2010) Bottom-up versus top-down control of tree regeneration in the Białowieża Primeval Forest, Poland.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98</w:t>
      </w:r>
      <w:r w:rsidRPr="004E3A00">
        <w:rPr>
          <w:rFonts w:ascii="Calibri" w:hAnsi="Calibri"/>
          <w:noProof/>
          <w:sz w:val="22"/>
        </w:rPr>
        <w:t>, 888–899.</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4E3A00">
        <w:rPr>
          <w:rFonts w:ascii="Calibri" w:hAnsi="Calibri"/>
          <w:i/>
          <w:iCs/>
          <w:noProof/>
          <w:sz w:val="22"/>
        </w:rPr>
        <w:t>Science (New York, N.Y.)</w:t>
      </w:r>
      <w:r w:rsidRPr="004E3A00">
        <w:rPr>
          <w:rFonts w:ascii="Calibri" w:hAnsi="Calibri"/>
          <w:noProof/>
          <w:sz w:val="22"/>
        </w:rPr>
        <w:t xml:space="preserve">, </w:t>
      </w:r>
      <w:r w:rsidRPr="004E3A00">
        <w:rPr>
          <w:rFonts w:ascii="Calibri" w:hAnsi="Calibri"/>
          <w:b/>
          <w:bCs/>
          <w:noProof/>
          <w:sz w:val="22"/>
        </w:rPr>
        <w:t>323</w:t>
      </w:r>
      <w:r w:rsidRPr="004E3A00">
        <w:rPr>
          <w:rFonts w:ascii="Calibri" w:hAnsi="Calibri"/>
          <w:noProof/>
          <w:sz w:val="22"/>
        </w:rPr>
        <w:t>, 521–524.</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Martin, P.A., Newton, A.C., Cantarello, E. &amp; Evans, P. (2015a) Stand dieback and collapse in a temperate forest and its impact on forest structure and biodiversity. </w:t>
      </w:r>
      <w:r w:rsidRPr="004E3A00">
        <w:rPr>
          <w:rFonts w:ascii="Calibri" w:hAnsi="Calibri"/>
          <w:i/>
          <w:iCs/>
          <w:noProof/>
          <w:sz w:val="22"/>
        </w:rPr>
        <w:t>Forest Ecology and Management</w:t>
      </w:r>
      <w:r w:rsidRPr="004E3A00">
        <w:rPr>
          <w:rFonts w:ascii="Calibri" w:hAnsi="Calibri"/>
          <w:noProof/>
          <w:sz w:val="22"/>
        </w:rPr>
        <w:t>.</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Martin, P. a., Newton, A.C., Cantarello, E. &amp; Evans, P. (2015b) Stand dieback and collapse in a temperate forest and its impact on forest structure and biodiversity. </w:t>
      </w:r>
      <w:r w:rsidRPr="004E3A00">
        <w:rPr>
          <w:rFonts w:ascii="Calibri" w:hAnsi="Calibri"/>
          <w:i/>
          <w:iCs/>
          <w:noProof/>
          <w:sz w:val="22"/>
        </w:rPr>
        <w:t>Forest Ecology and Management</w:t>
      </w:r>
      <w:r w:rsidRPr="004E3A00">
        <w:rPr>
          <w:rFonts w:ascii="Calibri" w:hAnsi="Calibri"/>
          <w:noProof/>
          <w:sz w:val="22"/>
        </w:rPr>
        <w:t xml:space="preserve">, </w:t>
      </w:r>
      <w:r w:rsidRPr="004E3A00">
        <w:rPr>
          <w:rFonts w:ascii="Calibri" w:hAnsi="Calibri"/>
          <w:b/>
          <w:bCs/>
          <w:noProof/>
          <w:sz w:val="22"/>
        </w:rPr>
        <w:t>358</w:t>
      </w:r>
      <w:r w:rsidRPr="004E3A00">
        <w:rPr>
          <w:rFonts w:ascii="Calibri" w:hAnsi="Calibri"/>
          <w:noProof/>
          <w:sz w:val="22"/>
        </w:rPr>
        <w:t>, 130–138.</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Mountford, E.P. &amp; Peterken, G.F. (2003) Long-term change and implications for the management of wood-pastures: experience over 40 years from Denny Wood, New Forest. </w:t>
      </w:r>
      <w:r w:rsidRPr="004E3A00">
        <w:rPr>
          <w:rFonts w:ascii="Calibri" w:hAnsi="Calibri"/>
          <w:i/>
          <w:iCs/>
          <w:noProof/>
          <w:sz w:val="22"/>
        </w:rPr>
        <w:t>Forestry</w:t>
      </w:r>
      <w:r w:rsidRPr="004E3A00">
        <w:rPr>
          <w:rFonts w:ascii="Calibri" w:hAnsi="Calibri"/>
          <w:noProof/>
          <w:sz w:val="22"/>
        </w:rPr>
        <w:t xml:space="preserve">, </w:t>
      </w:r>
      <w:r w:rsidRPr="004E3A00">
        <w:rPr>
          <w:rFonts w:ascii="Calibri" w:hAnsi="Calibri"/>
          <w:b/>
          <w:bCs/>
          <w:noProof/>
          <w:sz w:val="22"/>
        </w:rPr>
        <w:t>76</w:t>
      </w:r>
      <w:r w:rsidRPr="004E3A00">
        <w:rPr>
          <w:rFonts w:ascii="Calibri" w:hAnsi="Calibri"/>
          <w:noProof/>
          <w:sz w:val="22"/>
        </w:rPr>
        <w:t>, 19–43.</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Mountford, E.P., Peterken, G.F., Edwards, P.J. &amp; Manners, J.G. (1999) Long-term change in growth, mortality and regeneration of trees in Denny Wood, an old-growth wood-pasture in the New Forest (UK). </w:t>
      </w:r>
      <w:r w:rsidRPr="004E3A00">
        <w:rPr>
          <w:rFonts w:ascii="Calibri" w:hAnsi="Calibri"/>
          <w:i/>
          <w:iCs/>
          <w:noProof/>
          <w:sz w:val="22"/>
        </w:rPr>
        <w:t>Perspectives in Plant Ecology, Evolution and Systematics</w:t>
      </w:r>
      <w:r w:rsidRPr="004E3A00">
        <w:rPr>
          <w:rFonts w:ascii="Calibri" w:hAnsi="Calibri"/>
          <w:noProof/>
          <w:sz w:val="22"/>
        </w:rPr>
        <w:t xml:space="preserve">, </w:t>
      </w:r>
      <w:r w:rsidRPr="004E3A00">
        <w:rPr>
          <w:rFonts w:ascii="Calibri" w:hAnsi="Calibri"/>
          <w:b/>
          <w:bCs/>
          <w:noProof/>
          <w:sz w:val="22"/>
        </w:rPr>
        <w:t>2</w:t>
      </w:r>
      <w:r w:rsidRPr="004E3A00">
        <w:rPr>
          <w:rFonts w:ascii="Calibri" w:hAnsi="Calibri"/>
          <w:noProof/>
          <w:sz w:val="22"/>
        </w:rPr>
        <w:t>, 223–272.</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Nepstad, D.C., Verissimo, A., Alencar, A., Nobre, C., Lima, E., Lefebvre, P., Schlesinger, P., Potter, C., Moutinho, P., Mendoza, E., Cochrane, M. &amp; Brooks, V. (1999) Large-scale impoverishment of Amazonian forests by logging and fire. </w:t>
      </w:r>
      <w:r w:rsidRPr="004E3A00">
        <w:rPr>
          <w:rFonts w:ascii="Calibri" w:hAnsi="Calibri"/>
          <w:i/>
          <w:iCs/>
          <w:noProof/>
          <w:sz w:val="22"/>
        </w:rPr>
        <w:t>Nature</w:t>
      </w:r>
      <w:r w:rsidRPr="004E3A00">
        <w:rPr>
          <w:rFonts w:ascii="Calibri" w:hAnsi="Calibri"/>
          <w:noProof/>
          <w:sz w:val="22"/>
        </w:rPr>
        <w:t xml:space="preserve">, </w:t>
      </w:r>
      <w:r w:rsidRPr="004E3A00">
        <w:rPr>
          <w:rFonts w:ascii="Calibri" w:hAnsi="Calibri"/>
          <w:b/>
          <w:bCs/>
          <w:noProof/>
          <w:sz w:val="22"/>
        </w:rPr>
        <w:t>398</w:t>
      </w:r>
      <w:r w:rsidRPr="004E3A00">
        <w:rPr>
          <w:rFonts w:ascii="Calibri" w:hAnsi="Calibri"/>
          <w:noProof/>
          <w:sz w:val="22"/>
        </w:rPr>
        <w:t>, 505–508.</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Nimmo, D.G., Mac Nally, R., Cunningham, S.C., Haslem, a. &amp; Bennett, a. F. (2015) Vive la résistance: reviving resistance for 21st century conservation. </w:t>
      </w:r>
      <w:r w:rsidRPr="004E3A00">
        <w:rPr>
          <w:rFonts w:ascii="Calibri" w:hAnsi="Calibri"/>
          <w:i/>
          <w:iCs/>
          <w:noProof/>
          <w:sz w:val="22"/>
        </w:rPr>
        <w:t>Trends in Ecology &amp; Evolution</w:t>
      </w:r>
      <w:r w:rsidRPr="004E3A00">
        <w:rPr>
          <w:rFonts w:ascii="Calibri" w:hAnsi="Calibri"/>
          <w:noProof/>
          <w:sz w:val="22"/>
        </w:rPr>
        <w:t>, 1–8.</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Olesen, C.R. &amp; Madsen, P. (2008) The impact of roe deer (Capreolus capreolus), seedbed, light and seed fall on natural beech (Fagus sylvatica) regeneration. </w:t>
      </w:r>
      <w:r w:rsidRPr="004E3A00">
        <w:rPr>
          <w:rFonts w:ascii="Calibri" w:hAnsi="Calibri"/>
          <w:i/>
          <w:iCs/>
          <w:noProof/>
          <w:sz w:val="22"/>
        </w:rPr>
        <w:t>Forest Ecology and Management</w:t>
      </w:r>
      <w:r w:rsidRPr="004E3A00">
        <w:rPr>
          <w:rFonts w:ascii="Calibri" w:hAnsi="Calibri"/>
          <w:noProof/>
          <w:sz w:val="22"/>
        </w:rPr>
        <w:t xml:space="preserve">, </w:t>
      </w:r>
      <w:r w:rsidRPr="004E3A00">
        <w:rPr>
          <w:rFonts w:ascii="Calibri" w:hAnsi="Calibri"/>
          <w:b/>
          <w:bCs/>
          <w:noProof/>
          <w:sz w:val="22"/>
        </w:rPr>
        <w:t>255</w:t>
      </w:r>
      <w:r w:rsidRPr="004E3A00">
        <w:rPr>
          <w:rFonts w:ascii="Calibri" w:hAnsi="Calibri"/>
          <w:noProof/>
          <w:sz w:val="22"/>
        </w:rPr>
        <w:t>, 3962–3972.</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Packham, J.R., Thomas, P. a., Atkinson, M.D. &amp; Degen, T. (2012) Biological Flora of the British Isles: Fagus sylvatica.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100</w:t>
      </w:r>
      <w:r w:rsidRPr="004E3A00">
        <w:rPr>
          <w:rFonts w:ascii="Calibri" w:hAnsi="Calibri"/>
          <w:noProof/>
          <w:sz w:val="22"/>
        </w:rPr>
        <w:t>, 1557–1608.</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103</w:t>
      </w:r>
      <w:r w:rsidRPr="004E3A00">
        <w:rPr>
          <w:rFonts w:ascii="Calibri" w:hAnsi="Calibri"/>
          <w:noProof/>
          <w:sz w:val="22"/>
        </w:rPr>
        <w:t>, 5–15.</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Scheffer, M., Carpenter, S., Foley, J.A., Folke, C. &amp; Walker, B. (2001) Catastrophic shifts in ecosystems. </w:t>
      </w:r>
      <w:r w:rsidRPr="004E3A00">
        <w:rPr>
          <w:rFonts w:ascii="Calibri" w:hAnsi="Calibri"/>
          <w:i/>
          <w:iCs/>
          <w:noProof/>
          <w:sz w:val="22"/>
        </w:rPr>
        <w:t>Nature</w:t>
      </w:r>
      <w:r w:rsidRPr="004E3A00">
        <w:rPr>
          <w:rFonts w:ascii="Calibri" w:hAnsi="Calibri"/>
          <w:noProof/>
          <w:sz w:val="22"/>
        </w:rPr>
        <w:t xml:space="preserve">, </w:t>
      </w:r>
      <w:r w:rsidRPr="004E3A00">
        <w:rPr>
          <w:rFonts w:ascii="Calibri" w:hAnsi="Calibri"/>
          <w:b/>
          <w:bCs/>
          <w:noProof/>
          <w:sz w:val="22"/>
        </w:rPr>
        <w:t>413</w:t>
      </w:r>
      <w:r w:rsidRPr="004E3A00">
        <w:rPr>
          <w:rFonts w:ascii="Calibri" w:hAnsi="Calibri"/>
          <w:noProof/>
          <w:sz w:val="22"/>
        </w:rPr>
        <w:t>, 591–6.</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Scheffer, M., Hirota, M., Holmgren, M., Van Nes, E.H. &amp; Chapin, F.S. (2012) Thresholds for boreal biome transitions. </w:t>
      </w:r>
      <w:r w:rsidRPr="004E3A00">
        <w:rPr>
          <w:rFonts w:ascii="Calibri" w:hAnsi="Calibri"/>
          <w:i/>
          <w:iCs/>
          <w:noProof/>
          <w:sz w:val="22"/>
        </w:rPr>
        <w:t>Proceedings of the National Academy of Sciences of the United States of America</w:t>
      </w:r>
      <w:r w:rsidRPr="004E3A00">
        <w:rPr>
          <w:rFonts w:ascii="Calibri" w:hAnsi="Calibri"/>
          <w:noProof/>
          <w:sz w:val="22"/>
        </w:rPr>
        <w:t xml:space="preserve">, </w:t>
      </w:r>
      <w:r w:rsidRPr="004E3A00">
        <w:rPr>
          <w:rFonts w:ascii="Calibri" w:hAnsi="Calibri"/>
          <w:b/>
          <w:bCs/>
          <w:noProof/>
          <w:sz w:val="22"/>
        </w:rPr>
        <w:t>109</w:t>
      </w:r>
      <w:r w:rsidRPr="004E3A00">
        <w:rPr>
          <w:rFonts w:ascii="Calibri" w:hAnsi="Calibri"/>
          <w:noProof/>
          <w:sz w:val="22"/>
        </w:rPr>
        <w:t>, 21384–9.</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Schielzeth, H. (2010) Simple means to improve the interpretability of regression coefficients. </w:t>
      </w:r>
      <w:r w:rsidRPr="004E3A00">
        <w:rPr>
          <w:rFonts w:ascii="Calibri" w:hAnsi="Calibri"/>
          <w:i/>
          <w:iCs/>
          <w:noProof/>
          <w:sz w:val="22"/>
        </w:rPr>
        <w:t>Methods in Ecology and Evolution</w:t>
      </w:r>
      <w:r w:rsidRPr="004E3A00">
        <w:rPr>
          <w:rFonts w:ascii="Calibri" w:hAnsi="Calibri"/>
          <w:noProof/>
          <w:sz w:val="22"/>
        </w:rPr>
        <w:t xml:space="preserve">, </w:t>
      </w:r>
      <w:r w:rsidRPr="004E3A00">
        <w:rPr>
          <w:rFonts w:ascii="Calibri" w:hAnsi="Calibri"/>
          <w:b/>
          <w:bCs/>
          <w:noProof/>
          <w:sz w:val="22"/>
        </w:rPr>
        <w:t>1</w:t>
      </w:r>
      <w:r w:rsidRPr="004E3A00">
        <w:rPr>
          <w:rFonts w:ascii="Calibri" w:hAnsi="Calibri"/>
          <w:noProof/>
          <w:sz w:val="22"/>
        </w:rPr>
        <w:t>, 103–113.</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Scholes, R., Settele, J., Betts, R., Bunn, S., Leadley, P., Nepstad, D., Overpeck, J. &amp; Taboada, M.G. (2014) Terrestrial and inland water systems. </w:t>
      </w:r>
      <w:r w:rsidRPr="004E3A00">
        <w:rPr>
          <w:rFonts w:ascii="Calibri" w:hAnsi="Calibri"/>
          <w:i/>
          <w:iCs/>
          <w:noProof/>
          <w:sz w:val="22"/>
        </w:rPr>
        <w:t xml:space="preserve">Climate Change 2014: Impacts, Adaptation, and </w:t>
      </w:r>
      <w:r w:rsidRPr="004E3A00">
        <w:rPr>
          <w:rFonts w:ascii="Calibri" w:hAnsi="Calibri"/>
          <w:i/>
          <w:iCs/>
          <w:noProof/>
          <w:sz w:val="22"/>
        </w:rPr>
        <w:lastRenderedPageBreak/>
        <w:t>Vulnerability</w:t>
      </w:r>
      <w:r w:rsidRPr="004E3A00">
        <w:rPr>
          <w:rFonts w:ascii="Calibri" w:hAnsi="Calibri"/>
          <w:noProof/>
          <w:sz w:val="22"/>
        </w:rPr>
        <w:t xml:space="preserve"> (eds C. Field, V. Barros, K. Mach &amp; M. Mastrandrea), pp. 271–360. Cambridge University Press, Cambridge.</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Seidl, R., Schelhaas, M., Rammer, W. &amp; Verkerk, P.J. (2014) Increasing forest disturbances in Europe and their impact on carbon storage. </w:t>
      </w:r>
      <w:r w:rsidRPr="004E3A00">
        <w:rPr>
          <w:rFonts w:ascii="Calibri" w:hAnsi="Calibri"/>
          <w:i/>
          <w:iCs/>
          <w:noProof/>
          <w:sz w:val="22"/>
        </w:rPr>
        <w:t>Nature Climate Change</w:t>
      </w:r>
      <w:r w:rsidRPr="004E3A00">
        <w:rPr>
          <w:rFonts w:ascii="Calibri" w:hAnsi="Calibri"/>
          <w:noProof/>
          <w:sz w:val="22"/>
        </w:rPr>
        <w:t>, 1–6.</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Seidl, R., Spies, T. a., Peterson, D.L., Stephens, S.L. &amp; Hicke, J. a. (2015) Searching for resilience: addressing the impacts of changing disturbance regimes on forest ecosystem services. </w:t>
      </w:r>
      <w:r w:rsidRPr="004E3A00">
        <w:rPr>
          <w:rFonts w:ascii="Calibri" w:hAnsi="Calibri"/>
          <w:i/>
          <w:iCs/>
          <w:noProof/>
          <w:sz w:val="22"/>
        </w:rPr>
        <w:t>Journal of Applied Ecology</w:t>
      </w:r>
      <w:r w:rsidRPr="004E3A00">
        <w:rPr>
          <w:rFonts w:ascii="Calibri" w:hAnsi="Calibri"/>
          <w:noProof/>
          <w:sz w:val="22"/>
        </w:rPr>
        <w:t>, n/a–n/a.</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 xml:space="preserve">Sheil, D., Burslem, D.F.R.P. &amp; Alder, D. (1995) The Interpretation and misinterpretation of mortality rate measures. </w:t>
      </w:r>
      <w:r w:rsidRPr="004E3A00">
        <w:rPr>
          <w:rFonts w:ascii="Calibri" w:hAnsi="Calibri"/>
          <w:i/>
          <w:iCs/>
          <w:noProof/>
          <w:sz w:val="22"/>
        </w:rPr>
        <w:t>Journal of Ecology</w:t>
      </w:r>
      <w:r w:rsidRPr="004E3A00">
        <w:rPr>
          <w:rFonts w:ascii="Calibri" w:hAnsi="Calibri"/>
          <w:noProof/>
          <w:sz w:val="22"/>
        </w:rPr>
        <w:t xml:space="preserve">, </w:t>
      </w:r>
      <w:r w:rsidRPr="004E3A00">
        <w:rPr>
          <w:rFonts w:ascii="Calibri" w:hAnsi="Calibri"/>
          <w:b/>
          <w:bCs/>
          <w:noProof/>
          <w:sz w:val="22"/>
        </w:rPr>
        <w:t>83</w:t>
      </w:r>
      <w:r w:rsidRPr="004E3A00">
        <w:rPr>
          <w:rFonts w:ascii="Calibri" w:hAnsi="Calibri"/>
          <w:noProof/>
          <w:sz w:val="22"/>
        </w:rPr>
        <w:t>, 331–333.</w:t>
      </w:r>
    </w:p>
    <w:p w:rsidR="00D405AE" w:rsidRPr="004E3A00" w:rsidRDefault="00D405AE">
      <w:pPr>
        <w:pStyle w:val="NormalWeb"/>
        <w:ind w:left="480" w:hanging="480"/>
        <w:divId w:val="1331367614"/>
        <w:rPr>
          <w:rFonts w:ascii="Calibri" w:hAnsi="Calibri"/>
          <w:noProof/>
          <w:sz w:val="22"/>
        </w:rPr>
      </w:pPr>
      <w:r w:rsidRPr="004E3A00">
        <w:rPr>
          <w:rFonts w:ascii="Calibri" w:hAnsi="Calibri"/>
          <w:noProof/>
          <w:sz w:val="22"/>
        </w:rPr>
        <w:t>Wilensky, U. (1999) Netlogo.</w:t>
      </w:r>
    </w:p>
    <w:p w:rsidR="00F11B0B" w:rsidRPr="004E3A00" w:rsidRDefault="00F11B0B" w:rsidP="00D405AE">
      <w:pPr>
        <w:pStyle w:val="NormalWeb"/>
        <w:ind w:left="480" w:hanging="480"/>
        <w:divId w:val="304436339"/>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commentRangeStart w:id="4"/>
      <w:r>
        <w:rPr>
          <w:rFonts w:ascii="Arial" w:eastAsia="Times New Roman" w:hAnsi="Arial" w:cs="Arial"/>
          <w:color w:val="000000"/>
          <w:lang w:eastAsia="en-GB"/>
        </w:rPr>
        <w:t>Figure 1 – Relationship between density of beech (a) seedlings and (b) saplings and canopy openness in woodlands in the New Forest showing signs of die-off. Solid lines represent predictions from averaging of mixed effects model coefficients.</w:t>
      </w:r>
      <w:commentRangeEnd w:id="4"/>
      <w:r w:rsidR="00A824A1">
        <w:rPr>
          <w:rStyle w:val="CommentReference"/>
        </w:rPr>
        <w:commentReference w:id="4"/>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6758F1E" wp14:editId="27004273">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5"/>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5"/>
      <w:r w:rsidR="00A824A1">
        <w:rPr>
          <w:rStyle w:val="CommentReference"/>
        </w:rPr>
        <w:commentReference w:id="5"/>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6"/>
      <w:commentRangeStart w:id="7"/>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6"/>
      <w:r w:rsidR="002B700A" w:rsidRPr="004E3A00">
        <w:rPr>
          <w:rStyle w:val="CommentReference"/>
        </w:rPr>
        <w:commentReference w:id="6"/>
      </w:r>
      <w:bookmarkStart w:id="8" w:name="_GoBack"/>
      <w:bookmarkEnd w:id="8"/>
      <w:commentRangeEnd w:id="7"/>
      <w:r w:rsidR="00A824A1">
        <w:rPr>
          <w:rStyle w:val="CommentReference"/>
        </w:rPr>
        <w:commentReference w:id="7"/>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proofErr w:type="gramStart"/>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4E3A00" w:rsidTr="00BA763D">
        <w:tc>
          <w:tcPr>
            <w:tcW w:w="2310" w:type="dxa"/>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Annual mortality rate of saplings</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1964-1984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0.56</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0"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0.78</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1.00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0.04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4.07%</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7.20%</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1984-1988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2.79%</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5.91%</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1988-1996</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0.32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3.53%</w:t>
            </w:r>
          </w:p>
        </w:tc>
      </w:tr>
      <w:tr w:rsidR="00A87DA1" w:rsidRPr="004E3A00" w:rsidTr="00BA763D">
        <w:tc>
          <w:tcPr>
            <w:tcW w:w="2310" w:type="dxa"/>
            <w:tcBorders>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1996-2014</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0.09</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0.62</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0.61</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0.16</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0.50%</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5.22%</w:t>
            </w:r>
          </w:p>
        </w:tc>
      </w:tr>
    </w:tbl>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376928" w:rsidP="00F11B0B">
            <w:pPr>
              <w:spacing w:line="360" w:lineRule="auto"/>
              <w:contextualSpacing/>
            </w:pPr>
            <w:r w:rsidRPr="004E3A00">
              <w:t>2</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A05E5E" w:rsidRDefault="00A05E5E">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09-07T09:29:00Z" w:initials="PM">
    <w:p w:rsidR="00A05E5E" w:rsidRDefault="00A05E5E">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2" w:author="Phil Martin" w:date="2015-09-06T15:50:00Z" w:initials="PM">
    <w:p w:rsidR="00A05E5E" w:rsidRDefault="00A05E5E">
      <w:pPr>
        <w:pStyle w:val="CommentText"/>
      </w:pPr>
      <w:r>
        <w:rPr>
          <w:rStyle w:val="CommentReference"/>
        </w:rPr>
        <w:annotationRef/>
      </w:r>
      <w:r>
        <w:t xml:space="preserve">Need to get a good empirical estimate for this. I couldn’t find much out there on this. </w:t>
      </w:r>
    </w:p>
  </w:comment>
  <w:comment w:id="3" w:author="Phil Martin" w:date="2015-09-07T09:27:00Z" w:initials="PM">
    <w:p w:rsidR="00A05E5E" w:rsidRDefault="00A05E5E">
      <w:pPr>
        <w:pStyle w:val="CommentText"/>
      </w:pPr>
      <w:r>
        <w:rPr>
          <w:rStyle w:val="CommentReference"/>
        </w:rPr>
        <w:annotationRef/>
      </w:r>
      <w:r>
        <w:t>This needs reworking when I run the new model. These results are based on a previous model run.</w:t>
      </w:r>
    </w:p>
  </w:comment>
  <w:comment w:id="4" w:author="Phil Martin" w:date="2015-10-13T11:12:00Z" w:initials="PM">
    <w:p w:rsidR="00A824A1" w:rsidRDefault="00A824A1">
      <w:pPr>
        <w:pStyle w:val="CommentText"/>
      </w:pPr>
      <w:r>
        <w:rPr>
          <w:rStyle w:val="CommentReference"/>
        </w:rPr>
        <w:annotationRef/>
      </w:r>
      <w:r>
        <w:t>Alter these figures to make them more convincing. Present the figure legends with statistics. Miss off line from (b).</w:t>
      </w:r>
    </w:p>
  </w:comment>
  <w:comment w:id="5" w:author="Phil Martin" w:date="2015-10-13T11:13:00Z" w:initials="PM">
    <w:p w:rsidR="00A824A1" w:rsidRDefault="00A824A1">
      <w:pPr>
        <w:pStyle w:val="CommentText"/>
      </w:pPr>
      <w:r>
        <w:rPr>
          <w:rStyle w:val="CommentReference"/>
        </w:rPr>
        <w:annotationRef/>
      </w:r>
      <w:r>
        <w:t>Stick confidence intervals on this. Stick something about statistics in legend.</w:t>
      </w:r>
    </w:p>
  </w:comment>
  <w:comment w:id="6" w:author="Phil Martin" w:date="2015-10-13T10:21:00Z" w:initials="PM">
    <w:p w:rsidR="00A05E5E" w:rsidRDefault="00A05E5E">
      <w:pPr>
        <w:pStyle w:val="CommentText"/>
      </w:pPr>
      <w:r>
        <w:rPr>
          <w:rStyle w:val="CommentReference"/>
        </w:rPr>
        <w:annotationRef/>
      </w:r>
      <w:r w:rsidR="00C725D2">
        <w:t>I need to reduce the number of mortality rates as this figure is too confusing. I also need to check to see what is causing the lag in basal area increases when no juveniles die.</w:t>
      </w:r>
    </w:p>
  </w:comment>
  <w:comment w:id="7" w:author="Phil Martin" w:date="2015-10-13T11:15:00Z" w:initials="PM">
    <w:p w:rsidR="00A824A1" w:rsidRDefault="00A824A1">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9127F"/>
    <w:rsid w:val="000B1AD5"/>
    <w:rsid w:val="000B620B"/>
    <w:rsid w:val="000E25C9"/>
    <w:rsid w:val="000F7021"/>
    <w:rsid w:val="0011596D"/>
    <w:rsid w:val="00174EF6"/>
    <w:rsid w:val="001D619D"/>
    <w:rsid w:val="002B700A"/>
    <w:rsid w:val="002D258C"/>
    <w:rsid w:val="00310344"/>
    <w:rsid w:val="003348F5"/>
    <w:rsid w:val="003446FA"/>
    <w:rsid w:val="003722C5"/>
    <w:rsid w:val="00376928"/>
    <w:rsid w:val="003D0FCF"/>
    <w:rsid w:val="003D61E5"/>
    <w:rsid w:val="003E727E"/>
    <w:rsid w:val="004166E0"/>
    <w:rsid w:val="004618A6"/>
    <w:rsid w:val="004C5D56"/>
    <w:rsid w:val="004D78CA"/>
    <w:rsid w:val="004E3A00"/>
    <w:rsid w:val="004E7D34"/>
    <w:rsid w:val="00512270"/>
    <w:rsid w:val="00550523"/>
    <w:rsid w:val="00560962"/>
    <w:rsid w:val="0056725C"/>
    <w:rsid w:val="005D2262"/>
    <w:rsid w:val="005D5F34"/>
    <w:rsid w:val="005E23F2"/>
    <w:rsid w:val="00602857"/>
    <w:rsid w:val="00620A02"/>
    <w:rsid w:val="00655D51"/>
    <w:rsid w:val="00695472"/>
    <w:rsid w:val="006A0E4E"/>
    <w:rsid w:val="006B5377"/>
    <w:rsid w:val="006D6CD3"/>
    <w:rsid w:val="006F0C2D"/>
    <w:rsid w:val="006F3166"/>
    <w:rsid w:val="00732C7B"/>
    <w:rsid w:val="00741B3C"/>
    <w:rsid w:val="00772722"/>
    <w:rsid w:val="00780DF1"/>
    <w:rsid w:val="007D4DA1"/>
    <w:rsid w:val="007D6626"/>
    <w:rsid w:val="008513D6"/>
    <w:rsid w:val="008B0D23"/>
    <w:rsid w:val="008B2F2E"/>
    <w:rsid w:val="008B348E"/>
    <w:rsid w:val="008C51BD"/>
    <w:rsid w:val="00937D98"/>
    <w:rsid w:val="00997F8B"/>
    <w:rsid w:val="009A7386"/>
    <w:rsid w:val="009B692C"/>
    <w:rsid w:val="009C65E1"/>
    <w:rsid w:val="00A05E5E"/>
    <w:rsid w:val="00A33D3E"/>
    <w:rsid w:val="00A55BA5"/>
    <w:rsid w:val="00A824A1"/>
    <w:rsid w:val="00A87DA1"/>
    <w:rsid w:val="00A9613B"/>
    <w:rsid w:val="00B45B79"/>
    <w:rsid w:val="00BA763D"/>
    <w:rsid w:val="00BB3023"/>
    <w:rsid w:val="00BC7DA4"/>
    <w:rsid w:val="00BE09E1"/>
    <w:rsid w:val="00C049AF"/>
    <w:rsid w:val="00C16F43"/>
    <w:rsid w:val="00C531D5"/>
    <w:rsid w:val="00C725D2"/>
    <w:rsid w:val="00C82816"/>
    <w:rsid w:val="00C9060F"/>
    <w:rsid w:val="00C94329"/>
    <w:rsid w:val="00C94F83"/>
    <w:rsid w:val="00CB7AA1"/>
    <w:rsid w:val="00D05602"/>
    <w:rsid w:val="00D2111C"/>
    <w:rsid w:val="00D405AE"/>
    <w:rsid w:val="00DD6D42"/>
    <w:rsid w:val="00DE0691"/>
    <w:rsid w:val="00E177C4"/>
    <w:rsid w:val="00E32A5A"/>
    <w:rsid w:val="00EC6C08"/>
    <w:rsid w:val="00F112FE"/>
    <w:rsid w:val="00F11B0B"/>
    <w:rsid w:val="00F20584"/>
    <w:rsid w:val="00FC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4F1B-7F84-4800-868A-08079743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28557</Words>
  <Characters>162781</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7</cp:revision>
  <dcterms:created xsi:type="dcterms:W3CDTF">2015-10-13T08:23:00Z</dcterms:created>
  <dcterms:modified xsi:type="dcterms:W3CDTF">2015-10-13T16:03:00Z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