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Working title: Positive feedbacks cause collapse of tree cover in a temperate forest</w:t>
      </w:r>
    </w:p>
    <w:p w:rsidR="0056725C" w:rsidRPr="004E3A00" w:rsidRDefault="0056725C" w:rsidP="00F11B0B">
      <w:pPr>
        <w:spacing w:after="0" w:line="360" w:lineRule="auto"/>
        <w:contextualSpacing/>
        <w:rPr>
          <w:rFonts w:ascii="Times New Roman" w:eastAsia="Times New Roman" w:hAnsi="Times New Roman" w:cs="Times New Roman"/>
          <w:sz w:val="24"/>
          <w:szCs w:val="24"/>
          <w:lang w:eastAsia="en-GB"/>
        </w:rPr>
      </w:pPr>
    </w:p>
    <w:p w:rsidR="00C9060F" w:rsidRPr="004E3A00" w:rsidRDefault="00C9060F" w:rsidP="00F11B0B">
      <w:pPr>
        <w:spacing w:after="0" w:line="360" w:lineRule="auto"/>
        <w:contextualSpacing/>
        <w:rPr>
          <w:rFonts w:ascii="Arial" w:eastAsia="Times New Roman" w:hAnsi="Arial" w:cs="Arial"/>
          <w:color w:val="000000"/>
          <w:u w:val="single"/>
          <w:lang w:eastAsia="en-GB"/>
        </w:rPr>
      </w:pPr>
      <w:r w:rsidRPr="004E3A00">
        <w:rPr>
          <w:rFonts w:ascii="Arial" w:eastAsia="Times New Roman" w:hAnsi="Arial" w:cs="Arial"/>
          <w:color w:val="000000"/>
          <w:u w:val="single"/>
          <w:lang w:eastAsia="en-GB"/>
        </w:rPr>
        <w:t>Main message</w:t>
      </w:r>
      <w:r w:rsidR="0056725C" w:rsidRPr="004E3A00">
        <w:rPr>
          <w:rFonts w:ascii="Arial" w:eastAsia="Times New Roman" w:hAnsi="Arial" w:cs="Arial"/>
          <w:color w:val="000000"/>
          <w:u w:val="single"/>
          <w:lang w:eastAsia="en-GB"/>
        </w:rPr>
        <w:t xml:space="preserve"> of paper</w:t>
      </w:r>
      <w:r w:rsidRPr="004E3A00">
        <w:rPr>
          <w:rFonts w:ascii="Arial" w:eastAsia="Times New Roman" w:hAnsi="Arial" w:cs="Arial"/>
          <w:color w:val="000000"/>
          <w:u w:val="single"/>
          <w:lang w:eastAsia="en-GB"/>
        </w:rPr>
        <w:t>: Transition to non-forest state depends on positive feedbacks: loss of mature trees causes lower recruitment and tree death increases likelihood of death of nearby trees</w:t>
      </w:r>
    </w:p>
    <w:p w:rsidR="0056725C" w:rsidRPr="004E3A00" w:rsidRDefault="0056725C" w:rsidP="00F11B0B">
      <w:pPr>
        <w:spacing w:after="0" w:line="360" w:lineRule="auto"/>
        <w:contextualSpacing/>
        <w:rPr>
          <w:rFonts w:ascii="Arial" w:eastAsia="Times New Roman" w:hAnsi="Arial" w:cs="Arial"/>
          <w:color w:val="000000"/>
          <w:lang w:eastAsia="en-GB"/>
        </w:rPr>
      </w:pPr>
    </w:p>
    <w:p w:rsidR="0056725C" w:rsidRPr="004E3A00" w:rsidRDefault="0056725C" w:rsidP="0056725C">
      <w:pPr>
        <w:spacing w:line="360" w:lineRule="auto"/>
        <w:contextualSpacing/>
        <w:rPr>
          <w:rFonts w:ascii="Arial" w:hAnsi="Arial" w:cs="Arial"/>
        </w:rPr>
      </w:pPr>
      <w:r w:rsidRPr="004E3A00">
        <w:rPr>
          <w:rFonts w:ascii="Arial" w:hAnsi="Arial" w:cs="Arial"/>
        </w:rPr>
        <w:t>Authors: Philip Martin</w:t>
      </w:r>
      <w:r w:rsidRPr="004E3A00">
        <w:rPr>
          <w:rFonts w:ascii="Arial" w:hAnsi="Arial" w:cs="Arial"/>
          <w:vertAlign w:val="superscript"/>
        </w:rPr>
        <w:t>1</w:t>
      </w:r>
      <w:r w:rsidRPr="004E3A00">
        <w:rPr>
          <w:rFonts w:ascii="Arial" w:hAnsi="Arial" w:cs="Arial"/>
        </w:rPr>
        <w:t>, Adrian C. Newton</w:t>
      </w:r>
      <w:r w:rsidRPr="004E3A00">
        <w:rPr>
          <w:rFonts w:ascii="Arial" w:hAnsi="Arial" w:cs="Arial"/>
          <w:vertAlign w:val="superscript"/>
        </w:rPr>
        <w:t>1</w:t>
      </w:r>
      <w:r w:rsidRPr="004E3A00">
        <w:rPr>
          <w:rFonts w:ascii="Arial" w:hAnsi="Arial" w:cs="Arial"/>
        </w:rPr>
        <w:t>, Elena Cantarello</w:t>
      </w:r>
      <w:r w:rsidRPr="004E3A00">
        <w:rPr>
          <w:rFonts w:ascii="Arial" w:hAnsi="Arial" w:cs="Arial"/>
          <w:vertAlign w:val="superscript"/>
        </w:rPr>
        <w:t>1</w:t>
      </w:r>
      <w:r w:rsidRPr="004E3A00">
        <w:rPr>
          <w:rFonts w:ascii="Arial" w:hAnsi="Arial" w:cs="Arial"/>
        </w:rPr>
        <w:t>, Paul Evans</w:t>
      </w:r>
      <w:r w:rsidRPr="004E3A00">
        <w:rPr>
          <w:rFonts w:ascii="Arial" w:hAnsi="Arial" w:cs="Arial"/>
          <w:vertAlign w:val="superscript"/>
        </w:rPr>
        <w:t>1</w:t>
      </w:r>
      <w:r w:rsidRPr="004E3A00">
        <w:rPr>
          <w:rFonts w:ascii="Arial" w:hAnsi="Arial" w:cs="Arial"/>
        </w:rPr>
        <w:t>, Edward Mountford</w:t>
      </w:r>
      <w:r w:rsidRPr="004E3A00">
        <w:rPr>
          <w:rFonts w:ascii="Arial" w:hAnsi="Arial" w:cs="Arial"/>
          <w:vertAlign w:val="superscript"/>
        </w:rPr>
        <w:t>2</w:t>
      </w:r>
      <w:r w:rsidRPr="004E3A00">
        <w:rPr>
          <w:rFonts w:ascii="Arial" w:hAnsi="Arial" w:cs="Arial"/>
        </w:rPr>
        <w:t>.</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Journal: Journal of Applied Ecology</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proofErr w:type="gramStart"/>
      <w:r w:rsidRPr="004E3A00">
        <w:rPr>
          <w:rFonts w:ascii="Arial" w:hAnsi="Arial" w:cs="Arial"/>
          <w:vertAlign w:val="superscript"/>
        </w:rPr>
        <w:t>1</w:t>
      </w:r>
      <w:r w:rsidRPr="004E3A00">
        <w:rPr>
          <w:rFonts w:ascii="Arial" w:hAnsi="Arial" w:cs="Arial"/>
        </w:rPr>
        <w:t>Centre for Conservation Ecology and Environmental Sciences, Faculty of Science and Technology, Bournemouth University, Poole, BH12 5BB, UK.</w:t>
      </w:r>
      <w:proofErr w:type="gramEnd"/>
    </w:p>
    <w:p w:rsidR="0056725C" w:rsidRPr="004E3A00" w:rsidRDefault="0056725C" w:rsidP="0056725C">
      <w:pPr>
        <w:spacing w:line="360" w:lineRule="auto"/>
        <w:contextualSpacing/>
        <w:rPr>
          <w:rFonts w:ascii="Arial" w:hAnsi="Arial" w:cs="Arial"/>
        </w:rPr>
      </w:pPr>
      <w:proofErr w:type="gramStart"/>
      <w:r w:rsidRPr="004E3A00">
        <w:rPr>
          <w:rFonts w:ascii="Arial" w:hAnsi="Arial" w:cs="Arial"/>
          <w:vertAlign w:val="superscript"/>
        </w:rPr>
        <w:t>2</w:t>
      </w:r>
      <w:r w:rsidRPr="004E3A00">
        <w:rPr>
          <w:rFonts w:ascii="Arial" w:hAnsi="Arial" w:cs="Arial"/>
        </w:rPr>
        <w:t xml:space="preserve">Joint Nature Conservation Committee, </w:t>
      </w:r>
      <w:proofErr w:type="spellStart"/>
      <w:r w:rsidRPr="004E3A00">
        <w:rPr>
          <w:rFonts w:ascii="Arial" w:hAnsi="Arial" w:cs="Arial"/>
        </w:rPr>
        <w:t>Monkstone</w:t>
      </w:r>
      <w:proofErr w:type="spellEnd"/>
      <w:r w:rsidRPr="004E3A00">
        <w:rPr>
          <w:rFonts w:ascii="Arial" w:hAnsi="Arial" w:cs="Arial"/>
        </w:rPr>
        <w:t xml:space="preserve"> House, City Road, Peterborough, PE1 1JY, UK.</w:t>
      </w:r>
      <w:proofErr w:type="gramEnd"/>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Keywords: forest dieback; regime shift; forest collapse; ecosystem resilience;</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Corresponding author email: phil.martin.research@gmail.com</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4E3A00" w:rsidRDefault="0056725C">
      <w:pPr>
        <w:rPr>
          <w:rFonts w:ascii="Arial" w:eastAsia="Times New Roman" w:hAnsi="Arial" w:cs="Arial"/>
          <w:b/>
          <w:bCs/>
          <w:color w:val="000000"/>
          <w:lang w:eastAsia="en-GB"/>
        </w:rPr>
      </w:pPr>
      <w:r w:rsidRPr="004E3A00">
        <w:rPr>
          <w:rFonts w:ascii="Arial" w:eastAsia="Times New Roman" w:hAnsi="Arial" w:cs="Arial"/>
          <w:b/>
          <w:bCs/>
          <w:color w:val="000000"/>
          <w:lang w:eastAsia="en-GB"/>
        </w:rPr>
        <w:br w:type="page"/>
      </w:r>
    </w:p>
    <w:p w:rsidR="00C9060F" w:rsidRPr="004E3A00" w:rsidRDefault="003D0FCF" w:rsidP="00F11B0B">
      <w:pPr>
        <w:spacing w:after="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lastRenderedPageBreak/>
        <w:t>Summary</w:t>
      </w:r>
    </w:p>
    <w:p w:rsidR="003D0FCF"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There </w:t>
      </w:r>
      <w:r w:rsidR="000B1AD5" w:rsidRPr="004E3A00">
        <w:rPr>
          <w:rFonts w:ascii="Arial" w:eastAsia="Times New Roman" w:hAnsi="Arial" w:cs="Arial"/>
          <w:color w:val="000000"/>
          <w:shd w:val="clear" w:color="auto" w:fill="FFFFFF"/>
          <w:lang w:eastAsia="en-GB"/>
        </w:rPr>
        <w:t xml:space="preserve">is </w:t>
      </w:r>
      <w:r w:rsidRPr="004E3A00">
        <w:rPr>
          <w:rFonts w:ascii="Arial" w:eastAsia="Times New Roman" w:hAnsi="Arial" w:cs="Arial"/>
          <w:color w:val="000000"/>
          <w:shd w:val="clear" w:color="auto" w:fill="FFFFFF"/>
          <w:lang w:eastAsia="en-GB"/>
        </w:rPr>
        <w:t xml:space="preserve">concern </w:t>
      </w:r>
      <w:r w:rsidR="00B45B79" w:rsidRPr="004E3A00">
        <w:rPr>
          <w:rFonts w:ascii="Arial" w:eastAsia="Times New Roman" w:hAnsi="Arial" w:cs="Arial"/>
          <w:color w:val="000000"/>
          <w:shd w:val="clear" w:color="auto" w:fill="FFFFFF"/>
          <w:lang w:eastAsia="en-GB"/>
        </w:rPr>
        <w:t>that</w:t>
      </w:r>
      <w:r w:rsidRPr="004E3A00">
        <w:rPr>
          <w:rFonts w:ascii="Arial" w:eastAsia="Times New Roman" w:hAnsi="Arial" w:cs="Arial"/>
          <w:color w:val="000000"/>
          <w:shd w:val="clear" w:color="auto" w:fill="FFFFFF"/>
          <w:lang w:eastAsia="en-GB"/>
        </w:rPr>
        <w:t xml:space="preserve"> forest dieback</w:t>
      </w:r>
      <w:r w:rsidR="00B45B79" w:rsidRPr="004E3A00">
        <w:rPr>
          <w:rFonts w:ascii="Arial" w:eastAsia="Times New Roman" w:hAnsi="Arial" w:cs="Arial"/>
          <w:color w:val="000000"/>
          <w:shd w:val="clear" w:color="auto" w:fill="FFFFFF"/>
          <w:lang w:eastAsia="en-GB"/>
        </w:rPr>
        <w:t xml:space="preserve"> may lead to </w:t>
      </w:r>
      <w:r w:rsidRPr="004E3A00">
        <w:rPr>
          <w:rFonts w:ascii="Arial" w:eastAsia="Times New Roman" w:hAnsi="Arial" w:cs="Arial"/>
          <w:color w:val="000000"/>
          <w:shd w:val="clear" w:color="auto" w:fill="FFFFFF"/>
          <w:lang w:eastAsia="en-GB"/>
        </w:rPr>
        <w:t xml:space="preserve">transitions to non-forest states. Positive feedbacks are thought to </w:t>
      </w:r>
      <w:r w:rsidR="003D0FCF" w:rsidRPr="004E3A00">
        <w:rPr>
          <w:rFonts w:ascii="Arial" w:eastAsia="Times New Roman" w:hAnsi="Arial" w:cs="Arial"/>
          <w:color w:val="000000"/>
          <w:shd w:val="clear" w:color="auto" w:fill="FFFFFF"/>
          <w:lang w:eastAsia="en-GB"/>
        </w:rPr>
        <w:t>play</w:t>
      </w:r>
      <w:r w:rsidRPr="004E3A00">
        <w:rPr>
          <w:rFonts w:ascii="Arial" w:eastAsia="Times New Roman" w:hAnsi="Arial" w:cs="Arial"/>
          <w:color w:val="000000"/>
          <w:shd w:val="clear" w:color="auto" w:fill="FFFFFF"/>
          <w:lang w:eastAsia="en-GB"/>
        </w:rPr>
        <w:t xml:space="preserve"> an important </w:t>
      </w:r>
      <w:r w:rsidR="003D0FCF" w:rsidRPr="004E3A00">
        <w:rPr>
          <w:rFonts w:ascii="Arial" w:eastAsia="Times New Roman" w:hAnsi="Arial" w:cs="Arial"/>
          <w:color w:val="000000"/>
          <w:shd w:val="clear" w:color="auto" w:fill="FFFFFF"/>
          <w:lang w:eastAsia="en-GB"/>
        </w:rPr>
        <w:t xml:space="preserve">role in </w:t>
      </w:r>
      <w:r w:rsidRPr="004E3A00">
        <w:rPr>
          <w:rFonts w:ascii="Arial" w:eastAsia="Times New Roman" w:hAnsi="Arial" w:cs="Arial"/>
          <w:color w:val="000000"/>
          <w:shd w:val="clear" w:color="auto" w:fill="FFFFFF"/>
          <w:lang w:eastAsia="en-GB"/>
        </w:rPr>
        <w:t>such transitions</w:t>
      </w:r>
      <w:r w:rsidR="003D0FCF" w:rsidRPr="004E3A00">
        <w:rPr>
          <w:rFonts w:ascii="Arial" w:eastAsia="Times New Roman" w:hAnsi="Arial" w:cs="Arial"/>
          <w:color w:val="000000"/>
          <w:shd w:val="clear" w:color="auto" w:fill="FFFFFF"/>
          <w:lang w:eastAsia="en-GB"/>
        </w:rPr>
        <w:t xml:space="preserve"> by creating self-perpetuating shifts in system states.</w:t>
      </w:r>
      <w:r w:rsidR="000B1AD5" w:rsidRPr="004E3A00">
        <w:rPr>
          <w:rFonts w:ascii="Arial" w:eastAsia="Times New Roman" w:hAnsi="Arial" w:cs="Arial"/>
          <w:color w:val="000000"/>
          <w:shd w:val="clear" w:color="auto" w:fill="FFFFFF"/>
          <w:lang w:eastAsia="en-GB"/>
        </w:rPr>
        <w:t xml:space="preserve"> </w:t>
      </w:r>
      <w:r w:rsidR="003D0FCF" w:rsidRPr="004E3A00">
        <w:rPr>
          <w:rFonts w:ascii="Arial" w:eastAsia="Times New Roman" w:hAnsi="Arial" w:cs="Arial"/>
          <w:color w:val="000000"/>
          <w:shd w:val="clear" w:color="auto" w:fill="FFFFFF"/>
          <w:lang w:eastAsia="en-GB"/>
        </w:rPr>
        <w:t>Despite this concern, there is has been relatively little work on the topic.</w:t>
      </w:r>
    </w:p>
    <w:p w:rsidR="00C9060F"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We used statistical models to </w:t>
      </w:r>
      <w:r w:rsidR="006F0C2D" w:rsidRPr="004E3A00">
        <w:rPr>
          <w:rFonts w:ascii="Arial" w:eastAsia="Times New Roman" w:hAnsi="Arial" w:cs="Arial"/>
          <w:color w:val="000000"/>
          <w:shd w:val="clear" w:color="auto" w:fill="FFFFFF"/>
          <w:lang w:eastAsia="en-GB"/>
        </w:rPr>
        <w:t>identify</w:t>
      </w:r>
      <w:r w:rsidRPr="004E3A00">
        <w:rPr>
          <w:rFonts w:ascii="Arial" w:eastAsia="Times New Roman" w:hAnsi="Arial" w:cs="Arial"/>
          <w:color w:val="000000"/>
          <w:shd w:val="clear" w:color="auto" w:fill="FFFFFF"/>
          <w:lang w:eastAsia="en-GB"/>
        </w:rPr>
        <w:t xml:space="preserve"> correlates of </w:t>
      </w:r>
      <w:r w:rsidR="00620A02" w:rsidRPr="004E3A00">
        <w:rPr>
          <w:rFonts w:ascii="Arial" w:eastAsia="Times New Roman" w:hAnsi="Arial" w:cs="Arial"/>
          <w:color w:val="000000"/>
          <w:shd w:val="clear" w:color="auto" w:fill="FFFFFF"/>
          <w:lang w:eastAsia="en-GB"/>
        </w:rPr>
        <w:t xml:space="preserve">death and recruitment of the canopy dominant </w:t>
      </w:r>
      <w:r w:rsidR="00B45B79" w:rsidRPr="004E3A00">
        <w:rPr>
          <w:rFonts w:ascii="Arial" w:eastAsia="Times New Roman" w:hAnsi="Arial" w:cs="Arial"/>
          <w:color w:val="000000"/>
          <w:shd w:val="clear" w:color="auto" w:fill="FFFFFF"/>
          <w:lang w:eastAsia="en-GB"/>
        </w:rPr>
        <w:t>(</w:t>
      </w:r>
      <w:proofErr w:type="spellStart"/>
      <w:r w:rsidR="00620A02" w:rsidRPr="004E3A00">
        <w:rPr>
          <w:rFonts w:ascii="Arial" w:eastAsia="Times New Roman" w:hAnsi="Arial" w:cs="Arial"/>
          <w:i/>
          <w:color w:val="000000"/>
          <w:shd w:val="clear" w:color="auto" w:fill="FFFFFF"/>
          <w:lang w:eastAsia="en-GB"/>
        </w:rPr>
        <w:t>Fagus</w:t>
      </w:r>
      <w:proofErr w:type="spellEnd"/>
      <w:r w:rsidR="00620A02" w:rsidRPr="004E3A00">
        <w:rPr>
          <w:rFonts w:ascii="Arial" w:eastAsia="Times New Roman" w:hAnsi="Arial" w:cs="Arial"/>
          <w:i/>
          <w:color w:val="000000"/>
          <w:shd w:val="clear" w:color="auto" w:fill="FFFFFF"/>
          <w:lang w:eastAsia="en-GB"/>
        </w:rPr>
        <w:t xml:space="preserve"> </w:t>
      </w:r>
      <w:proofErr w:type="spellStart"/>
      <w:r w:rsidR="00620A02" w:rsidRPr="004E3A00">
        <w:rPr>
          <w:rFonts w:ascii="Arial" w:eastAsia="Times New Roman" w:hAnsi="Arial" w:cs="Arial"/>
          <w:i/>
          <w:color w:val="000000"/>
          <w:shd w:val="clear" w:color="auto" w:fill="FFFFFF"/>
          <w:lang w:eastAsia="en-GB"/>
        </w:rPr>
        <w:t>sylvatica</w:t>
      </w:r>
      <w:proofErr w:type="spellEnd"/>
      <w:r w:rsidR="00B45B79" w:rsidRPr="004E3A00">
        <w:rPr>
          <w:rFonts w:ascii="Arial" w:eastAsia="Times New Roman" w:hAnsi="Arial" w:cs="Arial"/>
          <w:color w:val="000000"/>
          <w:shd w:val="clear" w:color="auto" w:fill="FFFFFF"/>
          <w:lang w:eastAsia="en-GB"/>
        </w:rPr>
        <w:t xml:space="preserve"> - </w:t>
      </w:r>
      <w:r w:rsidR="00620A02" w:rsidRPr="004E3A00">
        <w:rPr>
          <w:rFonts w:ascii="Arial" w:eastAsia="Times New Roman" w:hAnsi="Arial" w:cs="Arial"/>
          <w:color w:val="000000"/>
          <w:shd w:val="clear" w:color="auto" w:fill="FFFFFF"/>
          <w:lang w:eastAsia="en-GB"/>
        </w:rPr>
        <w:t>beech)</w:t>
      </w:r>
      <w:r w:rsidR="006F0C2D" w:rsidRPr="004E3A00">
        <w:rPr>
          <w:rFonts w:ascii="Arial" w:eastAsia="Times New Roman" w:hAnsi="Arial" w:cs="Arial"/>
          <w:color w:val="000000"/>
          <w:shd w:val="clear" w:color="auto" w:fill="FFFFFF"/>
          <w:lang w:eastAsia="en-GB"/>
        </w:rPr>
        <w:t xml:space="preserve"> in a temperate forest site that has been sampled over 50 years and appears to be undergoing transition to grassland. We use</w:t>
      </w:r>
      <w:r w:rsidRPr="004E3A00">
        <w:rPr>
          <w:rFonts w:ascii="Arial" w:eastAsia="Times New Roman" w:hAnsi="Arial" w:cs="Arial"/>
          <w:color w:val="000000"/>
          <w:shd w:val="clear" w:color="auto" w:fill="FFFFFF"/>
          <w:lang w:eastAsia="en-GB"/>
        </w:rPr>
        <w:t xml:space="preserve"> </w:t>
      </w:r>
      <w:r w:rsidR="006F0C2D" w:rsidRPr="004E3A00">
        <w:rPr>
          <w:rFonts w:ascii="Arial" w:eastAsia="Times New Roman" w:hAnsi="Arial" w:cs="Arial"/>
          <w:color w:val="000000"/>
          <w:shd w:val="clear" w:color="auto" w:fill="FFFFFF"/>
          <w:lang w:eastAsia="en-GB"/>
        </w:rPr>
        <w:t xml:space="preserve">these </w:t>
      </w:r>
      <w:r w:rsidRPr="004E3A00">
        <w:rPr>
          <w:rFonts w:ascii="Arial" w:eastAsia="Times New Roman" w:hAnsi="Arial" w:cs="Arial"/>
          <w:color w:val="000000"/>
          <w:shd w:val="clear" w:color="auto" w:fill="FFFFFF"/>
          <w:lang w:eastAsia="en-GB"/>
        </w:rPr>
        <w:t>results along with information from the literature to build an individual based model to investigate the impact of positive feedbacks on forest persistence.</w:t>
      </w:r>
    </w:p>
    <w:p w:rsidR="006F0C2D"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We found that </w:t>
      </w:r>
      <w:r w:rsidR="000B1AD5" w:rsidRPr="004E3A00">
        <w:rPr>
          <w:rFonts w:ascii="Arial" w:eastAsia="Times New Roman" w:hAnsi="Arial" w:cs="Arial"/>
          <w:color w:val="000000"/>
          <w:shd w:val="clear" w:color="auto" w:fill="FFFFFF"/>
          <w:lang w:eastAsia="en-GB"/>
        </w:rPr>
        <w:t xml:space="preserve">the probability of </w:t>
      </w:r>
      <w:r w:rsidRPr="004E3A00">
        <w:rPr>
          <w:rFonts w:ascii="Arial" w:eastAsia="Times New Roman" w:hAnsi="Arial" w:cs="Arial"/>
          <w:color w:val="000000"/>
          <w:shd w:val="clear" w:color="auto" w:fill="FFFFFF"/>
          <w:lang w:eastAsia="en-GB"/>
        </w:rPr>
        <w:t xml:space="preserve">tree death </w:t>
      </w:r>
      <w:r w:rsidR="00B45B79" w:rsidRPr="004E3A00">
        <w:rPr>
          <w:rFonts w:ascii="Arial" w:eastAsia="Times New Roman" w:hAnsi="Arial" w:cs="Arial"/>
          <w:color w:val="000000"/>
          <w:shd w:val="clear" w:color="auto" w:fill="FFFFFF"/>
          <w:lang w:eastAsia="en-GB"/>
        </w:rPr>
        <w:t>declined with increasing</w:t>
      </w:r>
      <w:r w:rsidRPr="004E3A00">
        <w:rPr>
          <w:rFonts w:ascii="Arial" w:eastAsia="Times New Roman" w:hAnsi="Arial" w:cs="Arial"/>
          <w:color w:val="000000"/>
          <w:shd w:val="clear" w:color="auto" w:fill="FFFFFF"/>
          <w:lang w:eastAsia="en-GB"/>
        </w:rPr>
        <w:t xml:space="preserve"> tree growth rate, distance to nearest dead tree and sand content of soils, but </w:t>
      </w:r>
      <w:r w:rsidR="00376928" w:rsidRPr="004E3A00">
        <w:rPr>
          <w:rFonts w:ascii="Arial" w:eastAsia="Times New Roman" w:hAnsi="Arial" w:cs="Arial"/>
          <w:color w:val="000000"/>
          <w:shd w:val="clear" w:color="auto" w:fill="FFFFFF"/>
          <w:lang w:eastAsia="en-GB"/>
        </w:rPr>
        <w:t xml:space="preserve">was </w:t>
      </w:r>
      <w:r w:rsidRPr="004E3A00">
        <w:rPr>
          <w:rFonts w:ascii="Arial" w:eastAsia="Times New Roman" w:hAnsi="Arial" w:cs="Arial"/>
          <w:color w:val="000000"/>
          <w:shd w:val="clear" w:color="auto" w:fill="FFFFFF"/>
          <w:lang w:eastAsia="en-GB"/>
        </w:rPr>
        <w:t xml:space="preserve">positively correlated with tree size. Seedling density was negatively related to canopy cover, but sapling density was higher in areas of high canopy cover. </w:t>
      </w:r>
    </w:p>
    <w:p w:rsidR="00732C7B" w:rsidRPr="004E3A00" w:rsidRDefault="00732C7B" w:rsidP="00732C7B">
      <w:pPr>
        <w:pStyle w:val="ListParagraph"/>
        <w:numPr>
          <w:ilvl w:val="0"/>
          <w:numId w:val="10"/>
        </w:numPr>
        <w:spacing w:before="40" w:after="140" w:line="360" w:lineRule="auto"/>
        <w:rPr>
          <w:rFonts w:ascii="Arial" w:eastAsia="Times New Roman" w:hAnsi="Arial" w:cs="Arial"/>
          <w:szCs w:val="24"/>
          <w:lang w:eastAsia="en-GB"/>
        </w:rPr>
      </w:pPr>
      <w:r w:rsidRPr="004E3A00">
        <w:rPr>
          <w:rFonts w:ascii="Arial" w:eastAsia="Times New Roman" w:hAnsi="Arial" w:cs="Arial"/>
          <w:szCs w:val="24"/>
          <w:lang w:eastAsia="en-GB"/>
        </w:rPr>
        <w:t>Contrary to our expectations, inclusion of potential feedbacks in our individual based model did not result in total loss of tree cover over 150 years, even with 100% mortality of juvenile trees.</w:t>
      </w:r>
    </w:p>
    <w:p w:rsidR="00732C7B" w:rsidRPr="004E3A00" w:rsidRDefault="00620A02" w:rsidP="00732C7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Our</w:t>
      </w:r>
      <w:r w:rsidR="00C9060F" w:rsidRPr="004E3A00">
        <w:rPr>
          <w:rFonts w:ascii="Arial" w:eastAsia="Times New Roman" w:hAnsi="Arial" w:cs="Arial"/>
          <w:color w:val="000000"/>
          <w:shd w:val="clear" w:color="auto" w:fill="FFFFFF"/>
          <w:lang w:eastAsia="en-GB"/>
        </w:rPr>
        <w:t xml:space="preserve"> results </w:t>
      </w:r>
      <w:r w:rsidRPr="004E3A00">
        <w:rPr>
          <w:rFonts w:ascii="Arial" w:eastAsia="Times New Roman" w:hAnsi="Arial" w:cs="Arial"/>
          <w:color w:val="000000"/>
          <w:shd w:val="clear" w:color="auto" w:fill="FFFFFF"/>
          <w:lang w:eastAsia="en-GB"/>
        </w:rPr>
        <w:t>suggest</w:t>
      </w:r>
      <w:r w:rsidR="00C9060F" w:rsidRPr="004E3A00">
        <w:rPr>
          <w:rFonts w:ascii="Arial" w:eastAsia="Times New Roman" w:hAnsi="Arial" w:cs="Arial"/>
          <w:color w:val="000000"/>
          <w:shd w:val="clear" w:color="auto" w:fill="FFFFFF"/>
          <w:lang w:eastAsia="en-GB"/>
        </w:rPr>
        <w:t xml:space="preserve"> that </w:t>
      </w:r>
      <w:r w:rsidR="00732C7B" w:rsidRPr="004E3A00">
        <w:rPr>
          <w:rFonts w:ascii="Arial" w:eastAsia="Times New Roman" w:hAnsi="Arial" w:cs="Arial"/>
          <w:color w:val="000000"/>
          <w:shd w:val="clear" w:color="auto" w:fill="FFFFFF"/>
          <w:lang w:eastAsia="en-GB"/>
        </w:rPr>
        <w:t xml:space="preserve">while </w:t>
      </w:r>
      <w:r w:rsidR="00C9060F" w:rsidRPr="004E3A00">
        <w:rPr>
          <w:rFonts w:ascii="Arial" w:eastAsia="Times New Roman" w:hAnsi="Arial" w:cs="Arial"/>
          <w:color w:val="000000"/>
          <w:shd w:val="clear" w:color="auto" w:fill="FFFFFF"/>
          <w:lang w:eastAsia="en-GB"/>
        </w:rPr>
        <w:t xml:space="preserve">positive feedbacks </w:t>
      </w:r>
      <w:r w:rsidR="00732C7B" w:rsidRPr="004E3A00">
        <w:rPr>
          <w:rFonts w:ascii="Arial" w:eastAsia="Times New Roman" w:hAnsi="Arial" w:cs="Arial"/>
          <w:color w:val="000000"/>
          <w:shd w:val="clear" w:color="auto" w:fill="FFFFFF"/>
          <w:lang w:eastAsia="en-GB"/>
        </w:rPr>
        <w:t>may</w:t>
      </w:r>
      <w:r w:rsidR="00C9060F" w:rsidRPr="004E3A00">
        <w:rPr>
          <w:rFonts w:ascii="Arial" w:eastAsia="Times New Roman" w:hAnsi="Arial" w:cs="Arial"/>
          <w:color w:val="000000"/>
          <w:shd w:val="clear" w:color="auto" w:fill="FFFFFF"/>
          <w:lang w:eastAsia="en-GB"/>
        </w:rPr>
        <w:t xml:space="preserve"> influence both recruitment of juveniles and death of mature trees</w:t>
      </w:r>
      <w:r w:rsidR="00732C7B" w:rsidRPr="004E3A00">
        <w:rPr>
          <w:rFonts w:ascii="Arial" w:eastAsia="Times New Roman" w:hAnsi="Arial" w:cs="Arial"/>
          <w:color w:val="000000"/>
          <w:shd w:val="clear" w:color="auto" w:fill="FFFFFF"/>
          <w:lang w:eastAsia="en-GB"/>
        </w:rPr>
        <w:t>, the long lifespan of trees provides a buffer to sudden transitions. However, under current conditions the woodla</w:t>
      </w:r>
      <w:r w:rsidR="00BB3023">
        <w:rPr>
          <w:rFonts w:ascii="Arial" w:eastAsia="Times New Roman" w:hAnsi="Arial" w:cs="Arial"/>
          <w:color w:val="000000"/>
          <w:shd w:val="clear" w:color="auto" w:fill="FFFFFF"/>
          <w:lang w:eastAsia="en-GB"/>
        </w:rPr>
        <w:t>nd may transition to a savannah-</w:t>
      </w:r>
      <w:r w:rsidR="00732C7B" w:rsidRPr="004E3A00">
        <w:rPr>
          <w:rFonts w:ascii="Arial" w:eastAsia="Times New Roman" w:hAnsi="Arial" w:cs="Arial"/>
          <w:color w:val="000000"/>
          <w:shd w:val="clear" w:color="auto" w:fill="FFFFFF"/>
          <w:lang w:eastAsia="en-GB"/>
        </w:rPr>
        <w:t>like system.</w:t>
      </w:r>
    </w:p>
    <w:p w:rsidR="00C9060F" w:rsidRPr="004E3A00" w:rsidRDefault="00620A02"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b/>
          <w:bCs/>
          <w:color w:val="000000"/>
          <w:shd w:val="clear" w:color="auto" w:fill="FFFFFF"/>
          <w:lang w:eastAsia="en-GB"/>
        </w:rPr>
        <w:t xml:space="preserve">Synthesis and applications: </w:t>
      </w:r>
      <w:r w:rsidR="00C9060F" w:rsidRPr="004E3A00">
        <w:rPr>
          <w:rFonts w:ascii="Arial" w:eastAsia="Times New Roman" w:hAnsi="Arial" w:cs="Arial"/>
          <w:color w:val="000000"/>
          <w:lang w:eastAsia="en-GB"/>
        </w:rPr>
        <w:t xml:space="preserve">To enhance forest resilience management should attempt to stop the development </w:t>
      </w:r>
      <w:r w:rsidR="00550523" w:rsidRPr="004E3A00">
        <w:rPr>
          <w:rFonts w:ascii="Arial" w:eastAsia="Times New Roman" w:hAnsi="Arial" w:cs="Arial"/>
          <w:color w:val="000000"/>
          <w:lang w:eastAsia="en-GB"/>
        </w:rPr>
        <w:t>of such positive feedback loops</w:t>
      </w:r>
      <w:r w:rsidR="00C9060F" w:rsidRPr="004E3A00">
        <w:rPr>
          <w:rFonts w:ascii="Arial" w:eastAsia="Times New Roman" w:hAnsi="Arial" w:cs="Arial"/>
          <w:color w:val="000000"/>
          <w:lang w:eastAsia="en-GB"/>
        </w:rPr>
        <w:t>. In our study area fencing off forest areas to reduce seedling mortality caused by browsing of ponies and deer may reduce feedbacks related to juvenile death. However, reducing the feedbacks related to mortality of larger trees will be more challeng</w:t>
      </w:r>
      <w:r w:rsidR="0056725C" w:rsidRPr="004E3A00">
        <w:rPr>
          <w:rFonts w:ascii="Arial" w:eastAsia="Times New Roman" w:hAnsi="Arial" w:cs="Arial"/>
          <w:color w:val="000000"/>
          <w:lang w:eastAsia="en-GB"/>
        </w:rPr>
        <w:t>ing as these may be related to larger scale drivers relating to climate change</w:t>
      </w:r>
      <w:r w:rsidR="00C9060F" w:rsidRPr="004E3A00">
        <w:rPr>
          <w:rFonts w:ascii="Arial" w:eastAsia="Times New Roman" w:hAnsi="Arial" w:cs="Arial"/>
          <w:color w:val="000000"/>
          <w:lang w:eastAsia="en-GB"/>
        </w:rPr>
        <w:t>.</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4E3A00" w:rsidRDefault="0056725C">
      <w:pPr>
        <w:rPr>
          <w:rFonts w:ascii="Arial" w:eastAsia="Times New Roman" w:hAnsi="Arial" w:cs="Arial"/>
          <w:b/>
          <w:bCs/>
          <w:color w:val="000000"/>
          <w:lang w:eastAsia="en-GB"/>
        </w:rPr>
      </w:pPr>
      <w:r w:rsidRPr="004E3A00">
        <w:rPr>
          <w:rFonts w:ascii="Arial" w:eastAsia="Times New Roman" w:hAnsi="Arial" w:cs="Arial"/>
          <w:b/>
          <w:bCs/>
          <w:color w:val="000000"/>
          <w:lang w:eastAsia="en-GB"/>
        </w:rPr>
        <w:br w:type="page"/>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commentRangeStart w:id="0"/>
      <w:r w:rsidRPr="004E3A00">
        <w:rPr>
          <w:rFonts w:ascii="Arial" w:eastAsia="Times New Roman" w:hAnsi="Arial" w:cs="Arial"/>
          <w:b/>
          <w:bCs/>
          <w:color w:val="000000"/>
          <w:lang w:eastAsia="en-GB"/>
        </w:rPr>
        <w:lastRenderedPageBreak/>
        <w:t>Introduction (</w:t>
      </w:r>
      <w:r w:rsidR="006D6CD3" w:rsidRPr="004E3A00">
        <w:rPr>
          <w:rFonts w:ascii="Arial" w:eastAsia="Times New Roman" w:hAnsi="Arial" w:cs="Arial"/>
          <w:b/>
          <w:bCs/>
          <w:color w:val="000000"/>
          <w:lang w:eastAsia="en-GB"/>
        </w:rPr>
        <w:t>aim for ~</w:t>
      </w:r>
      <w:r w:rsidR="00C16F43" w:rsidRPr="004E3A00">
        <w:rPr>
          <w:rFonts w:ascii="Arial" w:eastAsia="Times New Roman" w:hAnsi="Arial" w:cs="Arial"/>
          <w:b/>
          <w:bCs/>
          <w:color w:val="000000"/>
          <w:lang w:eastAsia="en-GB"/>
        </w:rPr>
        <w:t>800</w:t>
      </w:r>
      <w:r w:rsidRPr="004E3A00">
        <w:rPr>
          <w:rFonts w:ascii="Arial" w:eastAsia="Times New Roman" w:hAnsi="Arial" w:cs="Arial"/>
          <w:b/>
          <w:bCs/>
          <w:color w:val="000000"/>
          <w:lang w:eastAsia="en-GB"/>
        </w:rPr>
        <w:t xml:space="preserve"> words)</w:t>
      </w:r>
      <w:commentRangeEnd w:id="0"/>
      <w:r w:rsidR="006D6CD3" w:rsidRPr="004E3A00">
        <w:rPr>
          <w:rStyle w:val="CommentReference"/>
        </w:rPr>
        <w:commentReference w:id="0"/>
      </w:r>
    </w:p>
    <w:p w:rsidR="006F0C2D" w:rsidRPr="004E3A00" w:rsidRDefault="006F0C2D" w:rsidP="00F11B0B">
      <w:pPr>
        <w:spacing w:before="40" w:after="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There is widespread concern that </w:t>
      </w:r>
      <w:r w:rsidR="00B6284F">
        <w:rPr>
          <w:rFonts w:ascii="Arial" w:eastAsia="Times New Roman" w:hAnsi="Arial" w:cs="Arial"/>
          <w:color w:val="000000"/>
          <w:lang w:eastAsia="en-GB"/>
        </w:rPr>
        <w:t>increases in tree mortality</w:t>
      </w:r>
      <w:r w:rsidRPr="004E3A00">
        <w:rPr>
          <w:rFonts w:ascii="Arial" w:eastAsia="Times New Roman" w:hAnsi="Arial" w:cs="Arial"/>
          <w:color w:val="000000"/>
          <w:lang w:eastAsia="en-GB"/>
        </w:rPr>
        <w:t xml:space="preserve"> may result in shifts to </w:t>
      </w:r>
      <w:r w:rsidR="00780DF1" w:rsidRPr="004E3A00">
        <w:rPr>
          <w:rFonts w:ascii="Arial" w:eastAsia="Times New Roman" w:hAnsi="Arial" w:cs="Arial"/>
          <w:color w:val="000000"/>
          <w:lang w:eastAsia="en-GB"/>
        </w:rPr>
        <w:t>treeless</w:t>
      </w:r>
      <w:r w:rsidRPr="004E3A00">
        <w:rPr>
          <w:rFonts w:ascii="Arial" w:eastAsia="Times New Roman" w:hAnsi="Arial" w:cs="Arial"/>
          <w:color w:val="000000"/>
          <w:lang w:eastAsia="en-GB"/>
        </w:rPr>
        <w:t xml:space="preserve"> states </w:t>
      </w:r>
      <w:r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w:t>
      </w:r>
      <w:r w:rsidR="00310344" w:rsidRPr="004E3A00">
        <w:rPr>
          <w:rFonts w:ascii="Arial" w:eastAsia="Times New Roman" w:hAnsi="Arial" w:cs="Arial"/>
          <w:color w:val="000000"/>
          <w:lang w:eastAsia="en-GB"/>
        </w:rPr>
        <w:t xml:space="preserve">Over the past decade research has suggested such shifts </w:t>
      </w:r>
      <w:r w:rsidR="00CB7AA1" w:rsidRPr="004E3A00">
        <w:rPr>
          <w:rFonts w:ascii="Arial" w:eastAsia="Times New Roman" w:hAnsi="Arial" w:cs="Arial"/>
          <w:color w:val="000000"/>
          <w:lang w:eastAsia="en-GB"/>
        </w:rPr>
        <w:t>may occur</w:t>
      </w:r>
      <w:r w:rsidR="00310344" w:rsidRPr="004E3A00">
        <w:rPr>
          <w:rFonts w:ascii="Arial" w:eastAsia="Times New Roman" w:hAnsi="Arial" w:cs="Arial"/>
          <w:color w:val="000000"/>
          <w:lang w:eastAsia="en-GB"/>
        </w:rPr>
        <w:t xml:space="preserve"> in both tropical </w:t>
      </w:r>
      <w:r w:rsidR="0031034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"ITEM-2", "issue" : "6053", "issued" : { "date-parts" : [ [ "2011", "10" ] ] }, "page" : "232-235", "title" : "Global resilience of tropical forest and savanna to critical transitions.", "type" : "article-journal", "volume" : "334" }, "uris" : [ "http://www.mendeley.com/documents/?uuid=f7d6c510-3107-4308-8119-0495e8b5b80c" ] } ], "mendeley" : { "formattedCitation" : "(Barlow &amp; Peres 2008; Hirota &lt;i&gt;et al.&lt;/i&gt; 2011)", "plainTextFormattedCitation" : "(Barlow &amp; Peres 2008; Hirota et al. 2011)", "previouslyFormattedCitation" : "(Barlow &amp; Peres 2008; Hirota &lt;i&gt;et al.&lt;/i&gt; 2011)" }, "properties" : { "noteIndex" : 0 }, "schema" : "https://github.com/citation-style-language/schema/raw/master/csl-citation.json" }</w:instrText>
      </w:r>
      <w:r w:rsidR="0031034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(Barlow &amp; Peres 2008; Hirota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2011)</w:t>
      </w:r>
      <w:r w:rsidR="00310344" w:rsidRPr="004E3A00">
        <w:rPr>
          <w:rFonts w:ascii="Arial" w:eastAsia="Times New Roman" w:hAnsi="Arial" w:cs="Arial"/>
          <w:color w:val="000000"/>
          <w:lang w:eastAsia="en-GB"/>
        </w:rPr>
        <w:fldChar w:fldCharType="end"/>
      </w:r>
      <w:r w:rsidR="00310344" w:rsidRPr="004E3A00">
        <w:rPr>
          <w:rFonts w:ascii="Arial" w:eastAsia="Times New Roman" w:hAnsi="Arial" w:cs="Arial"/>
          <w:color w:val="000000"/>
          <w:lang w:eastAsia="en-GB"/>
        </w:rPr>
        <w:t xml:space="preserve"> and boreal regions </w:t>
      </w:r>
      <w:r w:rsidR="0031034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31034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(Scheffer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2012)</w:t>
      </w:r>
      <w:r w:rsidR="00310344" w:rsidRPr="004E3A00">
        <w:rPr>
          <w:rFonts w:ascii="Arial" w:eastAsia="Times New Roman" w:hAnsi="Arial" w:cs="Arial"/>
          <w:color w:val="000000"/>
          <w:lang w:eastAsia="en-GB"/>
        </w:rPr>
        <w:fldChar w:fldCharType="end"/>
      </w:r>
      <w:r w:rsidR="004E7D34" w:rsidRPr="004E3A00">
        <w:rPr>
          <w:rFonts w:ascii="Arial" w:eastAsia="Times New Roman" w:hAnsi="Arial" w:cs="Arial"/>
          <w:color w:val="000000"/>
          <w:lang w:eastAsia="en-GB"/>
        </w:rPr>
        <w:t xml:space="preserve"> as a result of a both changes in climate and disturbance regimes</w:t>
      </w:r>
      <w:r w:rsidR="00310344" w:rsidRPr="004E3A00">
        <w:rPr>
          <w:rFonts w:ascii="Arial" w:eastAsia="Times New Roman" w:hAnsi="Arial" w:cs="Arial"/>
          <w:color w:val="000000"/>
          <w:lang w:eastAsia="en-GB"/>
        </w:rPr>
        <w:t xml:space="preserve">. </w:t>
      </w:r>
      <w:r w:rsidR="0011596D" w:rsidRPr="004E3A00">
        <w:rPr>
          <w:rFonts w:ascii="Arial" w:eastAsia="Times New Roman" w:hAnsi="Arial" w:cs="Arial"/>
          <w:color w:val="000000"/>
          <w:lang w:eastAsia="en-GB"/>
        </w:rPr>
        <w:t>Forests may be particularly vulnerable to rapid changes because trees are long lived, immobile organism</w:t>
      </w:r>
      <w:r w:rsidR="00E64C63">
        <w:rPr>
          <w:rFonts w:ascii="Arial" w:eastAsia="Times New Roman" w:hAnsi="Arial" w:cs="Arial"/>
          <w:color w:val="000000"/>
          <w:lang w:eastAsia="en-GB"/>
        </w:rPr>
        <w:t>s,</w:t>
      </w:r>
      <w:r w:rsidR="0011596D" w:rsidRPr="004E3A00">
        <w:rPr>
          <w:rFonts w:ascii="Arial" w:eastAsia="Times New Roman" w:hAnsi="Arial" w:cs="Arial"/>
          <w:color w:val="000000"/>
          <w:lang w:eastAsia="en-GB"/>
        </w:rPr>
        <w:t xml:space="preserve"> that consequently find it difficult to adapt to new environmental conditions </w:t>
      </w:r>
      <w:r w:rsidR="0011596D"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"10.1126/science.1210288", "ISBN" : "1095-9203 (Electronic)\\r0036-8075 (Linking)", "ISSN" : "0036-8075", "PMID" : "22053045", "abstract" : "Climate change challenges organisms to adapt or move to track changes in environments in space and time. We used two measures of thermal shifts from analyses of global temperatures over the past 50 years to describe the pace of climate change that species should track: the velocity of climate change (geographic shifts of isotherms over time) and the shift in seasonal timing of temperatures. Both measures are higher in the ocean than on land at some latitudes, despite slower ocean warming. These indices give a complex mosaic of predicted range shifts and phenology changes that deviate from simple poleward migration and earlier springs or later falls. They also emphasize potential conservation concerns, because areas of high marine biodiversity often have greater velocities of climate change and seasonal shifts.", "author" : [ { "dropping-particle" : "", "family" : "Burrows", "given" : "M. T.", "non-dropping-particle" : "", "parse-names" : false, "suffix" : "" }, { "dropping-particle" : "", "family" : "Schoeman", "given" : "D. S.", "non-dropping-particle" : "", "parse-names" : false, "suffix" : "" }, { "dropping-particle" : "", "family" : "Buckley", "given" : "L. B.", "non-dropping-particle" : "", "parse-names" : false, "suffix" : "" }, { "dropping-particle" : "", "family" : "Moore", "given" : "P.", "non-dropping-particle" : "", "parse-names" : false, "suffix" : "" }, { "dropping-particle" : "", "family" : "Poloczanska", "given" : "E. S.", "non-dropping-particle" : "", "parse-names" : false, "suffix" : "" }, { "dropping-particle" : "", "family" : "Brander", "given" : "K. M.", "non-dropping-particle" : "", "parse-names" : false, "suffix" : "" }, { "dropping-particle" : "", "family" : "Brown", "given" : "C.", "non-dropping-particle" : "", "parse-names" : false, "suffix" : "" }, { "dropping-particle" : "", "family" : "Bruno", "given" : "J. F.", "non-dropping-particle" : "", "parse-names" : false, "suffix" : "" }, { "dropping-particle" : "", "family" : "Duarte", "given" : "C. M.", "non-dropping-particle" : "", "parse-names" : false, "suffix" : "" }, { "dropping-particle" : "", "family" : "Halpern", "given" : "B. S.", "non-dropping-particle" : "", "parse-names" : false, "suffix" : "" }, { "dropping-particle" : "", "family" : "Holding", "given" : "J.", "non-dropping-particle" : "", "parse-names" : false, "suffix" : "" }, { "dropping-particle" : "V.", "family" : "Kappel", "given" : "C.", "non-dropping-particle" : "", "parse-names" : false, "suffix" : "" }, { "dropping-particle" : "", "family" : "Kiessling", "given" : "W.", "non-dropping-particle" : "", "parse-names" : false, "suffix" : "" }, { "dropping-particle" : "", "family" : "O'Connor", "given" : "M. I.", "non-dropping-particle" : "", "parse-names" : false, "suffix" : "" }, { "dropping-particle" : "", "family" : "Pandolfi", "given" : "J. M.", "non-dropping-particle" : "", "parse-names" : false, "suffix" : "" }, { "dropping-particle" : "", "family" : "Parmesan", "given" : "C.", "non-dropping-particle" : "", "parse-names" : false, "suffix" : "" }, { "dropping-particle" : "", "family" : "Schwing", "given" : "F. B.", "non-dropping-particle" : "", "parse-names" : false, "suffix" : "" }, { "dropping-particle" : "", "family" : "Sydeman", "given" : "W. J.", "non-dropping-particle" : "", "parse-names" : false, "suffix" : "" }, { "dropping-particle" : "", "family" : "Richardson", "given" : "a. J.", "non-dropping-particle" : "", "parse-names" : false, "suffix" : "" } ], "container-title" : "Science", "id" : "ITEM-1", "issue" : "6056", "issued" : { "date-parts" : [ [ "2011" ] ] }, "page" : "652-655", "title" : "The Pace of Shifting Climate in Marine and Terrestrial Ecosystems", "type" : "article-journal", "volume" : "334" }, "uris" : [ "http://www.mendeley.com/documents/?uuid=0c4c1e1e-e1c7-4dc8-9e11-0d9fbcaafb29" ] }, { "id" : "ITEM-2", "itemData" : { "DOI" : "10.1111/1365-2664.12511", "ISSN" : "00218901", "author" : [ { "dropping-particle" : "", "family" : "Seidl", "given" : "Rupert", "non-dropping-particle" : "", "parse-names" : false, "suffix" : "" }, { "dropping-particle" : "", "family" : "Spies", "given" : "Thomas a.", "non-dropping-particle" : "", "parse-names" : false, "suffix" : "" }, { "dropping-particle" : "", "family" : "Peterson", "given" : "David L.", "non-dropping-particle" : "", "parse-names" : false, "suffix" : "" }, { "dropping-particle" : "", "family" : "Stephens", "given" : "Scott L.", "non-dropping-particle" : "", "parse-names" : false, "suffix" : "" }, { "dropping-particle" : "", "family" : "Hicke", "given" : "Jeffrey a.", "non-dropping-particle" : "", "parse-names" : false, "suffix" : "" } ], "container-title" : "Journal of Applied Ecology", "id" : "ITEM-2", "issued" : { "date-parts" : [ [ "2015" ] ] }, "page" : "n/a-n/a", "title" : "Searching for resilience: addressing the impacts of changing disturbance regimes on forest ecosystem services", "type" : "article-journal" }, "uris" : [ "http://www.mendeley.com/documents/?uuid=3c13684d-8850-41a2-95e7-a1a3b57d3efe" ] } ], "mendeley" : { "formattedCitation" : "(Burrows &lt;i&gt;et al.&lt;/i&gt; 2011; Seidl &lt;i&gt;et al.&lt;/i&gt; 2015)", "plainTextFormattedCitation" : "(Burrows et al. 2011; Seidl et al. 2015)", "previouslyFormattedCitation" : "(Burrows &lt;i&gt;et al.&lt;/i&gt; 2011; Seidl &lt;i&gt;et al.&lt;/i&gt; 2015)" }, "properties" : { "noteIndex" : 0 }, "schema" : "https://github.com/citation-style-language/schema/raw/master/csl-citation.json" }</w:instrText>
      </w:r>
      <w:r w:rsidR="0011596D"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(Burrows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2011; Seidl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11596D" w:rsidRPr="004E3A00">
        <w:rPr>
          <w:rFonts w:ascii="Arial" w:eastAsia="Times New Roman" w:hAnsi="Arial" w:cs="Arial"/>
          <w:color w:val="000000"/>
          <w:lang w:eastAsia="en-GB"/>
        </w:rPr>
        <w:fldChar w:fldCharType="end"/>
      </w:r>
      <w:r w:rsidR="0011596D"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t>Any s</w:t>
      </w:r>
      <w:r w:rsidR="0011596D" w:rsidRPr="004E3A00">
        <w:rPr>
          <w:rFonts w:ascii="Arial" w:eastAsia="Times New Roman" w:hAnsi="Arial" w:cs="Arial"/>
          <w:color w:val="000000"/>
          <w:lang w:eastAsia="en-GB"/>
        </w:rPr>
        <w:t>hift</w:t>
      </w:r>
      <w:r w:rsidR="00310344" w:rsidRPr="004E3A00">
        <w:rPr>
          <w:rFonts w:ascii="Arial" w:eastAsia="Times New Roman" w:hAnsi="Arial" w:cs="Arial"/>
          <w:color w:val="000000"/>
          <w:lang w:eastAsia="en-GB"/>
        </w:rPr>
        <w:t xml:space="preserve"> to </w:t>
      </w:r>
      <w:r w:rsidR="0011596D" w:rsidRPr="004E3A00">
        <w:rPr>
          <w:rFonts w:ascii="Arial" w:eastAsia="Times New Roman" w:hAnsi="Arial" w:cs="Arial"/>
          <w:color w:val="000000"/>
          <w:lang w:eastAsia="en-GB"/>
        </w:rPr>
        <w:t xml:space="preserve">relatively treeless, </w:t>
      </w:r>
      <w:r w:rsidR="00310344" w:rsidRPr="004E3A00">
        <w:rPr>
          <w:rFonts w:ascii="Arial" w:eastAsia="Times New Roman" w:hAnsi="Arial" w:cs="Arial"/>
          <w:color w:val="000000"/>
          <w:lang w:eastAsia="en-GB"/>
        </w:rPr>
        <w:t xml:space="preserve">non-forest states would </w:t>
      </w:r>
      <w:r w:rsidR="0011596D" w:rsidRPr="004E3A00">
        <w:rPr>
          <w:rFonts w:ascii="Arial" w:eastAsia="Times New Roman" w:hAnsi="Arial" w:cs="Arial"/>
          <w:color w:val="000000"/>
          <w:lang w:eastAsia="en-GB"/>
        </w:rPr>
        <w:t>cause</w:t>
      </w:r>
      <w:r w:rsidR="00780DF1" w:rsidRPr="004E3A00">
        <w:rPr>
          <w:rFonts w:ascii="Arial" w:eastAsia="Times New Roman" w:hAnsi="Arial" w:cs="Arial"/>
          <w:color w:val="000000"/>
          <w:lang w:eastAsia="en-GB"/>
        </w:rPr>
        <w:t xml:space="preserve"> </w:t>
      </w:r>
      <w:r w:rsidR="00310344" w:rsidRPr="004E3A00">
        <w:rPr>
          <w:rFonts w:ascii="Arial" w:eastAsia="Times New Roman" w:hAnsi="Arial" w:cs="Arial"/>
          <w:color w:val="000000"/>
          <w:lang w:eastAsia="en-GB"/>
        </w:rPr>
        <w:t xml:space="preserve">loss of forest biodiversity as well dramatic changes in the ecosystem services </w:t>
      </w:r>
      <w:r w:rsidR="00CB7AA1" w:rsidRPr="004E3A00">
        <w:rPr>
          <w:rFonts w:ascii="Arial" w:eastAsia="Times New Roman" w:hAnsi="Arial" w:cs="Arial"/>
          <w:color w:val="000000"/>
          <w:lang w:eastAsia="en-GB"/>
        </w:rPr>
        <w:t>provision</w:t>
      </w:r>
      <w:r w:rsidR="00310344"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4E7D3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(Scholes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4E7D34" w:rsidRPr="004E3A00">
        <w:rPr>
          <w:rFonts w:ascii="Arial" w:eastAsia="Times New Roman" w:hAnsi="Arial" w:cs="Arial"/>
          <w:color w:val="000000"/>
          <w:lang w:eastAsia="en-GB"/>
        </w:rPr>
        <w:fldChar w:fldCharType="end"/>
      </w:r>
      <w:r w:rsidR="00310344"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t>Due to these risks a recent IPCC assessment concluded that forest die</w:t>
      </w:r>
      <w:r w:rsidR="00CB7AA1" w:rsidRPr="004E3A00">
        <w:rPr>
          <w:rFonts w:ascii="Arial" w:eastAsia="Times New Roman" w:hAnsi="Arial" w:cs="Arial"/>
          <w:color w:val="000000"/>
          <w:lang w:eastAsia="en-GB"/>
        </w:rPr>
        <w:t xml:space="preserve">back has the potential to cause </w:t>
      </w:r>
      <w:r w:rsidR="004E7D34" w:rsidRPr="004E3A00">
        <w:rPr>
          <w:rFonts w:ascii="Arial" w:eastAsia="Times New Roman" w:hAnsi="Arial" w:cs="Arial"/>
          <w:color w:val="000000"/>
          <w:lang w:eastAsia="en-GB"/>
        </w:rPr>
        <w:t xml:space="preserve">major </w:t>
      </w:r>
      <w:r w:rsidR="00B6284F">
        <w:rPr>
          <w:rFonts w:ascii="Arial" w:eastAsia="Times New Roman" w:hAnsi="Arial" w:cs="Arial"/>
          <w:color w:val="000000"/>
          <w:lang w:eastAsia="en-GB"/>
        </w:rPr>
        <w:t xml:space="preserve">global </w:t>
      </w:r>
      <w:r w:rsidR="00CB7AA1" w:rsidRPr="004E3A00">
        <w:rPr>
          <w:rFonts w:ascii="Arial" w:eastAsia="Times New Roman" w:hAnsi="Arial" w:cs="Arial"/>
          <w:color w:val="000000"/>
          <w:lang w:eastAsia="en-GB"/>
        </w:rPr>
        <w:t xml:space="preserve">economic impacts </w:t>
      </w:r>
      <w:r w:rsidR="00CB7AA1"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CB7AA1"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(Scholes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CB7AA1" w:rsidRPr="004E3A00">
        <w:rPr>
          <w:rFonts w:ascii="Arial" w:eastAsia="Times New Roman" w:hAnsi="Arial" w:cs="Arial"/>
          <w:color w:val="000000"/>
          <w:lang w:eastAsia="en-GB"/>
        </w:rPr>
        <w:fldChar w:fldCharType="end"/>
      </w:r>
      <w:r w:rsidR="00CB7AA1" w:rsidRPr="004E3A00">
        <w:rPr>
          <w:rFonts w:ascii="Arial" w:eastAsia="Times New Roman" w:hAnsi="Arial" w:cs="Arial"/>
          <w:color w:val="000000"/>
          <w:lang w:eastAsia="en-GB"/>
        </w:rPr>
        <w:t>.</w:t>
      </w:r>
      <w:r w:rsidR="000E25C9" w:rsidRPr="004E3A00">
        <w:rPr>
          <w:rFonts w:ascii="Arial" w:eastAsia="Times New Roman" w:hAnsi="Arial" w:cs="Arial"/>
          <w:color w:val="000000"/>
          <w:lang w:eastAsia="en-GB"/>
        </w:rPr>
        <w:t xml:space="preserve"> However, despite these concerns there is relatively little known about the mechanisms that </w:t>
      </w:r>
      <w:r w:rsidR="00780DF1" w:rsidRPr="004E3A00">
        <w:rPr>
          <w:rFonts w:ascii="Arial" w:eastAsia="Times New Roman" w:hAnsi="Arial" w:cs="Arial"/>
          <w:color w:val="000000"/>
          <w:lang w:eastAsia="en-GB"/>
        </w:rPr>
        <w:t>cause</w:t>
      </w:r>
      <w:r w:rsidR="000E25C9" w:rsidRPr="004E3A00">
        <w:rPr>
          <w:rFonts w:ascii="Arial" w:eastAsia="Times New Roman" w:hAnsi="Arial" w:cs="Arial"/>
          <w:color w:val="000000"/>
          <w:lang w:eastAsia="en-GB"/>
        </w:rPr>
        <w:t xml:space="preserve"> transition </w:t>
      </w:r>
      <w:r w:rsidR="00780DF1" w:rsidRPr="004E3A00">
        <w:rPr>
          <w:rFonts w:ascii="Arial" w:eastAsia="Times New Roman" w:hAnsi="Arial" w:cs="Arial"/>
          <w:color w:val="000000"/>
          <w:lang w:eastAsia="en-GB"/>
        </w:rPr>
        <w:t xml:space="preserve">of forests </w:t>
      </w:r>
      <w:r w:rsidR="000E25C9" w:rsidRPr="004E3A00">
        <w:rPr>
          <w:rFonts w:ascii="Arial" w:eastAsia="Times New Roman" w:hAnsi="Arial" w:cs="Arial"/>
          <w:color w:val="000000"/>
          <w:lang w:eastAsia="en-GB"/>
        </w:rPr>
        <w:t xml:space="preserve">to </w:t>
      </w:r>
      <w:r w:rsidR="00780DF1" w:rsidRPr="004E3A00">
        <w:rPr>
          <w:rFonts w:ascii="Arial" w:eastAsia="Times New Roman" w:hAnsi="Arial" w:cs="Arial"/>
          <w:color w:val="000000"/>
          <w:lang w:eastAsia="en-GB"/>
        </w:rPr>
        <w:t>relatively treeless</w:t>
      </w:r>
      <w:r w:rsidR="000E25C9" w:rsidRPr="004E3A00">
        <w:rPr>
          <w:rFonts w:ascii="Arial" w:eastAsia="Times New Roman" w:hAnsi="Arial" w:cs="Arial"/>
          <w:color w:val="000000"/>
          <w:lang w:eastAsia="en-GB"/>
        </w:rPr>
        <w:t xml:space="preserve"> states </w:t>
      </w:r>
      <w:r w:rsidR="000E25C9"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0E25C9"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0E25C9" w:rsidRPr="004E3A00">
        <w:rPr>
          <w:rFonts w:ascii="Arial" w:eastAsia="Times New Roman" w:hAnsi="Arial" w:cs="Arial"/>
          <w:color w:val="000000"/>
          <w:lang w:eastAsia="en-GB"/>
        </w:rPr>
        <w:fldChar w:fldCharType="end"/>
      </w:r>
      <w:r w:rsidR="000E25C9" w:rsidRPr="004E3A00">
        <w:rPr>
          <w:rFonts w:ascii="Arial" w:eastAsia="Times New Roman" w:hAnsi="Arial" w:cs="Arial"/>
          <w:color w:val="000000"/>
          <w:lang w:eastAsia="en-GB"/>
        </w:rPr>
        <w:t>.</w:t>
      </w:r>
    </w:p>
    <w:p w:rsidR="004F6967" w:rsidRDefault="00C94F83" w:rsidP="004F6967">
      <w:pPr>
        <w:spacing w:after="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Transitions from one ecosystem state to another </w:t>
      </w:r>
      <w:r w:rsidR="004C5D56" w:rsidRPr="004E3A00">
        <w:rPr>
          <w:rFonts w:ascii="Arial" w:eastAsia="Times New Roman" w:hAnsi="Arial" w:cs="Arial"/>
          <w:color w:val="000000"/>
          <w:lang w:eastAsia="en-GB"/>
        </w:rPr>
        <w:t xml:space="preserve">occur when </w:t>
      </w:r>
      <w:r w:rsidR="00D415C3">
        <w:rPr>
          <w:rFonts w:ascii="Arial" w:eastAsia="Times New Roman" w:hAnsi="Arial" w:cs="Arial"/>
          <w:color w:val="000000"/>
          <w:lang w:eastAsia="en-GB"/>
        </w:rPr>
        <w:t>disturbances</w:t>
      </w:r>
      <w:r w:rsidR="004C5D56" w:rsidRPr="004E3A00">
        <w:rPr>
          <w:rFonts w:ascii="Arial" w:eastAsia="Times New Roman" w:hAnsi="Arial" w:cs="Arial"/>
          <w:color w:val="000000"/>
          <w:lang w:eastAsia="en-GB"/>
        </w:rPr>
        <w:t xml:space="preserve"> </w:t>
      </w:r>
      <w:r w:rsidR="00D415C3">
        <w:rPr>
          <w:rFonts w:ascii="Arial" w:eastAsia="Times New Roman" w:hAnsi="Arial" w:cs="Arial"/>
          <w:color w:val="000000"/>
          <w:lang w:eastAsia="en-GB"/>
        </w:rPr>
        <w:fldChar w:fldCharType="begin" w:fldLock="1"/>
      </w:r>
      <w:r w:rsidR="008D6CB8">
        <w:rPr>
          <w:rFonts w:ascii="Arial" w:eastAsia="Times New Roman" w:hAnsi="Arial" w:cs="Arial"/>
          <w:color w:val="000000"/>
          <w:lang w:eastAsia="en-GB"/>
        </w:rPr>
        <w:instrText>ADDIN CSL_CITATION { "citationItems" : [ { "id" : "ITEM-1", "itemData" : { "author" : [ { "dropping-particle" : "", "family" : "Sousa", "given" : "W.P", "non-dropping-particle" : "", "parse-names" : false, "suffix" : "" } ], "container-title" : "Marine Community Ecology", "editor" : [ { "dropping-particle" : "", "family" : "Bertness", "given" : "M.D.", "non-dropping-particle" : "", "parse-names" : false, "suffix" : "" }, { "dropping-particle" : "", "family" : "Gaines", "given" : "S.", "non-dropping-particle" : "", "parse-names" : false, "suffix" : "" }, { "dropping-particle" : "", "family" : "Hay", "given" : "M.E.", "non-dropping-particle" : "", "parse-names" : false, "suffix" : "" } ], "id" : "ITEM-1", "issued" : { "date-parts" : [ [ "2001" ] ] }, "page" : "85-130", "publisher" : "Sinauer Associates Inc.", "publisher-place" : "Sunderland , MA", "title" : "Natural disturbance and the dynamics of marine benthic communities", "type" : "chapter" }, "label" : "line", "prefix" : "sensu ", "uris" : [ "http://www.mendeley.com/documents/?uuid=6763bd4d-1f78-4f7d-b572-bbcca7c01808" ] } ], "mendeley" : { "formattedCitation" : "(sensu Sousa 2001)", "plainTextFormattedCitation" : "(sensu Sousa 2001)", "previouslyFormattedCitation" : "(sensu Sousa 2001)" }, "properties" : { "noteIndex" : 0 }, "schema" : "https://github.com/citation-style-language/schema/raw/master/csl-citation.json" }</w:instrText>
      </w:r>
      <w:r w:rsidR="00D415C3">
        <w:rPr>
          <w:rFonts w:ascii="Arial" w:eastAsia="Times New Roman" w:hAnsi="Arial" w:cs="Arial"/>
          <w:color w:val="000000"/>
          <w:lang w:eastAsia="en-GB"/>
        </w:rPr>
        <w:fldChar w:fldCharType="separate"/>
      </w:r>
      <w:r w:rsidR="00D415C3" w:rsidRPr="00D415C3">
        <w:rPr>
          <w:rFonts w:ascii="Arial" w:eastAsia="Times New Roman" w:hAnsi="Arial" w:cs="Arial"/>
          <w:noProof/>
          <w:color w:val="000000"/>
          <w:lang w:eastAsia="en-GB"/>
        </w:rPr>
        <w:t>(</w:t>
      </w:r>
      <w:r w:rsidR="00D415C3" w:rsidRPr="00D415C3">
        <w:rPr>
          <w:rFonts w:ascii="Arial" w:eastAsia="Times New Roman" w:hAnsi="Arial" w:cs="Arial"/>
          <w:i/>
          <w:noProof/>
          <w:color w:val="000000"/>
          <w:lang w:eastAsia="en-GB"/>
        </w:rPr>
        <w:t>sensu</w:t>
      </w:r>
      <w:r w:rsidR="00D415C3" w:rsidRPr="00D415C3">
        <w:rPr>
          <w:rFonts w:ascii="Arial" w:eastAsia="Times New Roman" w:hAnsi="Arial" w:cs="Arial"/>
          <w:noProof/>
          <w:color w:val="000000"/>
          <w:lang w:eastAsia="en-GB"/>
        </w:rPr>
        <w:t xml:space="preserve"> Sousa 2001)</w:t>
      </w:r>
      <w:r w:rsidR="00D415C3">
        <w:rPr>
          <w:rFonts w:ascii="Arial" w:eastAsia="Times New Roman" w:hAnsi="Arial" w:cs="Arial"/>
          <w:color w:val="000000"/>
          <w:lang w:eastAsia="en-GB"/>
        </w:rPr>
        <w:fldChar w:fldCharType="end"/>
      </w:r>
      <w:r w:rsidR="00D415C3">
        <w:rPr>
          <w:rFonts w:ascii="Arial" w:eastAsia="Times New Roman" w:hAnsi="Arial" w:cs="Arial"/>
          <w:color w:val="000000"/>
          <w:lang w:eastAsia="en-GB"/>
        </w:rPr>
        <w:t xml:space="preserve"> </w:t>
      </w:r>
      <w:r w:rsidR="00075D5E">
        <w:rPr>
          <w:rFonts w:ascii="Arial" w:eastAsia="Times New Roman" w:hAnsi="Arial" w:cs="Arial"/>
          <w:color w:val="000000"/>
          <w:lang w:eastAsia="en-GB"/>
        </w:rPr>
        <w:t xml:space="preserve">resulting in death of organisms </w:t>
      </w:r>
      <w:r w:rsidR="00E64C63">
        <w:rPr>
          <w:rFonts w:ascii="Arial" w:eastAsia="Times New Roman" w:hAnsi="Arial" w:cs="Arial"/>
          <w:color w:val="000000"/>
          <w:lang w:eastAsia="en-GB"/>
        </w:rPr>
        <w:t>cause</w:t>
      </w:r>
      <w:r w:rsidR="004C5D56" w:rsidRPr="004E3A00">
        <w:rPr>
          <w:rFonts w:ascii="Arial" w:eastAsia="Times New Roman" w:hAnsi="Arial" w:cs="Arial"/>
          <w:color w:val="000000"/>
          <w:lang w:eastAsia="en-GB"/>
        </w:rPr>
        <w:t xml:space="preserve"> changes to a system from which it fails to recover </w:t>
      </w:r>
      <w:r w:rsidR="004C5D5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"10.1016/j.tree.2015.07.008", "ISSN" : "01695347", "author" : [ { "dropping-particle" : "", "family" : "Nimmo", "given" : "D.G.", "non-dropping-particle" : "", "parse-names" : false, "suffix" : "" }, { "dropping-particle" : "", "family" : "Nally", "given" : "R.", "non-dropping-particle" : "Mac", "parse-names" : false, "suffix" : "" }, { "dropping-particle" : "", "family" : "Cunningham", "given" : "S.C.", "non-dropping-particle" : "", "parse-names" : false, "suffix" : "" }, { "dropping-particle" : "", "family" : "Haslem", "given" : "a.", "non-dropping-particle" : "", "parse-names" : false, "suffix" : "" }, { "dropping-particle" : "", "family" : "Bennett", "given" : "a.F.", "non-dropping-particle" : "", "parse-names" : false, "suffix" : "" } ], "container-title" : "Trends in Ecology &amp; Evolution", "id" : "ITEM-1", "issue" : "i", "issued" : { "date-parts" : [ [ "2015" ] ] }, "page" : "1-8", "publisher" : "Elsevier Ltd", "title" : "Vive la r\u00e9sistance: reviving resistance for 21st century conservation", "type" : "article-journal" }, "uris" : [ "http://www.mendeley.com/documents/?uuid=603a1718-8af2-417d-8b8b-683041e3b635" ] } ], "mendeley" : { "formattedCitation" : "(Nimmo &lt;i&gt;et al.&lt;/i&gt; 2015)", "plainTextFormattedCitation" : "(Nimmo et al. 2015)", "previouslyFormattedCitation" : "(Nimmo &lt;i&gt;et al.&lt;/i&gt; 2015)" }, "properties" : { "noteIndex" : 0 }, "schema" : "https://github.com/citation-style-language/schema/raw/master/csl-citation.json" }</w:instrText>
      </w:r>
      <w:r w:rsidR="004C5D5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(Nimmo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4C5D56" w:rsidRPr="004E3A00">
        <w:rPr>
          <w:rFonts w:ascii="Arial" w:eastAsia="Times New Roman" w:hAnsi="Arial" w:cs="Arial"/>
          <w:color w:val="000000"/>
          <w:lang w:eastAsia="en-GB"/>
        </w:rPr>
        <w:fldChar w:fldCharType="end"/>
      </w:r>
      <w:r w:rsidR="004C5D56" w:rsidRPr="004E3A00">
        <w:rPr>
          <w:rFonts w:ascii="Arial" w:eastAsia="Times New Roman" w:hAnsi="Arial" w:cs="Arial"/>
          <w:color w:val="000000"/>
          <w:lang w:eastAsia="en-GB"/>
        </w:rPr>
        <w:t>.</w:t>
      </w:r>
      <w:r w:rsidR="00075D5E">
        <w:rPr>
          <w:rFonts w:ascii="Arial" w:eastAsia="Times New Roman" w:hAnsi="Arial" w:cs="Arial"/>
          <w:color w:val="000000"/>
          <w:lang w:eastAsia="en-GB"/>
        </w:rPr>
        <w:t xml:space="preserve"> These disturbances may represent instantaneous or continuous alteration of </w:t>
      </w:r>
      <w:r w:rsidR="008D6CB8">
        <w:rPr>
          <w:rFonts w:ascii="Arial" w:eastAsia="Times New Roman" w:hAnsi="Arial" w:cs="Arial"/>
          <w:color w:val="000000"/>
          <w:lang w:eastAsia="en-GB"/>
        </w:rPr>
        <w:t xml:space="preserve">species abundances, which are respectively termed pulse and press disturbances </w:t>
      </w:r>
      <w:r w:rsidR="008D6CB8">
        <w:rPr>
          <w:rFonts w:ascii="Arial" w:eastAsia="Times New Roman" w:hAnsi="Arial" w:cs="Arial"/>
          <w:color w:val="000000"/>
          <w:lang w:eastAsia="en-GB"/>
        </w:rPr>
        <w:fldChar w:fldCharType="begin" w:fldLock="1"/>
      </w:r>
      <w:r w:rsidR="004F6967">
        <w:rPr>
          <w:rFonts w:ascii="Arial" w:eastAsia="Times New Roman" w:hAnsi="Arial" w:cs="Arial"/>
          <w:color w:val="000000"/>
          <w:lang w:eastAsia="en-GB"/>
        </w:rPr>
        <w:instrText>ADDIN CSL_CITATION { "citationItems" : [ { "id" : "ITEM-1", "itemData" : { "DOI" : "10.2307/1939452", "ISSN" : "00129658", "abstract" : "We analyze perturbation experiments performed on real and ealized ecological communities. A community may be considered as a black box in the sense that the individual species grow and interact in complicated ways that are difficult to discern. Yet, by observing the response (output) of the system to natural or human\u2014induced disturbances (inputs), information can be gained regarding the character and strengths of species interactions. We decline a perturbation as selective alteration of the density of one or more members of the community, and we distinguish two quite different kinds of perturbations. A PULSE perturbation is a relatively instantaneous alteration of species numbers, after which the system is studied as it \"relaxes\" back to its previous equilibrium state. A PRESS perturbation is a sustained alteration of species densities (often a complete elimination of particular species): it is maintained until the unperturbed species reach a new equilibrium. The measure of interest in PRESS perturbation ...", "author" : [ { "dropping-particle" : "", "family" : "Bender", "given" : "Edward A.", "non-dropping-particle" : "", "parse-names" : false, "suffix" : "" }, { "dropping-particle" : "", "family" : "Case", "given" : "Ted J.", "non-dropping-particle" : "", "parse-names" : false, "suffix" : "" }, { "dropping-particle" : "", "family" : "Gilpin", "given" : "Michael E.", "non-dropping-particle" : "", "parse-names" : false, "suffix" : "" } ], "container-title" : "Ecology", "id" : "ITEM-1", "issue" : "1", "issued" : { "date-parts" : [ [ "1984", "2", "11" ] ] }, "language" : "EN", "page" : "1", "title" : "Perturbation Experiments in Community Ecology: Theory and Practice", "type" : "article-journal", "volume" : "65" }, "uris" : [ "http://www.mendeley.com/documents/?uuid=b8a91f67-469b-4905-ac36-ed3723b5a3c3" ] } ], "mendeley" : { "formattedCitation" : "(Bender, Case &amp; Gilpin 1984)", "plainTextFormattedCitation" : "(Bender, Case &amp; Gilpin 1984)", "previouslyFormattedCitation" : "(Bender, Case &amp; Gilpin 1984)" }, "properties" : { "noteIndex" : 0 }, "schema" : "https://github.com/citation-style-language/schema/raw/master/csl-citation.json" }</w:instrText>
      </w:r>
      <w:r w:rsidR="008D6CB8">
        <w:rPr>
          <w:rFonts w:ascii="Arial" w:eastAsia="Times New Roman" w:hAnsi="Arial" w:cs="Arial"/>
          <w:color w:val="000000"/>
          <w:lang w:eastAsia="en-GB"/>
        </w:rPr>
        <w:fldChar w:fldCharType="separate"/>
      </w:r>
      <w:r w:rsidR="008D6CB8" w:rsidRPr="008D6CB8">
        <w:rPr>
          <w:rFonts w:ascii="Arial" w:eastAsia="Times New Roman" w:hAnsi="Arial" w:cs="Arial"/>
          <w:noProof/>
          <w:color w:val="000000"/>
          <w:lang w:eastAsia="en-GB"/>
        </w:rPr>
        <w:t>(Bender, Case &amp; Gilpin 1984)</w:t>
      </w:r>
      <w:r w:rsidR="008D6CB8">
        <w:rPr>
          <w:rFonts w:ascii="Arial" w:eastAsia="Times New Roman" w:hAnsi="Arial" w:cs="Arial"/>
          <w:color w:val="000000"/>
          <w:lang w:eastAsia="en-GB"/>
        </w:rPr>
        <w:fldChar w:fldCharType="end"/>
      </w:r>
      <w:r w:rsidR="008D6CB8">
        <w:rPr>
          <w:rFonts w:ascii="Arial" w:eastAsia="Times New Roman" w:hAnsi="Arial" w:cs="Arial"/>
          <w:color w:val="000000"/>
          <w:lang w:eastAsia="en-GB"/>
        </w:rPr>
        <w:t xml:space="preserve">. </w:t>
      </w:r>
      <w:r w:rsidR="004F6967">
        <w:rPr>
          <w:rFonts w:ascii="Arial" w:eastAsia="Times New Roman" w:hAnsi="Arial" w:cs="Arial"/>
          <w:color w:val="000000"/>
          <w:lang w:eastAsia="en-GB"/>
        </w:rPr>
        <w:t xml:space="preserve">Critically, what is considered to be ‘instantaneous’ or ‘continuous’ depends on the generation time of the organisms in an assembly </w:t>
      </w:r>
      <w:r w:rsidR="004F6967">
        <w:rPr>
          <w:rFonts w:ascii="Arial" w:eastAsia="Times New Roman" w:hAnsi="Arial" w:cs="Arial"/>
          <w:color w:val="000000"/>
          <w:lang w:eastAsia="en-GB"/>
        </w:rPr>
        <w:fldChar w:fldCharType="begin" w:fldLock="1"/>
      </w:r>
      <w:r w:rsidR="004C4BD3">
        <w:rPr>
          <w:rFonts w:ascii="Arial" w:eastAsia="Times New Roman" w:hAnsi="Arial" w:cs="Arial"/>
          <w:color w:val="000000"/>
          <w:lang w:eastAsia="en-GB"/>
        </w:rPr>
        <w:instrText>ADDIN CSL_CITATION { "citationItems" : [ { "id" : "ITEM-1", "itemData" : { "DOI" : "10.3389/fmicb.2012.00417", "ISSN" : "1664-302X", "author" : [ { "dropping-particle" : "", "family" : "Shade", "given" : "Ashley", "non-dropping-particle" : "", "parse-names" : false, "suffix" : "" }, { "dropping-particle" : "", "family" : "Peter", "given" : "Hannes", "non-dropping-particle" : "", "parse-names" : false, "suffix" : "" }, { "dropping-particle" : "", "family" : "Allison", "given" : "Steven D.", "non-dropping-particle" : "", "parse-names" : false, "suffix" : "" }, { "dropping-particle" : "", "family" : "Baho", "given" : "Didier L.", "non-dropping-particle" : "", "parse-names" : false, "suffix" : "" }, { "dropping-particle" : "", "family" : "Berga", "given" : "Merc\u00e8", "non-dropping-particle" : "", "parse-names" : false, "suffix" : "" }, { "dropping-particle" : "", "family" : "B\u00fcrgmann", "given" : "Helmut", "non-dropping-particle" : "", "parse-names" : false, "suffix" : "" }, { "dropping-particle" : "", "family" : "Huber", "given" : "David H.", "non-dropping-particle" : "", "parse-names" : false, "suffix" : "" }, { "dropping-particle" : "", "family" : "Langenheder", "given" : "Silke", "non-dropping-particle" : "", "parse-names" : false, "suffix" : "" }, { "dropping-particle" : "", "family" : "Lennon", "given" : "Jay T.", "non-dropping-particle" : "", "parse-names" : false, "suffix" : "" }, { "dropping-particle" : "", "family" : "Martiny", "given" : "Jennifer B. H.", "non-dropping-particle" : "", "parse-names" : false, "suffix" : "" }, { "dropping-particle" : "", "family" : "Matulich", "given" : "Kristin L.", "non-dropping-particle" : "", "parse-names" : false, "suffix" : "" }, { "dropping-particle" : "", "family" : "Schmidt", "given" : "Thomas M.", "non-dropping-particle" : "", "parse-names" : false, "suffix" : "" }, { "dropping-particle" : "", "family" : "Handelsman", "given" : "Jo", "non-dropping-particle" : "", "parse-names" : false, "suffix" : "" } ], "container-title" : "Frontiers in Microbiology", "id" : "ITEM-1", "issue" : "December", "issued" : { "date-parts" : [ [ "2012" ] ] }, "page" : "1-19", "title" : "Fundamentals of Microbial Community Resistance and Resilience", "type" : "article-journal", "volume" : "3" }, "uris" : [ "http://www.mendeley.com/documents/?uuid=cb896f97-fd05-40eb-b696-3e4b9e780019" ] } ], "mendeley" : { "formattedCitation" : "(Shade &lt;i&gt;et al.&lt;/i&gt; 2012)", "plainTextFormattedCitation" : "(Shade et al. 2012)", "previouslyFormattedCitation" : "(Shade &lt;i&gt;et al.&lt;/i&gt; 2012)" }, "properties" : { "noteIndex" : 0 }, "schema" : "https://github.com/citation-style-language/schema/raw/master/csl-citation.json" }</w:instrText>
      </w:r>
      <w:r w:rsidR="004F6967">
        <w:rPr>
          <w:rFonts w:ascii="Arial" w:eastAsia="Times New Roman" w:hAnsi="Arial" w:cs="Arial"/>
          <w:color w:val="000000"/>
          <w:lang w:eastAsia="en-GB"/>
        </w:rPr>
        <w:fldChar w:fldCharType="separate"/>
      </w:r>
      <w:r w:rsidR="004F6967" w:rsidRPr="004F6967">
        <w:rPr>
          <w:rFonts w:ascii="Arial" w:eastAsia="Times New Roman" w:hAnsi="Arial" w:cs="Arial"/>
          <w:noProof/>
          <w:color w:val="000000"/>
          <w:lang w:eastAsia="en-GB"/>
        </w:rPr>
        <w:t xml:space="preserve">(Shade </w:t>
      </w:r>
      <w:r w:rsidR="004F6967" w:rsidRPr="004F6967">
        <w:rPr>
          <w:rFonts w:ascii="Arial" w:eastAsia="Times New Roman" w:hAnsi="Arial" w:cs="Arial"/>
          <w:i/>
          <w:noProof/>
          <w:color w:val="000000"/>
          <w:lang w:eastAsia="en-GB"/>
        </w:rPr>
        <w:t>et al.</w:t>
      </w:r>
      <w:r w:rsidR="004F6967" w:rsidRPr="004F6967">
        <w:rPr>
          <w:rFonts w:ascii="Arial" w:eastAsia="Times New Roman" w:hAnsi="Arial" w:cs="Arial"/>
          <w:noProof/>
          <w:color w:val="000000"/>
          <w:lang w:eastAsia="en-GB"/>
        </w:rPr>
        <w:t xml:space="preserve"> 2012)</w:t>
      </w:r>
      <w:r w:rsidR="004F6967">
        <w:rPr>
          <w:rFonts w:ascii="Arial" w:eastAsia="Times New Roman" w:hAnsi="Arial" w:cs="Arial"/>
          <w:color w:val="000000"/>
          <w:lang w:eastAsia="en-GB"/>
        </w:rPr>
        <w:fldChar w:fldCharType="end"/>
      </w:r>
      <w:r w:rsidR="004F6967">
        <w:rPr>
          <w:rFonts w:ascii="Arial" w:eastAsia="Times New Roman" w:hAnsi="Arial" w:cs="Arial"/>
          <w:color w:val="000000"/>
          <w:lang w:eastAsia="en-GB"/>
        </w:rPr>
        <w:t xml:space="preserve">. </w:t>
      </w:r>
      <w:r w:rsidR="004C5D56" w:rsidRPr="004E3A00">
        <w:rPr>
          <w:rFonts w:ascii="Arial" w:eastAsia="Times New Roman" w:hAnsi="Arial" w:cs="Arial"/>
          <w:color w:val="000000"/>
          <w:lang w:eastAsia="en-GB"/>
        </w:rPr>
        <w:t xml:space="preserve">Theory relating to ecosystem resilience suggests that </w:t>
      </w:r>
      <w:r w:rsidR="00E64C63">
        <w:rPr>
          <w:rFonts w:ascii="Arial" w:eastAsia="Times New Roman" w:hAnsi="Arial" w:cs="Arial"/>
          <w:color w:val="000000"/>
          <w:lang w:eastAsia="en-GB"/>
        </w:rPr>
        <w:t xml:space="preserve">interactions between different drivers may result </w:t>
      </w:r>
      <w:r w:rsidR="004C5D56" w:rsidRPr="004E3A00">
        <w:rPr>
          <w:rFonts w:ascii="Arial" w:eastAsia="Times New Roman" w:hAnsi="Arial" w:cs="Arial"/>
          <w:color w:val="000000"/>
          <w:lang w:eastAsia="en-GB"/>
        </w:rPr>
        <w:t xml:space="preserve">in positive feedbacks driving the system into a different state </w:t>
      </w:r>
      <w:r w:rsidR="004F6967">
        <w:rPr>
          <w:rFonts w:ascii="Arial" w:eastAsia="Times New Roman" w:hAnsi="Arial" w:cs="Arial"/>
          <w:color w:val="000000"/>
          <w:lang w:eastAsia="en-GB"/>
        </w:rPr>
        <w:t xml:space="preserve">as a result of rapid non-linear regime shifts </w:t>
      </w:r>
      <w:r w:rsidR="006F316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"mendeley" : { "formattedCitation" : "(Scheffer &lt;i&gt;et al.&lt;/i&gt; 2001)", "plainTextFormattedCitation" : "(Scheffer et al. 2001)", "previouslyFormattedCitation" : "(Scheffer &lt;i&gt;et al.&lt;/i&gt; 2001)" }, "properties" : { "noteIndex" : 0 }, "schema" : "https://github.com/citation-style-language/schema/raw/master/csl-citation.json" }</w:instrText>
      </w:r>
      <w:r w:rsidR="006F316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(Scheffer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2001)</w:t>
      </w:r>
      <w:r w:rsidR="006F3166" w:rsidRPr="004E3A00">
        <w:rPr>
          <w:rFonts w:ascii="Arial" w:eastAsia="Times New Roman" w:hAnsi="Arial" w:cs="Arial"/>
          <w:color w:val="000000"/>
          <w:lang w:eastAsia="en-GB"/>
        </w:rPr>
        <w:fldChar w:fldCharType="end"/>
      </w:r>
      <w:r w:rsidR="00CB7AA1" w:rsidRPr="004E3A00">
        <w:rPr>
          <w:rFonts w:ascii="Arial" w:eastAsia="Times New Roman" w:hAnsi="Arial" w:cs="Arial"/>
          <w:color w:val="000000"/>
          <w:lang w:eastAsia="en-GB"/>
        </w:rPr>
        <w:t xml:space="preserve">. </w:t>
      </w:r>
      <w:r w:rsidR="004F6967">
        <w:rPr>
          <w:rFonts w:ascii="Arial" w:eastAsia="Times New Roman" w:hAnsi="Arial" w:cs="Arial"/>
          <w:color w:val="000000"/>
          <w:lang w:eastAsia="en-GB"/>
        </w:rPr>
        <w:t xml:space="preserve">However, linear, gradual changes in </w:t>
      </w:r>
      <w:r w:rsidR="004C4BD3">
        <w:rPr>
          <w:rFonts w:ascii="Arial" w:eastAsia="Times New Roman" w:hAnsi="Arial" w:cs="Arial"/>
          <w:color w:val="000000"/>
          <w:lang w:eastAsia="en-GB"/>
        </w:rPr>
        <w:t xml:space="preserve">ecosystems resulting in a shift to a novel state </w:t>
      </w:r>
      <w:r w:rsidR="00B6284F">
        <w:rPr>
          <w:rFonts w:ascii="Arial" w:eastAsia="Times New Roman" w:hAnsi="Arial" w:cs="Arial"/>
          <w:color w:val="000000"/>
          <w:lang w:eastAsia="en-GB"/>
        </w:rPr>
        <w:t xml:space="preserve">can </w:t>
      </w:r>
      <w:r w:rsidR="004C4BD3">
        <w:rPr>
          <w:rFonts w:ascii="Arial" w:eastAsia="Times New Roman" w:hAnsi="Arial" w:cs="Arial"/>
          <w:color w:val="000000"/>
          <w:lang w:eastAsia="en-GB"/>
        </w:rPr>
        <w:t xml:space="preserve">also occur </w:t>
      </w:r>
      <w:r w:rsidR="004C4BD3">
        <w:rPr>
          <w:rFonts w:ascii="Arial" w:eastAsia="Times New Roman" w:hAnsi="Arial" w:cs="Arial"/>
          <w:color w:val="000000"/>
          <w:lang w:eastAsia="en-GB"/>
        </w:rPr>
        <w:fldChar w:fldCharType="begin" w:fldLock="1"/>
      </w:r>
      <w:r w:rsidR="00812C49">
        <w:rPr>
          <w:rFonts w:ascii="Arial" w:eastAsia="Times New Roman" w:hAnsi="Arial" w:cs="Arial"/>
          <w:color w:val="000000"/>
          <w:lang w:eastAsia="en-GB"/>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"id" : "ITEM-2", "itemData" : { "DOI" : "10.1641/0006-3568(2000)050[0433:EGATEA]2.0.CO;2", "ISBN" : "0006-3568", "ISSN" : "0006-3568", "author" : [ { "dropping-particle" : "", "family" : "Davidson", "given" : "Carlos", "non-dropping-particle" : "", "parse-names" : false, "suffix" : "" } ], "container-title" : "BioScience", "id" : "ITEM-2", "issue" : "5", "issued" : { "date-parts" : [ [ "2000" ] ] }, "page" : "433", "title" : "Economic Growth and the Environment:Alternatives to the Limits Paradigm", "type" : "article-journal", "volume" : "50" }, "uris" : [ "http://www.mendeley.com/documents/?uuid=78afd520-c53f-4249-b9d6-7533b8597c67" ] }, { "id" : "ITEM-3", "itemData" : { "DOI" : "10.3354/meps08691", "ISBN" : "01718630 (ISSN)", "ISSN" : "01718630", "abstract" : "ABSTRACT: The concept of thresholds is applied broadly in ecology to both processes and states that exhibit step-like behavior. Thresholds are observed in parameters, equilibrium states, and in states over time, but presence or absence of thresholds at any of these levels does not provide information about the occurrence of thresholds at the other levels. Here we explore the relationship between thresholds and theory of multiple stable states. We present a 2-species Lotka-Volterra model of competition to illustrate that thresholds and hysteresis-like behavior are possible in linear systems. A grazing model is presented to show that multiple stable states are possible without thresholds in the underlying processes. The concept of thresholds within the context of multiple stable states is reviewed in an attempt to resolve some of the confusion that stems from the different meanings of thresholds.  ", "author" : [ { "dropping-particle" : "", "family" : "Petraitis", "given" : "Peter S.", "non-dropping-particle" : "", "parse-names" : false, "suffix" : "" }, { "dropping-particle" : "", "family" : "Hoffman", "given" : "Catharine", "non-dropping-particle" : "", "parse-names" : false, "suffix" : "" } ], "container-title" : "Marine Ecology Progress Series", "id" : "ITEM-3", "issue" : "1", "issued" : { "date-parts" : [ [ "2010" ] ] }, "page" : "189-200", "title" : "Multiple stable states and relationship between thresholds in processes and states", "type" : "article-journal", "volume" : "413" }, "uris" : [ "http://www.mendeley.com/documents/?uuid=21d0aba0-71f4-4d8b-ab3f-c69b14c93602" ] } ], "mendeley" : { "formattedCitation" : "(Davidson 2000; Petraitis &amp; Hoffman 2010; Petraitis 2013)", "plainTextFormattedCitation" : "(Davidson 2000; Petraitis &amp; Hoffman 2010; Petraitis 2013)", "previouslyFormattedCitation" : "(Davidson 2000; Petraitis &amp; Hoffman 2010; Petraitis 2013)" }, "properties" : { "noteIndex" : 0 }, "schema" : "https://github.com/citation-style-language/schema/raw/master/csl-citation.json" }</w:instrText>
      </w:r>
      <w:r w:rsidR="004C4BD3">
        <w:rPr>
          <w:rFonts w:ascii="Arial" w:eastAsia="Times New Roman" w:hAnsi="Arial" w:cs="Arial"/>
          <w:color w:val="000000"/>
          <w:lang w:eastAsia="en-GB"/>
        </w:rPr>
        <w:fldChar w:fldCharType="separate"/>
      </w:r>
      <w:r w:rsidR="00812C49" w:rsidRPr="00812C49">
        <w:rPr>
          <w:rFonts w:ascii="Arial" w:eastAsia="Times New Roman" w:hAnsi="Arial" w:cs="Arial"/>
          <w:noProof/>
          <w:color w:val="000000"/>
          <w:lang w:eastAsia="en-GB"/>
        </w:rPr>
        <w:t>(Davidson 2000; Petraitis &amp; Hoffman 2010; Petraitis 2013)</w:t>
      </w:r>
      <w:r w:rsidR="004C4BD3">
        <w:rPr>
          <w:rFonts w:ascii="Arial" w:eastAsia="Times New Roman" w:hAnsi="Arial" w:cs="Arial"/>
          <w:color w:val="000000"/>
          <w:lang w:eastAsia="en-GB"/>
        </w:rPr>
        <w:fldChar w:fldCharType="end"/>
      </w:r>
      <w:r w:rsidR="004C4BD3">
        <w:rPr>
          <w:rFonts w:ascii="Arial" w:eastAsia="Times New Roman" w:hAnsi="Arial" w:cs="Arial"/>
          <w:color w:val="000000"/>
          <w:lang w:eastAsia="en-GB"/>
        </w:rPr>
        <w:t>, though have received less attention in the ecological literature.</w:t>
      </w:r>
      <w:r w:rsidR="00812C49">
        <w:rPr>
          <w:rFonts w:ascii="Arial" w:eastAsia="Times New Roman" w:hAnsi="Arial" w:cs="Arial"/>
          <w:color w:val="000000"/>
          <w:lang w:eastAsia="en-GB"/>
        </w:rPr>
        <w:t xml:space="preserve"> Importantly, the presence of positive feedbacks may make recovery of a system to a desired state difficult, while linear change may be more easily reversed via management </w:t>
      </w:r>
      <w:r w:rsidR="00812C49">
        <w:rPr>
          <w:rFonts w:ascii="Arial" w:eastAsia="Times New Roman" w:hAnsi="Arial" w:cs="Arial"/>
          <w:color w:val="000000"/>
          <w:lang w:eastAsia="en-GB"/>
        </w:rPr>
        <w:fldChar w:fldCharType="begin" w:fldLock="1"/>
      </w:r>
      <w:r w:rsidR="002324D1">
        <w:rPr>
          <w:rFonts w:ascii="Arial" w:eastAsia="Times New Roman" w:hAnsi="Arial" w:cs="Arial"/>
          <w:color w:val="000000"/>
          <w:lang w:eastAsia="en-GB"/>
        </w:rPr>
        <w:instrText>ADDIN CSL_CITATION { "citationItems" : [ { "id" : "ITEM-1", "itemData" : { "DOI" : "10.1038/nnano.2011.191", "ISBN" : "1708-3087", "ISSN" : "17083087", "PMID" : "22056728", "abstract" : "Resilience thinking addresses the dynamics and development of complex social-ecological systems (SES). Three aspects are central: resilience, adaptability and transformability. These aspects interrelate across multiple scales. Resilience in this context is the capacity of a SES to continually change and adapt yet remain within critical thresholds. Adaptability is part of resilience. It represents the capacity to adjust responses to changing external drivers and internal processes and thereby allow for development along the current trajectory (stability domain). Transformability is the capacity to cross thresholds into new development trajectories. Transformational change at smaller scales enables resilience at larger scales. The capacity to transform at smaller scales draws on resilience from multiple scales, making use of crises as windows of opportunity for novelty and innovation, and recombining sources of experience and knowledge to navigate social-ecological transitions. Society must seriously consider ways to foster resilience of smaller more manageable SESs that contribute to Earth System resilience and to explore options for deliberate transformation of SESs that threaten Earth System resilience.", "author" : [ { "dropping-particle" : "", "family" : "Folke", "given" : "Carl", "non-dropping-particle" : "", "parse-names" : false, "suffix" : "" }, { "dropping-particle" : "", "family" : "Carpenter", "given" : "Stephen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"Chapin", "given" : "Terry", "non-dropping-particle" : "", "parse-names" : false, "suffix" : "" }, { "dropping-particle" : "", "family" : "Rockstr\u00f6m", "given" : "Johan", "non-dropping-particle" : "", "parse-names" : false, "suffix" : "" } ], "container-title" : "Ecology and Society", "id" : "ITEM-1", "issue" : "4", "issued" : { "date-parts" : [ [ "2010" ] ] }, "title" : "Resilience thinking: Integrating resilience, adaptability and transformability", "type" : "article-journal", "volume" : "15" }, "uris" : [ "http://www.mendeley.com/documents/?uuid=020e0458-45a8-41cd-9248-b6fcd3e75175" ] } ], "mendeley" : { "formattedCitation" : "(Folke &lt;i&gt;et al.&lt;/i&gt; 2010)", "plainTextFormattedCitation" : "(Folke et al. 2010)", "previouslyFormattedCitation" : "(Folke &lt;i&gt;et al.&lt;/i&gt; 2010)" }, "properties" : { "noteIndex" : 0 }, "schema" : "https://github.com/citation-style-language/schema/raw/master/csl-citation.json" }</w:instrText>
      </w:r>
      <w:r w:rsidR="00812C49">
        <w:rPr>
          <w:rFonts w:ascii="Arial" w:eastAsia="Times New Roman" w:hAnsi="Arial" w:cs="Arial"/>
          <w:color w:val="000000"/>
          <w:lang w:eastAsia="en-GB"/>
        </w:rPr>
        <w:fldChar w:fldCharType="separate"/>
      </w:r>
      <w:r w:rsidR="00812C49" w:rsidRPr="00812C49">
        <w:rPr>
          <w:rFonts w:ascii="Arial" w:eastAsia="Times New Roman" w:hAnsi="Arial" w:cs="Arial"/>
          <w:noProof/>
          <w:color w:val="000000"/>
          <w:lang w:eastAsia="en-GB"/>
        </w:rPr>
        <w:t xml:space="preserve">(Folke </w:t>
      </w:r>
      <w:r w:rsidR="00812C49" w:rsidRPr="00812C49">
        <w:rPr>
          <w:rFonts w:ascii="Arial" w:eastAsia="Times New Roman" w:hAnsi="Arial" w:cs="Arial"/>
          <w:i/>
          <w:noProof/>
          <w:color w:val="000000"/>
          <w:lang w:eastAsia="en-GB"/>
        </w:rPr>
        <w:t>et al.</w:t>
      </w:r>
      <w:r w:rsidR="00812C49" w:rsidRPr="00812C49">
        <w:rPr>
          <w:rFonts w:ascii="Arial" w:eastAsia="Times New Roman" w:hAnsi="Arial" w:cs="Arial"/>
          <w:noProof/>
          <w:color w:val="000000"/>
          <w:lang w:eastAsia="en-GB"/>
        </w:rPr>
        <w:t xml:space="preserve"> 2010)</w:t>
      </w:r>
      <w:r w:rsidR="00812C49">
        <w:rPr>
          <w:rFonts w:ascii="Arial" w:eastAsia="Times New Roman" w:hAnsi="Arial" w:cs="Arial"/>
          <w:color w:val="000000"/>
          <w:lang w:eastAsia="en-GB"/>
        </w:rPr>
        <w:fldChar w:fldCharType="end"/>
      </w:r>
      <w:r w:rsidR="00812C49">
        <w:rPr>
          <w:rFonts w:ascii="Arial" w:eastAsia="Times New Roman" w:hAnsi="Arial" w:cs="Arial"/>
          <w:color w:val="000000"/>
          <w:lang w:eastAsia="en-GB"/>
        </w:rPr>
        <w:t>.</w:t>
      </w:r>
    </w:p>
    <w:p w:rsidR="00527DD8" w:rsidRDefault="002324D1" w:rsidP="00527DD8">
      <w:pPr>
        <w:spacing w:after="0" w:line="360" w:lineRule="auto"/>
        <w:ind w:firstLine="720"/>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From the perspective of forest conservation</w:t>
      </w:r>
      <w:r w:rsidR="00780DF1" w:rsidRPr="004E3A00">
        <w:rPr>
          <w:rFonts w:ascii="Arial" w:eastAsia="Times New Roman" w:hAnsi="Arial" w:cs="Arial"/>
          <w:color w:val="000000"/>
          <w:lang w:eastAsia="en-GB"/>
        </w:rPr>
        <w:t xml:space="preserve">, feedbacks of particular concern </w:t>
      </w:r>
      <w:r w:rsidR="004618A6" w:rsidRPr="004E3A00">
        <w:rPr>
          <w:rFonts w:ascii="Arial" w:eastAsia="Times New Roman" w:hAnsi="Arial" w:cs="Arial"/>
          <w:color w:val="000000"/>
          <w:lang w:eastAsia="en-GB"/>
        </w:rPr>
        <w:t xml:space="preserve">are </w:t>
      </w:r>
      <w:r w:rsidR="00780DF1" w:rsidRPr="004E3A00">
        <w:rPr>
          <w:rFonts w:ascii="Arial" w:eastAsia="Times New Roman" w:hAnsi="Arial" w:cs="Arial"/>
          <w:color w:val="000000"/>
          <w:lang w:eastAsia="en-GB"/>
        </w:rPr>
        <w:t>those</w:t>
      </w:r>
      <w:r w:rsidR="004618A6" w:rsidRPr="004E3A00">
        <w:rPr>
          <w:rFonts w:ascii="Arial" w:eastAsia="Times New Roman" w:hAnsi="Arial" w:cs="Arial"/>
          <w:color w:val="000000"/>
          <w:lang w:eastAsia="en-GB"/>
        </w:rPr>
        <w:t xml:space="preserve"> between local disturbances </w:t>
      </w:r>
      <w:r w:rsidR="00780DF1" w:rsidRPr="004E3A00">
        <w:rPr>
          <w:rFonts w:ascii="Arial" w:eastAsia="Times New Roman" w:hAnsi="Arial" w:cs="Arial"/>
          <w:color w:val="000000"/>
          <w:lang w:eastAsia="en-GB"/>
        </w:rPr>
        <w:t xml:space="preserve">(e.g. </w:t>
      </w:r>
      <w:r w:rsidR="004618A6" w:rsidRPr="004E3A00">
        <w:rPr>
          <w:rFonts w:ascii="Arial" w:eastAsia="Times New Roman" w:hAnsi="Arial" w:cs="Arial"/>
          <w:color w:val="000000"/>
          <w:lang w:eastAsia="en-GB"/>
        </w:rPr>
        <w:t>fire, pests, drought or deforestation</w:t>
      </w:r>
      <w:r w:rsidR="00780DF1" w:rsidRPr="004E3A00">
        <w:rPr>
          <w:rFonts w:ascii="Arial" w:eastAsia="Times New Roman" w:hAnsi="Arial" w:cs="Arial"/>
          <w:color w:val="000000"/>
          <w:lang w:eastAsia="en-GB"/>
        </w:rPr>
        <w:t>)</w:t>
      </w:r>
      <w:r w:rsidR="004618A6" w:rsidRPr="004E3A00">
        <w:rPr>
          <w:rFonts w:ascii="Arial" w:eastAsia="Times New Roman" w:hAnsi="Arial" w:cs="Arial"/>
          <w:color w:val="000000"/>
          <w:lang w:eastAsia="en-GB"/>
        </w:rPr>
        <w:t xml:space="preserve"> and </w:t>
      </w:r>
      <w:r w:rsidR="00B6284F">
        <w:rPr>
          <w:rFonts w:ascii="Arial" w:eastAsia="Times New Roman" w:hAnsi="Arial" w:cs="Arial"/>
          <w:color w:val="000000"/>
          <w:lang w:eastAsia="en-GB"/>
        </w:rPr>
        <w:t xml:space="preserve">regional </w:t>
      </w:r>
      <w:r w:rsidR="004618A6" w:rsidRPr="004E3A00">
        <w:rPr>
          <w:rFonts w:ascii="Arial" w:eastAsia="Times New Roman" w:hAnsi="Arial" w:cs="Arial"/>
          <w:color w:val="000000"/>
          <w:lang w:eastAsia="en-GB"/>
        </w:rPr>
        <w:t xml:space="preserve">climatic changes that impair regeneration of tree species </w:t>
      </w:r>
      <w:r w:rsidR="004618A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4618A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4618A6" w:rsidRPr="004E3A00">
        <w:rPr>
          <w:rFonts w:ascii="Arial" w:eastAsia="Times New Roman" w:hAnsi="Arial" w:cs="Arial"/>
          <w:color w:val="000000"/>
          <w:lang w:eastAsia="en-GB"/>
        </w:rPr>
        <w:fldChar w:fldCharType="end"/>
      </w:r>
      <w:r w:rsidR="004618A6" w:rsidRPr="004E3A00">
        <w:rPr>
          <w:rFonts w:ascii="Arial" w:eastAsia="Times New Roman" w:hAnsi="Arial" w:cs="Arial"/>
          <w:color w:val="000000"/>
          <w:lang w:eastAsia="en-GB"/>
        </w:rPr>
        <w:t xml:space="preserve">. </w:t>
      </w:r>
      <w:r w:rsidR="00CB7AA1" w:rsidRPr="004E3A00">
        <w:rPr>
          <w:rFonts w:ascii="Arial" w:eastAsia="Times New Roman" w:hAnsi="Arial" w:cs="Arial"/>
          <w:color w:val="000000"/>
          <w:lang w:eastAsia="en-GB"/>
        </w:rPr>
        <w:t xml:space="preserve">For example, logging and deforestation in tropical forests combined with drought and increased </w:t>
      </w:r>
      <w:r>
        <w:rPr>
          <w:rFonts w:ascii="Arial" w:eastAsia="Times New Roman" w:hAnsi="Arial" w:cs="Arial"/>
          <w:color w:val="000000"/>
          <w:lang w:eastAsia="en-GB"/>
        </w:rPr>
        <w:t>fire frequency</w:t>
      </w:r>
      <w:r w:rsidR="00CB7AA1" w:rsidRPr="004E3A00">
        <w:rPr>
          <w:rFonts w:ascii="Arial" w:eastAsia="Times New Roman" w:hAnsi="Arial" w:cs="Arial"/>
          <w:color w:val="000000"/>
          <w:lang w:eastAsia="en-GB"/>
        </w:rPr>
        <w:t xml:space="preserve"> may lead to a shift to </w:t>
      </w:r>
      <w:r>
        <w:rPr>
          <w:rFonts w:ascii="Arial" w:eastAsia="Times New Roman" w:hAnsi="Arial" w:cs="Arial"/>
          <w:color w:val="000000"/>
          <w:lang w:eastAsia="en-GB"/>
        </w:rPr>
        <w:t xml:space="preserve">a </w:t>
      </w:r>
      <w:r w:rsidR="00CB7AA1" w:rsidRPr="004E3A00">
        <w:rPr>
          <w:rFonts w:ascii="Arial" w:eastAsia="Times New Roman" w:hAnsi="Arial" w:cs="Arial"/>
          <w:color w:val="000000"/>
          <w:lang w:eastAsia="en-GB"/>
        </w:rPr>
        <w:t xml:space="preserve">savannah-like vegetation structure </w:t>
      </w:r>
      <w:r w:rsidR="00CB7AA1"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"10.1038/19066", "ISBN" : "0028-0836", "ISSN" : "0028-0836", "abstract" : "Amazonian deforestation rates are used to determine human effects on the global carbon cycle and to measure Brazil's progress in curbing forest impoverishment. But this widely used measure of tropical land use tells only part of the story. Here we present field surveys of wood mills and forest burning across Brazilian Amazonia which show that logging crews severly damage 10,000 to 15,000 km2yr-1 of forest that are not included in deforestation mapping programmes. Moreover, we find that surface fires burn additional large areas of standing forest, the destruction of which is normally not documented. Forest impoverishment due to such fires may increase dramatically when severe droughts provoke forest leaf-shedding and greater flammability; our regional water-balance model indicates that an estimated 270,000 km2 of forest become vulnerable to fire in the 1998 dry season. Overall, we find that present estimates of annual deforestation for Brazilian Amazonia capture less than half of the forest area that is impoverished each year, and fire increases forest vulnerability to future burning and release forest carbon stocks to the atmoshphere, potentially doubling net carbon emissions from regional land-use during severe El Nino episodes. If this forest impoverishment is to be controlled, then logging activities need to be restricted or replaced with low-impact timber harvest techniques, and more effective strategies to prevent accidental forest fires need to be implemented.", "author" : [ { "dropping-particle" : "", "family" : "Nepstad", "given" : "Daniel C", "non-dropping-particle" : "", "parse-names" : false, "suffix" : "" }, { "dropping-particle" : "", "family" : "Verissimo", "given" : "Adalberto", "non-dropping-particle" : "", "parse-names" : false, "suffix" : "" }, { "dropping-particle" : "", "family" : "Alencar", "given" : "Ane", "non-dropping-particle" : "", "parse-names" : false, "suffix" : "" }, { "dropping-particle" : "", "family" : "Nobre", "given" : "Carlos", "non-dropping-particle" : "", "parse-names" : false, "suffix" : "" }, { "dropping-particle" : "", "family" : "Lima", "given" : "Eirivelthon", "non-dropping-particle" : "", "parse-names" : false, "suffix" : "" }, { "dropping-particle" : "", "family" : "Lefebvre", "given" : "Paul", "non-dropping-particle" : "", "parse-names" : false, "suffix" : "" }, { "dropping-particle" : "", "family" : "Schlesinger", "given" : "Peter", "non-dropping-particle" : "", "parse-names" : false, "suffix" : "" }, { "dropping-particle" : "", "family" : "Potter", "given" : "Christopher", "non-dropping-particle" : "", "parse-names" : false, "suffix" : "" }, { "dropping-particle" : "", "family" : "Moutinho", "given" : "Paulo", "non-dropping-particle" : "", "parse-names" : false, "suffix" : "" }, { "dropping-particle" : "", "family" : "Mendoza", "given" : "Elsa", "non-dropping-particle" : "", "parse-names" : false, "suffix" : "" }, { "dropping-particle" : "", "family" : "Cochrane", "given" : "Mark", "non-dropping-particle" : "", "parse-names" : false, "suffix" : "" }, { "dropping-particle" : "", "family" : "Brooks", "given" : "Vanessa", "non-dropping-particle" : "", "parse-names" : false, "suffix" : "" } ], "container-title" : "Nature", "id" : "ITEM-2", "issue" : "1997", "issued" : { "date-parts" : [ [ "1999" ] ] }, "page" : "505-508", "title" : "Large-scale impoverishment of Amazonian forests by logging and fire", "type" : "article-journal", "volume" : "398" }, "uris" : [ "http://www.mendeley.com/documents/?uuid=c427347e-4300-402e-a2c4-4a49df403492" ] } ], "mendeley" : { "formattedCitation" : "(Nepstad &lt;i&gt;et al.&lt;/i&gt; 1999; Barlow &amp; Peres 2008)", "plainTextFormattedCitation" : "(Nepstad et al. 1999; Barlow &amp; Peres 2008)", "previouslyFormattedCitation" : "(Nepstad &lt;i&gt;et al.&lt;/i&gt; 1999; Barlow &amp; Peres 2008)" }, "properties" : { "noteIndex" : 0 }, "schema" : "https://github.com/citation-style-language/schema/raw/master/csl-citation.json" }</w:instrText>
      </w:r>
      <w:r w:rsidR="00CB7AA1"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(Nepstad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1999; Barlow &amp; Peres 2008)</w:t>
      </w:r>
      <w:r w:rsidR="00CB7AA1" w:rsidRPr="004E3A00">
        <w:rPr>
          <w:rFonts w:ascii="Arial" w:eastAsia="Times New Roman" w:hAnsi="Arial" w:cs="Arial"/>
          <w:color w:val="000000"/>
          <w:lang w:eastAsia="en-GB"/>
        </w:rPr>
        <w:fldChar w:fldCharType="end"/>
      </w:r>
      <w:r w:rsidR="00780DF1" w:rsidRPr="004E3A00">
        <w:rPr>
          <w:rFonts w:ascii="Arial" w:eastAsia="Times New Roman" w:hAnsi="Arial" w:cs="Arial"/>
          <w:color w:val="000000"/>
          <w:lang w:eastAsia="en-GB"/>
        </w:rPr>
        <w:t>. Similarly,</w:t>
      </w:r>
      <w:r w:rsidR="00741B3C" w:rsidRPr="004E3A00">
        <w:rPr>
          <w:rFonts w:ascii="Arial" w:eastAsia="Times New Roman" w:hAnsi="Arial" w:cs="Arial"/>
          <w:color w:val="000000"/>
          <w:lang w:eastAsia="en-GB"/>
        </w:rPr>
        <w:t xml:space="preserve"> large disturbances </w:t>
      </w:r>
      <w:r w:rsidR="00BE09E1" w:rsidRPr="004E3A00">
        <w:rPr>
          <w:rFonts w:ascii="Arial" w:eastAsia="Times New Roman" w:hAnsi="Arial" w:cs="Arial"/>
          <w:color w:val="000000"/>
          <w:lang w:eastAsia="en-GB"/>
        </w:rPr>
        <w:t xml:space="preserve">in Mediterranean forests </w:t>
      </w:r>
      <w:r w:rsidR="00741B3C" w:rsidRPr="004E3A00">
        <w:rPr>
          <w:rFonts w:ascii="Arial" w:eastAsia="Times New Roman" w:hAnsi="Arial" w:cs="Arial"/>
          <w:color w:val="000000"/>
          <w:lang w:eastAsia="en-GB"/>
        </w:rPr>
        <w:t xml:space="preserve">can lead to reduced seedling recruitment and invasion by grasses and shrubs, which result in increased fire frequency and further suppression of tree cover </w:t>
      </w:r>
      <w:r w:rsidR="00741B3C" w:rsidRPr="004E3A00">
        <w:rPr>
          <w:rFonts w:ascii="Arial" w:hAnsi="Arial" w:cs="Arial"/>
        </w:rPr>
        <w:fldChar w:fldCharType="begin" w:fldLock="1"/>
      </w:r>
      <w:r w:rsidR="00EC6C08" w:rsidRPr="004E3A00">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741B3C" w:rsidRPr="004E3A00">
        <w:rPr>
          <w:rFonts w:ascii="Arial" w:hAnsi="Arial" w:cs="Arial"/>
        </w:rPr>
        <w:fldChar w:fldCharType="separate"/>
      </w:r>
      <w:r w:rsidR="00732C7B" w:rsidRPr="004E3A00">
        <w:rPr>
          <w:rFonts w:ascii="Arial" w:hAnsi="Arial" w:cs="Arial"/>
          <w:noProof/>
        </w:rPr>
        <w:t xml:space="preserve">(Acácio </w:t>
      </w:r>
      <w:r w:rsidR="00732C7B" w:rsidRPr="004E3A00">
        <w:rPr>
          <w:rFonts w:ascii="Arial" w:hAnsi="Arial" w:cs="Arial"/>
          <w:i/>
          <w:noProof/>
        </w:rPr>
        <w:t>et al.</w:t>
      </w:r>
      <w:r w:rsidR="00732C7B" w:rsidRPr="004E3A00">
        <w:rPr>
          <w:rFonts w:ascii="Arial" w:hAnsi="Arial" w:cs="Arial"/>
          <w:noProof/>
        </w:rPr>
        <w:t xml:space="preserve"> 2007)</w:t>
      </w:r>
      <w:r w:rsidR="00741B3C" w:rsidRPr="004E3A00">
        <w:rPr>
          <w:rFonts w:ascii="Arial" w:hAnsi="Arial" w:cs="Arial"/>
        </w:rPr>
        <w:fldChar w:fldCharType="end"/>
      </w:r>
      <w:r w:rsidR="00741B3C" w:rsidRPr="004E3A00">
        <w:rPr>
          <w:rFonts w:ascii="Arial" w:hAnsi="Arial" w:cs="Arial"/>
        </w:rPr>
        <w:t>.</w:t>
      </w:r>
      <w:r>
        <w:rPr>
          <w:rFonts w:ascii="Arial" w:hAnsi="Arial" w:cs="Arial"/>
        </w:rPr>
        <w:t xml:space="preserve"> </w:t>
      </w:r>
      <w:r w:rsidR="002D258C" w:rsidRPr="004E3A00">
        <w:rPr>
          <w:rFonts w:ascii="Arial" w:eastAsia="Times New Roman" w:hAnsi="Arial" w:cs="Arial"/>
          <w:color w:val="000000"/>
          <w:lang w:eastAsia="en-GB"/>
        </w:rPr>
        <w:t>However,</w:t>
      </w:r>
      <w:r w:rsidR="00E177C4" w:rsidRPr="004E3A00">
        <w:rPr>
          <w:rFonts w:ascii="Arial" w:eastAsia="Times New Roman" w:hAnsi="Arial" w:cs="Arial"/>
          <w:color w:val="000000"/>
          <w:lang w:eastAsia="en-GB"/>
        </w:rPr>
        <w:t xml:space="preserve"> dieback is also occurring in temperate </w:t>
      </w:r>
      <w:r>
        <w:rPr>
          <w:rFonts w:ascii="Arial" w:eastAsia="Times New Roman" w:hAnsi="Arial" w:cs="Arial"/>
          <w:color w:val="000000"/>
          <w:lang w:eastAsia="en-GB"/>
        </w:rPr>
        <w:t>forests</w:t>
      </w:r>
      <w:r w:rsidR="00E177C4" w:rsidRPr="004E3A00">
        <w:rPr>
          <w:rFonts w:ascii="Arial" w:eastAsia="Times New Roman" w:hAnsi="Arial" w:cs="Arial"/>
          <w:color w:val="000000"/>
          <w:lang w:eastAsia="en-GB"/>
        </w:rPr>
        <w:t xml:space="preserve"> that do not exhibit </w:t>
      </w:r>
      <w:r w:rsidR="00780DF1" w:rsidRPr="004E3A00">
        <w:rPr>
          <w:rFonts w:ascii="Arial" w:eastAsia="Times New Roman" w:hAnsi="Arial" w:cs="Arial"/>
          <w:color w:val="000000"/>
          <w:lang w:eastAsia="en-GB"/>
        </w:rPr>
        <w:t>feedback mechanisms</w:t>
      </w:r>
      <w:r w:rsidR="00E177C4" w:rsidRPr="004E3A00">
        <w:rPr>
          <w:rFonts w:ascii="Arial" w:eastAsia="Times New Roman" w:hAnsi="Arial" w:cs="Arial"/>
          <w:color w:val="000000"/>
          <w:lang w:eastAsia="en-GB"/>
        </w:rPr>
        <w:t xml:space="preserve"> </w:t>
      </w:r>
      <w:r w:rsidR="00B6284F">
        <w:rPr>
          <w:rFonts w:ascii="Arial" w:eastAsia="Times New Roman" w:hAnsi="Arial" w:cs="Arial"/>
          <w:color w:val="000000"/>
          <w:lang w:eastAsia="en-GB"/>
        </w:rPr>
        <w:t xml:space="preserve">where fire is </w:t>
      </w:r>
      <w:r w:rsidR="00B6284F">
        <w:rPr>
          <w:rFonts w:ascii="Arial" w:eastAsia="Times New Roman" w:hAnsi="Arial" w:cs="Arial"/>
          <w:color w:val="000000"/>
          <w:lang w:eastAsia="en-GB"/>
        </w:rPr>
        <w:lastRenderedPageBreak/>
        <w:t xml:space="preserve">a primary cause of mortality </w:t>
      </w:r>
      <w:r w:rsidR="00E177C4"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E177C4" w:rsidRPr="004E3A00">
        <w:rPr>
          <w:rFonts w:ascii="Arial" w:eastAsia="Times New Roman" w:hAnsi="Arial" w:cs="Arial"/>
          <w:color w:val="000000"/>
          <w:lang w:eastAsia="en-GB"/>
        </w:rPr>
        <w:fldChar w:fldCharType="separate"/>
      </w:r>
      <w:r w:rsidRPr="002324D1">
        <w:rPr>
          <w:rFonts w:ascii="Arial" w:eastAsia="Times New Roman" w:hAnsi="Arial" w:cs="Arial"/>
          <w:noProof/>
          <w:color w:val="000000"/>
          <w:lang w:eastAsia="en-GB"/>
        </w:rPr>
        <w:t xml:space="preserve">(Martin </w:t>
      </w:r>
      <w:r w:rsidRPr="002324D1">
        <w:rPr>
          <w:rFonts w:ascii="Arial" w:eastAsia="Times New Roman" w:hAnsi="Arial" w:cs="Arial"/>
          <w:i/>
          <w:noProof/>
          <w:color w:val="000000"/>
          <w:lang w:eastAsia="en-GB"/>
        </w:rPr>
        <w:t>et al.</w:t>
      </w:r>
      <w:r w:rsidRPr="002324D1">
        <w:rPr>
          <w:rFonts w:ascii="Arial" w:eastAsia="Times New Roman" w:hAnsi="Arial" w:cs="Arial"/>
          <w:noProof/>
          <w:color w:val="000000"/>
          <w:lang w:eastAsia="en-GB"/>
        </w:rPr>
        <w:t xml:space="preserve"> 2015)</w:t>
      </w:r>
      <w:r w:rsidR="00E177C4" w:rsidRPr="004E3A00">
        <w:rPr>
          <w:rFonts w:ascii="Arial" w:eastAsia="Times New Roman" w:hAnsi="Arial" w:cs="Arial"/>
          <w:color w:val="000000"/>
          <w:lang w:eastAsia="en-GB"/>
        </w:rPr>
        <w:fldChar w:fldCharType="end"/>
      </w:r>
      <w:r w:rsidR="00E177C4" w:rsidRPr="004E3A00">
        <w:rPr>
          <w:rFonts w:ascii="Arial" w:eastAsia="Times New Roman" w:hAnsi="Arial" w:cs="Arial"/>
          <w:color w:val="000000"/>
          <w:lang w:eastAsia="en-GB"/>
        </w:rPr>
        <w:t xml:space="preserve">. </w:t>
      </w:r>
      <w:r w:rsidR="00527DD8">
        <w:rPr>
          <w:rFonts w:ascii="Arial" w:eastAsia="Times New Roman" w:hAnsi="Arial" w:cs="Arial"/>
          <w:color w:val="000000"/>
          <w:lang w:eastAsia="en-GB"/>
        </w:rPr>
        <w:t>T</w:t>
      </w:r>
      <w:r w:rsidR="00E177C4" w:rsidRPr="004E3A00">
        <w:rPr>
          <w:rFonts w:ascii="Arial" w:eastAsia="Times New Roman" w:hAnsi="Arial" w:cs="Arial"/>
          <w:color w:val="000000"/>
          <w:lang w:eastAsia="en-GB"/>
        </w:rPr>
        <w:t xml:space="preserve">ree mortality as a result of climate change, pathogens and insect pests is increasing in many temperate forests </w:t>
      </w:r>
      <w:r w:rsidR="00602857"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"id" : "ITEM-2",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"ITEM-2",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Seidl &lt;i&gt;et al.&lt;/i&gt; 2014)", "plainTextFormattedCitation" : "(van Mantgem et al. 2009; Seidl et al. 2014)", "previouslyFormattedCitation" : "(van Mantgem &lt;i&gt;et al.&lt;/i&gt; 2009; Seidl &lt;i&gt;et al.&lt;/i&gt; 2014)" }, "properties" : { "noteIndex" : 0 }, "schema" : "https://github.com/citation-style-language/schema/raw/master/csl-citation.json" }</w:instrText>
      </w:r>
      <w:r w:rsidR="00602857"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(van Mantgem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2009; Seidl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602857" w:rsidRPr="004E3A00">
        <w:rPr>
          <w:rFonts w:ascii="Arial" w:eastAsia="Times New Roman" w:hAnsi="Arial" w:cs="Arial"/>
          <w:color w:val="000000"/>
          <w:lang w:eastAsia="en-GB"/>
        </w:rPr>
        <w:fldChar w:fldCharType="end"/>
      </w:r>
      <w:r w:rsidR="00602857" w:rsidRPr="004E3A00">
        <w:rPr>
          <w:rFonts w:ascii="Arial" w:eastAsia="Times New Roman" w:hAnsi="Arial" w:cs="Arial"/>
          <w:color w:val="000000"/>
          <w:lang w:eastAsia="en-GB"/>
        </w:rPr>
        <w:t xml:space="preserve"> </w:t>
      </w:r>
      <w:r w:rsidR="00527DD8">
        <w:rPr>
          <w:rFonts w:ascii="Arial" w:eastAsia="Times New Roman" w:hAnsi="Arial" w:cs="Arial"/>
          <w:color w:val="000000"/>
          <w:lang w:eastAsia="en-GB"/>
        </w:rPr>
        <w:t xml:space="preserve">and so </w:t>
      </w:r>
      <w:r w:rsidR="00BE1DE1">
        <w:rPr>
          <w:rFonts w:ascii="Arial" w:eastAsia="Times New Roman" w:hAnsi="Arial" w:cs="Arial"/>
          <w:color w:val="000000"/>
          <w:lang w:eastAsia="en-GB"/>
        </w:rPr>
        <w:t>identification</w:t>
      </w:r>
      <w:r w:rsidR="00E177C4" w:rsidRPr="004E3A00">
        <w:rPr>
          <w:rFonts w:ascii="Arial" w:eastAsia="Times New Roman" w:hAnsi="Arial" w:cs="Arial"/>
          <w:color w:val="000000"/>
          <w:lang w:eastAsia="en-GB"/>
        </w:rPr>
        <w:t xml:space="preserve"> of </w:t>
      </w:r>
      <w:r w:rsidR="00BE1DE1">
        <w:rPr>
          <w:rFonts w:ascii="Arial" w:eastAsia="Times New Roman" w:hAnsi="Arial" w:cs="Arial"/>
          <w:color w:val="000000"/>
          <w:lang w:eastAsia="en-GB"/>
        </w:rPr>
        <w:t xml:space="preserve">potential </w:t>
      </w:r>
      <w:r w:rsidR="00E177C4" w:rsidRPr="004E3A00">
        <w:rPr>
          <w:rFonts w:ascii="Arial" w:eastAsia="Times New Roman" w:hAnsi="Arial" w:cs="Arial"/>
          <w:color w:val="000000"/>
          <w:lang w:eastAsia="en-GB"/>
        </w:rPr>
        <w:t xml:space="preserve">feedbacks that may drive these systems into non-forest states </w:t>
      </w:r>
      <w:r w:rsidR="00527DD8">
        <w:rPr>
          <w:rFonts w:ascii="Arial" w:eastAsia="Times New Roman" w:hAnsi="Arial" w:cs="Arial"/>
          <w:color w:val="000000"/>
          <w:lang w:eastAsia="en-GB"/>
        </w:rPr>
        <w:t xml:space="preserve">is critical to inform </w:t>
      </w:r>
      <w:r w:rsidR="00B6284F">
        <w:rPr>
          <w:rFonts w:ascii="Arial" w:eastAsia="Times New Roman" w:hAnsi="Arial" w:cs="Arial"/>
          <w:color w:val="000000"/>
          <w:lang w:eastAsia="en-GB"/>
        </w:rPr>
        <w:t xml:space="preserve">future </w:t>
      </w:r>
      <w:r w:rsidR="00527DD8">
        <w:rPr>
          <w:rFonts w:ascii="Arial" w:eastAsia="Times New Roman" w:hAnsi="Arial" w:cs="Arial"/>
          <w:color w:val="000000"/>
          <w:lang w:eastAsia="en-GB"/>
        </w:rPr>
        <w:t>management decisions.</w:t>
      </w:r>
    </w:p>
    <w:p w:rsidR="00602857" w:rsidRPr="004E3A00" w:rsidRDefault="00E177C4" w:rsidP="00527DD8">
      <w:pPr>
        <w:spacing w:after="0" w:line="360" w:lineRule="auto"/>
        <w:ind w:firstLine="720"/>
        <w:contextualSpacing/>
        <w:textAlignment w:val="baseline"/>
        <w:rPr>
          <w:rFonts w:ascii="Arial" w:hAnsi="Arial" w:cs="Arial"/>
        </w:rPr>
      </w:pPr>
      <w:r w:rsidRPr="004E3A00">
        <w:rPr>
          <w:rFonts w:ascii="Arial" w:hAnsi="Arial" w:cs="Arial"/>
        </w:rPr>
        <w:t xml:space="preserve">Here we use a </w:t>
      </w:r>
      <w:r w:rsidR="00B6284F">
        <w:rPr>
          <w:rFonts w:ascii="Arial" w:hAnsi="Arial" w:cs="Arial"/>
        </w:rPr>
        <w:t xml:space="preserve">unique </w:t>
      </w:r>
      <w:r w:rsidRPr="004E3A00">
        <w:rPr>
          <w:rFonts w:ascii="Arial" w:hAnsi="Arial" w:cs="Arial"/>
        </w:rPr>
        <w:t xml:space="preserve">long-term data set, collected </w:t>
      </w:r>
      <w:r w:rsidR="00B6284F">
        <w:rPr>
          <w:rFonts w:ascii="Arial" w:hAnsi="Arial" w:cs="Arial"/>
        </w:rPr>
        <w:t xml:space="preserve">over 50 years </w:t>
      </w:r>
      <w:r w:rsidR="00B6284F" w:rsidRPr="004E3A00">
        <w:rPr>
          <w:rFonts w:ascii="Arial" w:hAnsi="Arial" w:cs="Arial"/>
        </w:rPr>
        <w:fldChar w:fldCharType="begin" w:fldLock="1"/>
      </w:r>
      <w:r w:rsidR="00B6284F">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"id" : "ITEM-3",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"ITEM-3",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"(Mountford &lt;i&gt;et al.&lt;/i&gt; 1999; Mountford &amp; Peterken 2003; Martin &lt;i&gt;et al.&lt;/i&gt; 2015)", "plainTextFormattedCitation" : "(Mountford et al. 1999; Mountford &amp; Peterken 2003; Martin et al. 2015)", "previouslyFormattedCitation" : "(Mountford &lt;i&gt;et al.&lt;/i&gt; 1999; Mountford &amp; Peterken 2003; Martin &lt;i&gt;et al.&lt;/i&gt; 2015)" }, "properties" : { "noteIndex" : 0 }, "schema" : "https://github.com/citation-style-language/schema/raw/master/csl-citation.json" }</w:instrText>
      </w:r>
      <w:r w:rsidR="00B6284F" w:rsidRPr="004E3A00">
        <w:rPr>
          <w:rFonts w:ascii="Arial" w:hAnsi="Arial" w:cs="Arial"/>
        </w:rPr>
        <w:fldChar w:fldCharType="separate"/>
      </w:r>
      <w:r w:rsidR="00B6284F" w:rsidRPr="002324D1">
        <w:rPr>
          <w:rFonts w:ascii="Arial" w:hAnsi="Arial" w:cs="Arial"/>
          <w:noProof/>
        </w:rPr>
        <w:t xml:space="preserve">(Mountford </w:t>
      </w:r>
      <w:r w:rsidR="00B6284F" w:rsidRPr="002324D1">
        <w:rPr>
          <w:rFonts w:ascii="Arial" w:hAnsi="Arial" w:cs="Arial"/>
          <w:i/>
          <w:noProof/>
        </w:rPr>
        <w:t>et al.</w:t>
      </w:r>
      <w:r w:rsidR="00B6284F" w:rsidRPr="002324D1">
        <w:rPr>
          <w:rFonts w:ascii="Arial" w:hAnsi="Arial" w:cs="Arial"/>
          <w:noProof/>
        </w:rPr>
        <w:t xml:space="preserve"> 1999; Mountford &amp; Peterken 2003; Martin </w:t>
      </w:r>
      <w:r w:rsidR="00B6284F" w:rsidRPr="002324D1">
        <w:rPr>
          <w:rFonts w:ascii="Arial" w:hAnsi="Arial" w:cs="Arial"/>
          <w:i/>
          <w:noProof/>
        </w:rPr>
        <w:t>et al.</w:t>
      </w:r>
      <w:r w:rsidR="00B6284F" w:rsidRPr="002324D1">
        <w:rPr>
          <w:rFonts w:ascii="Arial" w:hAnsi="Arial" w:cs="Arial"/>
          <w:noProof/>
        </w:rPr>
        <w:t xml:space="preserve"> 2015)</w:t>
      </w:r>
      <w:r w:rsidR="00B6284F" w:rsidRPr="004E3A00">
        <w:rPr>
          <w:rFonts w:ascii="Arial" w:hAnsi="Arial" w:cs="Arial"/>
        </w:rPr>
        <w:fldChar w:fldCharType="end"/>
      </w:r>
      <w:r w:rsidR="00B6284F">
        <w:rPr>
          <w:rFonts w:ascii="Arial" w:hAnsi="Arial" w:cs="Arial"/>
        </w:rPr>
        <w:t xml:space="preserve"> </w:t>
      </w:r>
      <w:r w:rsidRPr="004E3A00">
        <w:rPr>
          <w:rFonts w:ascii="Arial" w:hAnsi="Arial" w:cs="Arial"/>
        </w:rPr>
        <w:t xml:space="preserve">in a temperate forest ecosystem </w:t>
      </w:r>
      <w:r w:rsidR="00B6284F">
        <w:rPr>
          <w:rFonts w:ascii="Arial" w:hAnsi="Arial" w:cs="Arial"/>
        </w:rPr>
        <w:t xml:space="preserve">in southern England </w:t>
      </w:r>
      <w:r w:rsidRPr="004E3A00">
        <w:rPr>
          <w:rFonts w:ascii="Arial" w:hAnsi="Arial" w:cs="Arial"/>
        </w:rPr>
        <w:t xml:space="preserve">that has undergone partial stand dieback in recent decades. </w:t>
      </w:r>
      <w:r w:rsidR="00602857" w:rsidRPr="004E3A00">
        <w:rPr>
          <w:rFonts w:ascii="Arial" w:hAnsi="Arial" w:cs="Arial"/>
        </w:rPr>
        <w:t xml:space="preserve">Using statistical models we investigate correlates of tree mortality and recruitment, both of which include potential feedback mechanisms. We then use results from these models and information from the </w:t>
      </w:r>
      <w:r w:rsidR="00B6284F">
        <w:rPr>
          <w:rFonts w:ascii="Arial" w:hAnsi="Arial" w:cs="Arial"/>
        </w:rPr>
        <w:t xml:space="preserve">scientific </w:t>
      </w:r>
      <w:r w:rsidR="00602857" w:rsidRPr="004E3A00">
        <w:rPr>
          <w:rFonts w:ascii="Arial" w:hAnsi="Arial" w:cs="Arial"/>
        </w:rPr>
        <w:t>literature to produce an individual based model to test the effects of identified feedbacks on forest structure. Specifically, our aims are:</w:t>
      </w:r>
    </w:p>
    <w:p w:rsidR="00602857"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To test the factors that influenced seedling and sapling density</w:t>
      </w:r>
    </w:p>
    <w:p w:rsidR="00602857"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To test the influence of tree size, growth rate, proximity of dead trees and soil characteristics on mature tree mortality</w:t>
      </w:r>
    </w:p>
    <w:p w:rsidR="00E177C4"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Test the influ</w:t>
      </w:r>
      <w:r w:rsidR="006D6CD3" w:rsidRPr="004E3A00">
        <w:rPr>
          <w:rFonts w:ascii="Arial" w:hAnsi="Arial" w:cs="Arial"/>
        </w:rPr>
        <w:t>ence of feedbacks identified in statistical mod</w:t>
      </w:r>
      <w:r w:rsidR="002D258C" w:rsidRPr="004E3A00">
        <w:rPr>
          <w:rFonts w:ascii="Arial" w:hAnsi="Arial" w:cs="Arial"/>
        </w:rPr>
        <w:t xml:space="preserve">els on forest structure using </w:t>
      </w:r>
      <w:r w:rsidR="006D6CD3" w:rsidRPr="004E3A00">
        <w:rPr>
          <w:rFonts w:ascii="Arial" w:hAnsi="Arial" w:cs="Arial"/>
        </w:rPr>
        <w:t>an individual based model</w:t>
      </w:r>
    </w:p>
    <w:p w:rsidR="00602857" w:rsidRPr="004E3A00" w:rsidRDefault="00602857"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 xml:space="preserve">Methods </w:t>
      </w:r>
      <w:r w:rsidR="0056725C" w:rsidRPr="004E3A00">
        <w:rPr>
          <w:rFonts w:ascii="Arial" w:eastAsia="Times New Roman" w:hAnsi="Arial" w:cs="Arial"/>
          <w:b/>
          <w:bCs/>
          <w:color w:val="000000"/>
          <w:lang w:eastAsia="en-GB"/>
        </w:rPr>
        <w:t>(aim for 15</w:t>
      </w:r>
      <w:r w:rsidRPr="004E3A00">
        <w:rPr>
          <w:rFonts w:ascii="Arial" w:eastAsia="Times New Roman" w:hAnsi="Arial" w:cs="Arial"/>
          <w:b/>
          <w:bCs/>
          <w:color w:val="000000"/>
          <w:lang w:eastAsia="en-GB"/>
        </w:rPr>
        <w:t>00 words</w:t>
      </w:r>
      <w:r w:rsidR="0056725C" w:rsidRPr="004E3A00">
        <w:rPr>
          <w:rFonts w:ascii="Arial" w:eastAsia="Times New Roman" w:hAnsi="Arial" w:cs="Arial"/>
          <w:b/>
          <w:bCs/>
          <w:color w:val="000000"/>
          <w:lang w:eastAsia="en-GB"/>
        </w:rPr>
        <w:t>, currently 2120</w:t>
      </w:r>
      <w:r w:rsidRPr="004E3A00">
        <w:rPr>
          <w:rFonts w:ascii="Arial" w:eastAsia="Times New Roman" w:hAnsi="Arial" w:cs="Arial"/>
          <w:b/>
          <w:bCs/>
          <w:color w:val="000000"/>
          <w:lang w:eastAsia="en-GB"/>
        </w:rPr>
        <w:t>)</w:t>
      </w:r>
    </w:p>
    <w:p w:rsidR="0056725C" w:rsidRPr="004E3A00" w:rsidRDefault="0056725C" w:rsidP="00F11B0B">
      <w:pPr>
        <w:spacing w:before="40" w:after="140" w:line="360" w:lineRule="auto"/>
        <w:contextualSpacing/>
        <w:textAlignment w:val="baseline"/>
        <w:rPr>
          <w:rFonts w:ascii="Arial" w:eastAsia="Times New Roman" w:hAnsi="Arial" w:cs="Arial"/>
          <w:color w:val="000000"/>
          <w:lang w:eastAsia="en-GB"/>
        </w:rPr>
      </w:pPr>
    </w:p>
    <w:p w:rsidR="00F11B0B" w:rsidRPr="004E3A00" w:rsidRDefault="00F11B0B" w:rsidP="00F11B0B">
      <w:pPr>
        <w:spacing w:before="40"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Site description</w:t>
      </w:r>
    </w:p>
    <w:p w:rsidR="00F11B0B" w:rsidRPr="004E3A00" w:rsidRDefault="00C9060F" w:rsidP="00F11B0B">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For this study we used data collected over a 50 year period in Denny Wood, which is located in the New Forest National Park, in Southern England (</w:t>
      </w:r>
      <w:proofErr w:type="spellStart"/>
      <w:r w:rsidRPr="004E3A00">
        <w:rPr>
          <w:rFonts w:ascii="Arial" w:eastAsia="Times New Roman" w:hAnsi="Arial" w:cs="Arial"/>
          <w:color w:val="000000"/>
          <w:lang w:eastAsia="en-GB"/>
        </w:rPr>
        <w:t>Lat</w:t>
      </w:r>
      <w:proofErr w:type="spellEnd"/>
      <w:r w:rsidRPr="004E3A00">
        <w:rPr>
          <w:rFonts w:ascii="Arial" w:eastAsia="Times New Roman" w:hAnsi="Arial" w:cs="Arial"/>
          <w:color w:val="000000"/>
          <w:lang w:eastAsia="en-GB"/>
        </w:rPr>
        <w:t>: 50</w:t>
      </w:r>
      <w:r w:rsidRPr="004E3A00">
        <w:rPr>
          <w:rFonts w:ascii="Arial" w:eastAsia="Times New Roman" w:hAnsi="Arial" w:cs="Arial"/>
          <w:color w:val="000000"/>
          <w:sz w:val="13"/>
          <w:szCs w:val="13"/>
          <w:vertAlign w:val="superscript"/>
          <w:lang w:eastAsia="en-GB"/>
        </w:rPr>
        <w:t>o</w:t>
      </w:r>
      <w:r w:rsidRPr="004E3A00">
        <w:rPr>
          <w:rFonts w:ascii="Arial" w:eastAsia="Times New Roman" w:hAnsi="Arial" w:cs="Arial"/>
          <w:color w:val="000000"/>
          <w:lang w:eastAsia="en-GB"/>
        </w:rPr>
        <w:t xml:space="preserve"> 51.5’ N and 1</w:t>
      </w:r>
      <w:r w:rsidRPr="004E3A00">
        <w:rPr>
          <w:rFonts w:ascii="Arial" w:eastAsia="Times New Roman" w:hAnsi="Arial" w:cs="Arial"/>
          <w:color w:val="000000"/>
          <w:sz w:val="13"/>
          <w:szCs w:val="13"/>
          <w:vertAlign w:val="superscript"/>
          <w:lang w:eastAsia="en-GB"/>
        </w:rPr>
        <w:t>o</w:t>
      </w:r>
      <w:r w:rsidRPr="004E3A00">
        <w:rPr>
          <w:rFonts w:ascii="Arial" w:eastAsia="Times New Roman" w:hAnsi="Arial" w:cs="Arial"/>
          <w:color w:val="000000"/>
          <w:lang w:eastAsia="en-GB"/>
        </w:rPr>
        <w:t xml:space="preserve"> 32.5’ W). The site is gently sloping (1-3</w:t>
      </w:r>
      <w:r w:rsidR="00B6284F">
        <w:rPr>
          <w:rFonts w:ascii="Arial" w:eastAsia="Times New Roman" w:hAnsi="Arial" w:cs="Arial"/>
          <w:color w:val="000000"/>
          <w:lang w:eastAsia="en-GB"/>
        </w:rPr>
        <w:t>°</w:t>
      </w:r>
      <w:r w:rsidRPr="004E3A00">
        <w:rPr>
          <w:rFonts w:ascii="Arial" w:eastAsia="Times New Roman" w:hAnsi="Arial" w:cs="Arial"/>
          <w:color w:val="000000"/>
          <w:lang w:eastAsia="en-GB"/>
        </w:rPr>
        <w:t>), with clay rich brown earth soils. Woodland vegetation is dominated by old-growth beech (</w:t>
      </w:r>
      <w:proofErr w:type="spellStart"/>
      <w:r w:rsidRPr="004E3A00">
        <w:rPr>
          <w:rFonts w:ascii="Arial" w:eastAsia="Times New Roman" w:hAnsi="Arial" w:cs="Arial"/>
          <w:i/>
          <w:iCs/>
          <w:color w:val="000000"/>
          <w:lang w:eastAsia="en-GB"/>
        </w:rPr>
        <w:t>Fagus</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sylvatica</w:t>
      </w:r>
      <w:proofErr w:type="spellEnd"/>
      <w:r w:rsidRPr="004E3A00">
        <w:rPr>
          <w:rFonts w:ascii="Arial" w:eastAsia="Times New Roman" w:hAnsi="Arial" w:cs="Arial"/>
          <w:color w:val="000000"/>
          <w:lang w:eastAsia="en-GB"/>
        </w:rPr>
        <w:t xml:space="preserve">) with frequent </w:t>
      </w:r>
      <w:proofErr w:type="spellStart"/>
      <w:r w:rsidRPr="004E3A00">
        <w:rPr>
          <w:rFonts w:ascii="Arial" w:eastAsia="Times New Roman" w:hAnsi="Arial" w:cs="Arial"/>
          <w:color w:val="000000"/>
          <w:lang w:eastAsia="en-GB"/>
        </w:rPr>
        <w:t>pedunculate</w:t>
      </w:r>
      <w:proofErr w:type="spellEnd"/>
      <w:r w:rsidRPr="004E3A00">
        <w:rPr>
          <w:rFonts w:ascii="Arial" w:eastAsia="Times New Roman" w:hAnsi="Arial" w:cs="Arial"/>
          <w:color w:val="000000"/>
          <w:lang w:eastAsia="en-GB"/>
        </w:rPr>
        <w:t xml:space="preserve"> oak (</w:t>
      </w:r>
      <w:proofErr w:type="spellStart"/>
      <w:r w:rsidRPr="004E3A00">
        <w:rPr>
          <w:rFonts w:ascii="Arial" w:eastAsia="Times New Roman" w:hAnsi="Arial" w:cs="Arial"/>
          <w:i/>
          <w:iCs/>
          <w:color w:val="000000"/>
          <w:lang w:eastAsia="en-GB"/>
        </w:rPr>
        <w:t>Quercus</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color w:val="000000"/>
          <w:lang w:eastAsia="en-GB"/>
        </w:rPr>
        <w:t>robur</w:t>
      </w:r>
      <w:proofErr w:type="spellEnd"/>
      <w:r w:rsidRPr="004E3A00">
        <w:rPr>
          <w:rFonts w:ascii="Arial" w:eastAsia="Times New Roman" w:hAnsi="Arial" w:cs="Arial"/>
          <w:color w:val="000000"/>
          <w:lang w:eastAsia="en-GB"/>
        </w:rPr>
        <w:t>) and birch (</w:t>
      </w:r>
      <w:proofErr w:type="spellStart"/>
      <w:r w:rsidRPr="004E3A00">
        <w:rPr>
          <w:rFonts w:ascii="Arial" w:eastAsia="Times New Roman" w:hAnsi="Arial" w:cs="Arial"/>
          <w:i/>
          <w:iCs/>
          <w:color w:val="000000"/>
          <w:lang w:eastAsia="en-GB"/>
        </w:rPr>
        <w:t>Betula</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pendula</w:t>
      </w:r>
      <w:proofErr w:type="spellEnd"/>
      <w:r w:rsidRPr="004E3A00">
        <w:rPr>
          <w:rFonts w:ascii="Arial" w:eastAsia="Times New Roman" w:hAnsi="Arial" w:cs="Arial"/>
          <w:i/>
          <w:iCs/>
          <w:color w:val="000000"/>
          <w:lang w:eastAsia="en-GB"/>
        </w:rPr>
        <w:t xml:space="preserve">, B. </w:t>
      </w:r>
      <w:proofErr w:type="spellStart"/>
      <w:r w:rsidRPr="004E3A00">
        <w:rPr>
          <w:rFonts w:ascii="Arial" w:eastAsia="Times New Roman" w:hAnsi="Arial" w:cs="Arial"/>
          <w:i/>
          <w:iCs/>
          <w:color w:val="000000"/>
          <w:lang w:eastAsia="en-GB"/>
        </w:rPr>
        <w:t>pubescens</w:t>
      </w:r>
      <w:proofErr w:type="spellEnd"/>
      <w:r w:rsidRPr="004E3A00">
        <w:rPr>
          <w:rFonts w:ascii="Arial" w:eastAsia="Times New Roman" w:hAnsi="Arial" w:cs="Arial"/>
          <w:color w:val="000000"/>
          <w:lang w:eastAsia="en-GB"/>
        </w:rPr>
        <w:t>), and an understory primarily of holly (</w:t>
      </w:r>
      <w:r w:rsidRPr="004E3A00">
        <w:rPr>
          <w:rFonts w:ascii="Arial" w:eastAsia="Times New Roman" w:hAnsi="Arial" w:cs="Arial"/>
          <w:i/>
          <w:iCs/>
          <w:color w:val="000000"/>
          <w:lang w:eastAsia="en-GB"/>
        </w:rPr>
        <w:t xml:space="preserve">Ilex </w:t>
      </w:r>
      <w:proofErr w:type="spellStart"/>
      <w:r w:rsidRPr="004E3A00">
        <w:rPr>
          <w:rFonts w:ascii="Arial" w:eastAsia="Times New Roman" w:hAnsi="Arial" w:cs="Arial"/>
          <w:i/>
          <w:iCs/>
          <w:color w:val="000000"/>
          <w:lang w:eastAsia="en-GB"/>
        </w:rPr>
        <w:t>aquifolium</w:t>
      </w:r>
      <w:proofErr w:type="spellEnd"/>
      <w:r w:rsidRPr="004E3A00">
        <w:rPr>
          <w:rFonts w:ascii="Arial" w:eastAsia="Times New Roman" w:hAnsi="Arial" w:cs="Arial"/>
          <w:color w:val="000000"/>
          <w:lang w:eastAsia="en-GB"/>
        </w:rPr>
        <w:t xml:space="preserve">). In open areas the ground vegetation is mostly comprised of </w:t>
      </w:r>
      <w:proofErr w:type="spellStart"/>
      <w:r w:rsidRPr="004E3A00">
        <w:rPr>
          <w:rFonts w:ascii="Arial" w:eastAsia="Times New Roman" w:hAnsi="Arial" w:cs="Arial"/>
          <w:i/>
          <w:iCs/>
          <w:color w:val="000000"/>
          <w:lang w:eastAsia="en-GB"/>
        </w:rPr>
        <w:t>Agrostis</w:t>
      </w:r>
      <w:proofErr w:type="spellEnd"/>
      <w:r w:rsidRPr="004E3A00">
        <w:rPr>
          <w:rFonts w:ascii="Arial" w:eastAsia="Times New Roman" w:hAnsi="Arial" w:cs="Arial"/>
          <w:color w:val="000000"/>
          <w:lang w:eastAsia="en-GB"/>
        </w:rPr>
        <w:t>-dominated grassland or stands of bracken (</w:t>
      </w:r>
      <w:proofErr w:type="spellStart"/>
      <w:r w:rsidRPr="004E3A00">
        <w:rPr>
          <w:rFonts w:ascii="Arial" w:eastAsia="Times New Roman" w:hAnsi="Arial" w:cs="Arial"/>
          <w:i/>
          <w:iCs/>
          <w:color w:val="000000"/>
          <w:lang w:eastAsia="en-GB"/>
        </w:rPr>
        <w:t>Pteridium</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aquilinum</w:t>
      </w:r>
      <w:proofErr w:type="spellEnd"/>
      <w:r w:rsidRPr="004E3A00">
        <w:rPr>
          <w:rFonts w:ascii="Arial" w:eastAsia="Times New Roman" w:hAnsi="Arial" w:cs="Arial"/>
          <w:color w:val="000000"/>
          <w:lang w:eastAsia="en-GB"/>
        </w:rPr>
        <w:t xml:space="preserve">). There are large populations of deer, ponies and cattle in the New Forest, resulting in high herbivore pressure. The site which we used for this study is likely to have experienced high browsing pressure since the 1960’s </w:t>
      </w:r>
      <w:r w:rsidR="00F11B0B"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(Mountford &amp; Peterken 2003)</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More detail on the site is given in </w:t>
      </w:r>
      <w:proofErr w:type="spellStart"/>
      <w:r w:rsidR="00F11B0B" w:rsidRPr="004E3A00">
        <w:rPr>
          <w:rFonts w:ascii="Arial" w:eastAsia="Times New Roman" w:hAnsi="Arial" w:cs="Arial"/>
          <w:color w:val="000000"/>
          <w:lang w:eastAsia="en-GB"/>
        </w:rPr>
        <w:t>Mountford</w:t>
      </w:r>
      <w:proofErr w:type="spellEnd"/>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i/>
          <w:color w:val="000000"/>
          <w:lang w:eastAsia="en-GB"/>
        </w:rPr>
        <w:t>et al</w:t>
      </w:r>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F11B0B" w:rsidRPr="004E3A00">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F11B0B" w:rsidRPr="004E3A00">
        <w:rPr>
          <w:rFonts w:ascii="Arial" w:eastAsia="Times New Roman" w:hAnsi="Arial" w:cs="Arial"/>
          <w:noProof/>
          <w:color w:val="000000"/>
          <w:lang w:eastAsia="en-GB"/>
        </w:rPr>
        <w:t>(1999)</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w:t>
      </w:r>
      <w:proofErr w:type="spellStart"/>
      <w:r w:rsidR="00F11B0B" w:rsidRPr="004E3A00">
        <w:rPr>
          <w:rFonts w:ascii="Arial" w:eastAsia="Times New Roman" w:hAnsi="Arial" w:cs="Arial"/>
          <w:color w:val="000000"/>
          <w:lang w:eastAsia="en-GB"/>
        </w:rPr>
        <w:t>Mountford</w:t>
      </w:r>
      <w:proofErr w:type="spellEnd"/>
      <w:r w:rsidR="00F11B0B" w:rsidRPr="004E3A00">
        <w:rPr>
          <w:rFonts w:ascii="Arial" w:eastAsia="Times New Roman" w:hAnsi="Arial" w:cs="Arial"/>
          <w:color w:val="000000"/>
          <w:lang w:eastAsia="en-GB"/>
        </w:rPr>
        <w:t xml:space="preserve"> and </w:t>
      </w:r>
      <w:proofErr w:type="spellStart"/>
      <w:r w:rsidR="00F11B0B" w:rsidRPr="004E3A00">
        <w:rPr>
          <w:rFonts w:ascii="Arial" w:eastAsia="Times New Roman" w:hAnsi="Arial" w:cs="Arial"/>
          <w:color w:val="000000"/>
          <w:lang w:eastAsia="en-GB"/>
        </w:rPr>
        <w:t>Peterken</w:t>
      </w:r>
      <w:proofErr w:type="spellEnd"/>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F11B0B"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F11B0B" w:rsidRPr="004E3A00">
        <w:rPr>
          <w:rFonts w:ascii="Arial" w:eastAsia="Times New Roman" w:hAnsi="Arial" w:cs="Arial"/>
          <w:noProof/>
          <w:color w:val="000000"/>
          <w:lang w:eastAsia="en-GB"/>
        </w:rPr>
        <w:t>(2003)</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and Martin </w:t>
      </w:r>
      <w:r w:rsidR="00F11B0B" w:rsidRPr="004E3A00">
        <w:rPr>
          <w:rFonts w:ascii="Arial" w:eastAsia="Times New Roman" w:hAnsi="Arial" w:cs="Arial"/>
          <w:i/>
          <w:color w:val="000000"/>
          <w:lang w:eastAsia="en-GB"/>
        </w:rPr>
        <w:t>et al</w:t>
      </w:r>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B6284F" w:rsidRPr="00B6284F">
        <w:rPr>
          <w:rFonts w:ascii="Arial" w:eastAsia="Times New Roman" w:hAnsi="Arial" w:cs="Arial"/>
          <w:noProof/>
          <w:color w:val="000000"/>
          <w:lang w:eastAsia="en-GB"/>
        </w:rPr>
        <w:t>(2015)</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F11B0B" w:rsidRPr="004E3A00" w:rsidRDefault="00F11B0B" w:rsidP="00F11B0B">
      <w:pPr>
        <w:spacing w:before="40"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Data collection</w:t>
      </w:r>
    </w:p>
    <w:p w:rsidR="00F11B0B" w:rsidRPr="004E3A00" w:rsidRDefault="00C9060F" w:rsidP="00695472">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Measurements were conducted in one 20 m-wide 1 km long transect, which was originally established in the 1950s. </w:t>
      </w:r>
      <w:proofErr w:type="gramStart"/>
      <w:r w:rsidRPr="004E3A00">
        <w:rPr>
          <w:rFonts w:ascii="Arial" w:eastAsia="Times New Roman" w:hAnsi="Arial" w:cs="Arial"/>
          <w:color w:val="000000"/>
          <w:lang w:eastAsia="en-GB"/>
        </w:rPr>
        <w:t>The transect</w:t>
      </w:r>
      <w:proofErr w:type="gramEnd"/>
      <w:r w:rsidRPr="004E3A00">
        <w:rPr>
          <w:rFonts w:ascii="Arial" w:eastAsia="Times New Roman" w:hAnsi="Arial" w:cs="Arial"/>
          <w:color w:val="000000"/>
          <w:lang w:eastAsia="en-GB"/>
        </w:rPr>
        <w:t xml:space="preserve"> was subdivided into contiguous 45 20 x 20 m (0.04 ha) subplots and surveyed in 1964, 1984, 1988, 1996 and 2014. Details of </w:t>
      </w:r>
      <w:r w:rsidRPr="004E3A00">
        <w:rPr>
          <w:rFonts w:ascii="Arial" w:eastAsia="Times New Roman" w:hAnsi="Arial" w:cs="Arial"/>
          <w:color w:val="000000"/>
          <w:lang w:eastAsia="en-GB"/>
        </w:rPr>
        <w:lastRenderedPageBreak/>
        <w:t xml:space="preserve">measurements are presented </w:t>
      </w:r>
      <w:proofErr w:type="spellStart"/>
      <w:r w:rsidR="00695472" w:rsidRPr="004E3A00">
        <w:rPr>
          <w:rFonts w:ascii="Arial" w:eastAsia="Times New Roman" w:hAnsi="Arial" w:cs="Arial"/>
          <w:color w:val="000000"/>
          <w:lang w:eastAsia="en-GB"/>
        </w:rPr>
        <w:t>Mountford</w:t>
      </w:r>
      <w:proofErr w:type="spellEnd"/>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i/>
          <w:color w:val="000000"/>
          <w:lang w:eastAsia="en-GB"/>
        </w:rPr>
        <w:t>et al</w:t>
      </w:r>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695472" w:rsidRPr="004E3A00">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695472" w:rsidRPr="004E3A00">
        <w:rPr>
          <w:rFonts w:ascii="Arial" w:eastAsia="Times New Roman" w:hAnsi="Arial" w:cs="Arial"/>
          <w:noProof/>
          <w:color w:val="000000"/>
          <w:lang w:eastAsia="en-GB"/>
        </w:rPr>
        <w:t>(1999)</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w:t>
      </w:r>
      <w:proofErr w:type="spellStart"/>
      <w:r w:rsidR="00695472" w:rsidRPr="004E3A00">
        <w:rPr>
          <w:rFonts w:ascii="Arial" w:eastAsia="Times New Roman" w:hAnsi="Arial" w:cs="Arial"/>
          <w:color w:val="000000"/>
          <w:lang w:eastAsia="en-GB"/>
        </w:rPr>
        <w:t>Mountford</w:t>
      </w:r>
      <w:proofErr w:type="spellEnd"/>
      <w:r w:rsidR="00695472" w:rsidRPr="004E3A00">
        <w:rPr>
          <w:rFonts w:ascii="Arial" w:eastAsia="Times New Roman" w:hAnsi="Arial" w:cs="Arial"/>
          <w:color w:val="000000"/>
          <w:lang w:eastAsia="en-GB"/>
        </w:rPr>
        <w:t xml:space="preserve"> and </w:t>
      </w:r>
      <w:proofErr w:type="spellStart"/>
      <w:r w:rsidR="00695472" w:rsidRPr="004E3A00">
        <w:rPr>
          <w:rFonts w:ascii="Arial" w:eastAsia="Times New Roman" w:hAnsi="Arial" w:cs="Arial"/>
          <w:color w:val="000000"/>
          <w:lang w:eastAsia="en-GB"/>
        </w:rPr>
        <w:t>Peterken</w:t>
      </w:r>
      <w:proofErr w:type="spellEnd"/>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695472"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695472" w:rsidRPr="004E3A00">
        <w:rPr>
          <w:rFonts w:ascii="Arial" w:eastAsia="Times New Roman" w:hAnsi="Arial" w:cs="Arial"/>
          <w:noProof/>
          <w:color w:val="000000"/>
          <w:lang w:eastAsia="en-GB"/>
        </w:rPr>
        <w:t>(2003)</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and Martin </w:t>
      </w:r>
      <w:r w:rsidR="00695472" w:rsidRPr="004E3A00">
        <w:rPr>
          <w:rFonts w:ascii="Arial" w:eastAsia="Times New Roman" w:hAnsi="Arial" w:cs="Arial"/>
          <w:i/>
          <w:color w:val="000000"/>
          <w:lang w:eastAsia="en-GB"/>
        </w:rPr>
        <w:t>et al</w:t>
      </w:r>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B6284F" w:rsidRPr="00B6284F">
        <w:rPr>
          <w:rFonts w:ascii="Arial" w:eastAsia="Times New Roman" w:hAnsi="Arial" w:cs="Arial"/>
          <w:noProof/>
          <w:color w:val="000000"/>
          <w:lang w:eastAsia="en-GB"/>
        </w:rPr>
        <w:t>(2015)</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In each survey, the location and species name of all woody stems &gt;1.3 m in height were recorded, their diameter at breast height measured using diameter tapes, and their status assessed as either alive or dead. Each stem &gt;1.3m height was given a unique ID number to allow individual trees to be tracked. Stems &lt;10 cm DBH were classified as saplings and those &gt;10 cm DBH as mature. </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In 2014 we collected data on seedling density, canopy openness, and soil characteristics. The density of tree seedlings of all species present in 10 x 10 m plots located in the centre of the 20 x 20 m plots was recorded. Canopy openness of subplots was assessed using a concave spherical densitometer in all four corners and the centre of 20 x 20 m plots, and the mean calculated for each subplot. Soil type was assessed by collecting 3 soil samples from within each 20 x 20m subplot using a 5 cm diameter soil corer. The first 20 cm of the mineral layer was retained. Soil samples were sent to the Forest Research laboratories in Surrey, UK where particle size distribution of the soil was determined by suspending 30 g of soil in water which was passed through the flow cell of a laser diffraction particle size analyser (Beckman Coulter LS13320).</w:t>
      </w:r>
    </w:p>
    <w:p w:rsidR="00F11B0B" w:rsidRPr="004E3A00" w:rsidRDefault="00F11B0B"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Statistical analysis</w:t>
      </w:r>
    </w:p>
    <w:p w:rsidR="00F11B0B" w:rsidRPr="004E3A00" w:rsidRDefault="00F11B0B"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Recruitment of juveniles</w:t>
      </w:r>
    </w:p>
    <w:p w:rsidR="00695472" w:rsidRPr="004E3A00" w:rsidRDefault="00C9060F" w:rsidP="00695472">
      <w:pPr>
        <w:spacing w:line="360" w:lineRule="auto"/>
        <w:ind w:firstLine="720"/>
        <w:contextualSpacing/>
        <w:rPr>
          <w:rFonts w:ascii="Arial" w:hAnsi="Arial" w:cs="Arial"/>
        </w:rPr>
      </w:pPr>
      <w:r w:rsidRPr="004E3A00">
        <w:rPr>
          <w:rFonts w:ascii="Arial" w:eastAsia="Times New Roman" w:hAnsi="Arial" w:cs="Arial"/>
          <w:color w:val="000000"/>
          <w:lang w:eastAsia="en-GB"/>
        </w:rPr>
        <w:t xml:space="preserve">Our assessment of tree recruitment focussed on saplings (woody stems &gt;1.3 m height and &lt;10 cm DBH) and seedlings. We tested for relationships seedling density and canopy openness and grazing pressure using generalised linear models. We also tested the </w:t>
      </w:r>
      <w:proofErr w:type="spellStart"/>
      <w:r w:rsidRPr="004E3A00">
        <w:rPr>
          <w:rFonts w:ascii="Arial" w:eastAsia="Times New Roman" w:hAnsi="Arial" w:cs="Arial"/>
          <w:color w:val="000000"/>
          <w:lang w:eastAsia="en-GB"/>
        </w:rPr>
        <w:t>the</w:t>
      </w:r>
      <w:proofErr w:type="spellEnd"/>
      <w:r w:rsidRPr="004E3A00">
        <w:rPr>
          <w:rFonts w:ascii="Arial" w:eastAsia="Times New Roman" w:hAnsi="Arial" w:cs="Arial"/>
          <w:color w:val="000000"/>
          <w:lang w:eastAsia="en-GB"/>
        </w:rPr>
        <w:t xml:space="preserve"> effect of </w:t>
      </w:r>
      <w:r w:rsidR="00B06D6E">
        <w:rPr>
          <w:rFonts w:ascii="Arial" w:eastAsia="Times New Roman" w:hAnsi="Arial" w:cs="Arial"/>
          <w:color w:val="000000"/>
          <w:lang w:eastAsia="en-GB"/>
        </w:rPr>
        <w:t xml:space="preserve">mature tree </w:t>
      </w:r>
      <w:r w:rsidR="00B06D6E" w:rsidRPr="004E3A00">
        <w:rPr>
          <w:rFonts w:ascii="Arial" w:eastAsia="Times New Roman" w:hAnsi="Arial" w:cs="Arial"/>
          <w:color w:val="000000"/>
          <w:lang w:eastAsia="en-GB"/>
        </w:rPr>
        <w:t xml:space="preserve">(stems &gt;10 cm DBH) </w:t>
      </w:r>
      <w:r w:rsidRPr="004E3A00">
        <w:rPr>
          <w:rFonts w:ascii="Arial" w:eastAsia="Times New Roman" w:hAnsi="Arial" w:cs="Arial"/>
          <w:color w:val="000000"/>
          <w:lang w:eastAsia="en-GB"/>
        </w:rPr>
        <w:t xml:space="preserve">density and basal area on sapling density using generalised mixed models with a </w:t>
      </w:r>
      <w:proofErr w:type="spellStart"/>
      <w:r w:rsidRPr="004E3A00">
        <w:rPr>
          <w:rFonts w:ascii="Arial" w:eastAsia="Times New Roman" w:hAnsi="Arial" w:cs="Arial"/>
          <w:color w:val="000000"/>
          <w:lang w:eastAsia="en-GB"/>
        </w:rPr>
        <w:t>poisson</w:t>
      </w:r>
      <w:proofErr w:type="spellEnd"/>
      <w:r w:rsidRPr="004E3A00">
        <w:rPr>
          <w:rFonts w:ascii="Arial" w:eastAsia="Times New Roman" w:hAnsi="Arial" w:cs="Arial"/>
          <w:color w:val="000000"/>
          <w:lang w:eastAsia="en-GB"/>
        </w:rPr>
        <w:t xml:space="preserve"> error structure for the three major woody species present: beech, holly and oak. These models included interactions with survey year to identify if the slope of the relationship between mature tree density and sapling density changed over time. To determine whether the widespread loss of smaller stems seen in a previous study at the site (Martin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2015) was largely attributable to growth of individuals into other size classes or mortality we tracked the fate of each sapling recorded. As part of this we also calculated the </w:t>
      </w:r>
      <w:r w:rsidR="00695472" w:rsidRPr="004E3A00">
        <w:rPr>
          <w:rFonts w:ascii="Arial" w:hAnsi="Arial" w:cs="Arial"/>
        </w:rPr>
        <w:t xml:space="preserve">annual mortality rate, </w:t>
      </w:r>
      <m:oMath>
        <m:r>
          <w:rPr>
            <w:rFonts w:ascii="Cambria Math" w:hAnsi="Cambria Math" w:cs="Arial"/>
          </w:rPr>
          <m:t>m</m:t>
        </m:r>
      </m:oMath>
      <w:r w:rsidR="00695472" w:rsidRPr="004E3A00">
        <w:rPr>
          <w:rFonts w:ascii="Arial" w:hAnsi="Arial" w:cs="Arial"/>
        </w:rPr>
        <w:t xml:space="preserve">, as defined by </w:t>
      </w:r>
      <w:r w:rsidR="00695472" w:rsidRPr="004E3A00">
        <w:rPr>
          <w:rFonts w:ascii="Arial" w:hAnsi="Arial" w:cs="Arial"/>
        </w:rPr>
        <w:fldChar w:fldCharType="begin" w:fldLock="1"/>
      </w:r>
      <w:r w:rsidR="00EC6C08" w:rsidRPr="004E3A00">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sidR="00695472" w:rsidRPr="004E3A00">
        <w:rPr>
          <w:rFonts w:ascii="Arial" w:hAnsi="Arial" w:cs="Arial"/>
        </w:rPr>
        <w:fldChar w:fldCharType="separate"/>
      </w:r>
      <w:r w:rsidR="00695472" w:rsidRPr="004E3A00">
        <w:rPr>
          <w:rFonts w:ascii="Arial" w:hAnsi="Arial" w:cs="Arial"/>
          <w:noProof/>
        </w:rPr>
        <w:t>Sheil, Burslem &amp; Alder (1995)</w:t>
      </w:r>
      <w:r w:rsidR="00695472" w:rsidRPr="004E3A00">
        <w:rPr>
          <w:rFonts w:ascii="Arial" w:hAnsi="Arial" w:cs="Arial"/>
        </w:rPr>
        <w:fldChar w:fldCharType="end"/>
      </w:r>
      <w:r w:rsidR="00695472" w:rsidRPr="004E3A00">
        <w:rPr>
          <w:rFonts w:ascii="Arial" w:hAnsi="Arial" w:cs="Arial"/>
        </w:rPr>
        <w:t>:</w:t>
      </w:r>
    </w:p>
    <w:p w:rsidR="00695472" w:rsidRPr="004E3A00" w:rsidRDefault="00695472" w:rsidP="00695472">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695472" w:rsidRPr="004E3A00" w:rsidRDefault="00695472" w:rsidP="00695472">
      <w:pPr>
        <w:spacing w:line="360" w:lineRule="auto"/>
        <w:contextualSpacing/>
        <w:rPr>
          <w:rFonts w:ascii="Arial" w:eastAsiaTheme="minorEastAsia" w:hAnsi="Arial" w:cs="Arial"/>
        </w:rPr>
      </w:pPr>
      <w:proofErr w:type="gramStart"/>
      <w:r w:rsidRPr="004E3A00">
        <w:rPr>
          <w:rFonts w:ascii="Arial" w:eastAsiaTheme="minorEastAsia" w:hAnsi="Arial" w:cs="Arial"/>
        </w:rPr>
        <w:t>where</w:t>
      </w:r>
      <w:proofErr w:type="gramEnd"/>
      <w:r w:rsidRPr="004E3A00">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sidRPr="004E3A00">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sidRPr="004E3A00">
        <w:rPr>
          <w:rFonts w:ascii="Arial" w:eastAsiaTheme="minorEastAsia" w:hAnsi="Arial" w:cs="Arial"/>
        </w:rPr>
        <w:t xml:space="preserve"> are the number of stems at the first and second surveys respectively and </w:t>
      </w:r>
      <m:oMath>
        <m:r>
          <w:rPr>
            <w:rFonts w:ascii="Cambria Math" w:hAnsi="Cambria Math" w:cs="Arial"/>
          </w:rPr>
          <m:t>t</m:t>
        </m:r>
      </m:oMath>
      <w:r w:rsidRPr="004E3A00">
        <w:rPr>
          <w:rFonts w:ascii="Arial" w:eastAsiaTheme="minorEastAsia" w:hAnsi="Arial" w:cs="Arial"/>
        </w:rPr>
        <w:t xml:space="preserve"> is the number of years between censuses.</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lastRenderedPageBreak/>
        <w:t>Individual tree mortality</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We assessed whether some of the mature tree mortality observed in Denny wood could be explained by the self-thinning process using a linear mixed model </w:t>
      </w:r>
      <w:r w:rsidR="00B06D6E" w:rsidRPr="004E3A00">
        <w:rPr>
          <w:rFonts w:ascii="Arial" w:eastAsia="Times New Roman" w:hAnsi="Arial" w:cs="Arial"/>
          <w:color w:val="000000"/>
          <w:lang w:eastAsia="en-GB"/>
        </w:rPr>
        <w:t>to relate stem density to basal area</w:t>
      </w:r>
      <w:r w:rsidR="00B06D6E">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with subplot number as a random effect. </w:t>
      </w:r>
      <w:commentRangeStart w:id="1"/>
      <w:r w:rsidRPr="004E3A00">
        <w:rPr>
          <w:rFonts w:ascii="Arial" w:eastAsia="Times New Roman" w:hAnsi="Arial" w:cs="Arial"/>
          <w:color w:val="000000"/>
          <w:lang w:eastAsia="en-GB"/>
        </w:rPr>
        <w:t>A negative slope suggests a gain in BA with a loss of stem density while a positive slope suggests a gain in BA with increasing stem density</w:t>
      </w:r>
      <w:commentRangeEnd w:id="1"/>
      <w:r w:rsidR="00B06D6E">
        <w:rPr>
          <w:rStyle w:val="CommentReference"/>
        </w:rPr>
        <w:commentReference w:id="1"/>
      </w:r>
      <w:r w:rsidRPr="004E3A00">
        <w:rPr>
          <w:rFonts w:ascii="Arial" w:eastAsia="Times New Roman" w:hAnsi="Arial" w:cs="Arial"/>
          <w:color w:val="000000"/>
          <w:lang w:eastAsia="en-GB"/>
        </w:rPr>
        <w:t>.</w:t>
      </w:r>
    </w:p>
    <w:p w:rsidR="00C9060F" w:rsidRPr="00B06D6E" w:rsidRDefault="00C9060F" w:rsidP="00B06D6E">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During data processing </w:t>
      </w:r>
      <w:r w:rsidR="00B06D6E">
        <w:rPr>
          <w:rFonts w:ascii="Arial" w:eastAsia="Times New Roman" w:hAnsi="Arial" w:cs="Arial"/>
          <w:color w:val="000000"/>
          <w:lang w:eastAsia="en-GB"/>
        </w:rPr>
        <w:t xml:space="preserve">to assess the effects of different variables on tree mortality, only </w:t>
      </w:r>
      <w:r w:rsidRPr="004E3A00">
        <w:rPr>
          <w:rFonts w:ascii="Arial" w:eastAsia="Times New Roman" w:hAnsi="Arial" w:cs="Arial"/>
          <w:color w:val="000000"/>
          <w:lang w:eastAsia="en-GB"/>
        </w:rPr>
        <w:t>trees with diameter measurements</w:t>
      </w:r>
      <w:r w:rsidR="00B06D6E">
        <w:rPr>
          <w:rFonts w:ascii="Arial" w:eastAsia="Times New Roman" w:hAnsi="Arial" w:cs="Arial"/>
          <w:color w:val="000000"/>
          <w:lang w:eastAsia="en-GB"/>
        </w:rPr>
        <w:t xml:space="preserve"> in the census year and previous census </w:t>
      </w:r>
      <w:r w:rsidRPr="004E3A00">
        <w:rPr>
          <w:rFonts w:ascii="Arial" w:eastAsia="Times New Roman" w:hAnsi="Arial" w:cs="Arial"/>
          <w:color w:val="000000"/>
          <w:lang w:eastAsia="en-GB"/>
        </w:rPr>
        <w:t xml:space="preserve">were included in analyses. Censuses on </w:t>
      </w:r>
      <w:proofErr w:type="gramStart"/>
      <w:r w:rsidRPr="004E3A00">
        <w:rPr>
          <w:rFonts w:ascii="Arial" w:eastAsia="Times New Roman" w:hAnsi="Arial" w:cs="Arial"/>
          <w:color w:val="000000"/>
          <w:lang w:eastAsia="en-GB"/>
        </w:rPr>
        <w:t>the transect</w:t>
      </w:r>
      <w:proofErr w:type="gramEnd"/>
      <w:r w:rsidRPr="004E3A00">
        <w:rPr>
          <w:rFonts w:ascii="Arial" w:eastAsia="Times New Roman" w:hAnsi="Arial" w:cs="Arial"/>
          <w:color w:val="000000"/>
          <w:lang w:eastAsia="en-GB"/>
        </w:rPr>
        <w:t xml:space="preserve"> were undertaken 5 times from 1964-2014 with a mean (± SD) census interval period of 12.5 ± 6.7 years (range 4-20 years). Since trees used in mortality models required censuse</w:t>
      </w:r>
      <w:r w:rsidR="008513D6" w:rsidRPr="004E3A00">
        <w:rPr>
          <w:rFonts w:ascii="Arial" w:eastAsia="Times New Roman" w:hAnsi="Arial" w:cs="Arial"/>
          <w:color w:val="000000"/>
          <w:lang w:eastAsia="en-GB"/>
        </w:rPr>
        <w:t xml:space="preserve">s </w:t>
      </w:r>
      <w:r w:rsidR="005B3436">
        <w:rPr>
          <w:rFonts w:ascii="Arial" w:eastAsia="Times New Roman" w:hAnsi="Arial" w:cs="Arial"/>
          <w:color w:val="000000"/>
          <w:lang w:eastAsia="en-GB"/>
        </w:rPr>
        <w:t>in</w:t>
      </w:r>
      <w:r w:rsidR="008513D6" w:rsidRPr="004E3A00">
        <w:rPr>
          <w:rFonts w:ascii="Arial" w:eastAsia="Times New Roman" w:hAnsi="Arial" w:cs="Arial"/>
          <w:color w:val="000000"/>
          <w:lang w:eastAsia="en-GB"/>
        </w:rPr>
        <w:t xml:space="preserve"> both </w:t>
      </w:r>
      <w:r w:rsidR="005B3436">
        <w:rPr>
          <w:rFonts w:ascii="Arial" w:eastAsia="Times New Roman" w:hAnsi="Arial" w:cs="Arial"/>
          <w:color w:val="000000"/>
          <w:lang w:eastAsia="en-GB"/>
        </w:rPr>
        <w:t xml:space="preserve">the census year and previous census </w:t>
      </w:r>
      <w:r w:rsidRPr="004E3A00">
        <w:rPr>
          <w:rFonts w:ascii="Arial" w:eastAsia="Times New Roman" w:hAnsi="Arial" w:cs="Arial"/>
          <w:color w:val="000000"/>
          <w:lang w:eastAsia="en-GB"/>
        </w:rPr>
        <w:t xml:space="preserve">we selected three non-overlapping census periods: 1984-1988, 1988-1996 and 1996-2014 (mean census period 10 ± 5.9 years). Statistical models of individual tree mortality were developed using logistic mixed effects models, which describe the probability that a tree dies in a given period of time. To correct for the variation in census interval we used a complementary log-log link with an offset equal to the census interval so that predictions from models were equivalent to the annual probability of mortality (Fortin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2008). Subplot ID number was used as a random effect to account for repeated sampling of the same plots (Fortin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2008).</w:t>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Models were developed in a four-step process similar to the workflow of</w:t>
      </w:r>
      <w:r w:rsidR="005B3436">
        <w:rPr>
          <w:rFonts w:ascii="Arial" w:eastAsia="Times New Roman" w:hAnsi="Arial" w:cs="Arial"/>
          <w:color w:val="000000"/>
          <w:lang w:eastAsia="en-GB"/>
        </w:rPr>
        <w:t xml:space="preserve"> Chao et al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"label" : "line", "suppress-author" : 1, "uris" : [ "http://www.mendeley.com/documents/?uuid=2043787f-48fb-4f14-9aca-a38c569453fc" ] } ], "mendeley" : { "formattedCitation" : "(2008)", "plainTextFormattedCitation" : "(2008)", "previouslyFormattedCitation" :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In step 1 we prepared predictors classified into 4 groups:</w:t>
      </w:r>
    </w:p>
    <w:p w:rsidR="00C9060F" w:rsidRPr="004E3A00"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 tree size – DBH (cm), Basal area (m</w:t>
      </w:r>
      <w:r w:rsidRPr="004E3A00">
        <w:rPr>
          <w:rFonts w:ascii="Arial" w:eastAsia="Times New Roman" w:hAnsi="Arial" w:cs="Arial"/>
          <w:color w:val="000000"/>
          <w:sz w:val="13"/>
          <w:szCs w:val="13"/>
          <w:vertAlign w:val="superscript"/>
          <w:lang w:eastAsia="en-GB"/>
        </w:rPr>
        <w:t>2</w:t>
      </w:r>
      <w:r w:rsidRPr="004E3A00">
        <w:rPr>
          <w:rFonts w:ascii="Arial" w:eastAsia="Times New Roman" w:hAnsi="Arial" w:cs="Arial"/>
          <w:color w:val="000000"/>
          <w:lang w:eastAsia="en-GB"/>
        </w:rPr>
        <w:t>), and tree size relative to other trees in the transect (bounded between 0 and 1)</w:t>
      </w:r>
    </w:p>
    <w:p w:rsidR="00C9060F" w:rsidRPr="004E3A00"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tree growth - Annual diameter growth rate (mm year</w:t>
      </w:r>
      <w:r w:rsidRPr="004E3A00">
        <w:rPr>
          <w:rFonts w:ascii="Arial" w:eastAsia="Times New Roman" w:hAnsi="Arial" w:cs="Arial"/>
          <w:color w:val="000000"/>
          <w:sz w:val="13"/>
          <w:szCs w:val="13"/>
          <w:vertAlign w:val="superscript"/>
          <w:lang w:eastAsia="en-GB"/>
        </w:rPr>
        <w:t>-1</w:t>
      </w:r>
      <w:r w:rsidRPr="004E3A00">
        <w:rPr>
          <w:rFonts w:ascii="Arial" w:eastAsia="Times New Roman" w:hAnsi="Arial" w:cs="Arial"/>
          <w:color w:val="000000"/>
          <w:lang w:eastAsia="en-GB"/>
        </w:rPr>
        <w:t>), basal area growth rate (mm</w:t>
      </w:r>
      <w:r w:rsidRPr="004E3A00">
        <w:rPr>
          <w:rFonts w:ascii="Arial" w:eastAsia="Times New Roman" w:hAnsi="Arial" w:cs="Arial"/>
          <w:color w:val="000000"/>
          <w:sz w:val="13"/>
          <w:szCs w:val="13"/>
          <w:vertAlign w:val="superscript"/>
          <w:lang w:eastAsia="en-GB"/>
        </w:rPr>
        <w:t xml:space="preserve">2 </w:t>
      </w:r>
      <w:r w:rsidRPr="004E3A00">
        <w:rPr>
          <w:rFonts w:ascii="Arial" w:eastAsia="Times New Roman" w:hAnsi="Arial" w:cs="Arial"/>
          <w:color w:val="000000"/>
          <w:lang w:eastAsia="en-GB"/>
        </w:rPr>
        <w:t>year</w:t>
      </w:r>
      <w:r w:rsidRPr="004E3A00">
        <w:rPr>
          <w:rFonts w:ascii="Arial" w:eastAsia="Times New Roman" w:hAnsi="Arial" w:cs="Arial"/>
          <w:color w:val="000000"/>
          <w:sz w:val="13"/>
          <w:szCs w:val="13"/>
          <w:vertAlign w:val="superscript"/>
          <w:lang w:eastAsia="en-GB"/>
        </w:rPr>
        <w:t>-1</w:t>
      </w:r>
      <w:r w:rsidRPr="004E3A00">
        <w:rPr>
          <w:rFonts w:ascii="Arial" w:eastAsia="Times New Roman" w:hAnsi="Arial" w:cs="Arial"/>
          <w:color w:val="000000"/>
          <w:lang w:eastAsia="en-GB"/>
        </w:rPr>
        <w:t>), relative DBH growth rate (% DBH increase year</w:t>
      </w:r>
      <w:r w:rsidRPr="004E3A00">
        <w:rPr>
          <w:rFonts w:ascii="Arial" w:eastAsia="Times New Roman" w:hAnsi="Arial" w:cs="Arial"/>
          <w:color w:val="000000"/>
          <w:sz w:val="13"/>
          <w:szCs w:val="13"/>
          <w:vertAlign w:val="superscript"/>
          <w:lang w:eastAsia="en-GB"/>
        </w:rPr>
        <w:t>-1</w:t>
      </w:r>
      <w:r w:rsidRPr="004E3A00">
        <w:rPr>
          <w:rFonts w:ascii="Arial" w:eastAsia="Times New Roman" w:hAnsi="Arial" w:cs="Arial"/>
          <w:color w:val="000000"/>
          <w:lang w:eastAsia="en-GB"/>
        </w:rPr>
        <w:t>), and relative BA growth rate (% BA increase year</w:t>
      </w:r>
      <w:r w:rsidRPr="004E3A00">
        <w:rPr>
          <w:rFonts w:ascii="Arial" w:eastAsia="Times New Roman" w:hAnsi="Arial" w:cs="Arial"/>
          <w:color w:val="000000"/>
          <w:sz w:val="13"/>
          <w:szCs w:val="13"/>
          <w:vertAlign w:val="superscript"/>
          <w:lang w:eastAsia="en-GB"/>
        </w:rPr>
        <w:t>-1</w:t>
      </w:r>
      <w:r w:rsidRPr="004E3A00">
        <w:rPr>
          <w:rFonts w:ascii="Arial" w:eastAsia="Times New Roman" w:hAnsi="Arial" w:cs="Arial"/>
          <w:color w:val="000000"/>
          <w:lang w:eastAsia="en-GB"/>
        </w:rPr>
        <w:t>)</w:t>
      </w:r>
    </w:p>
    <w:p w:rsidR="00C9060F" w:rsidRPr="004E3A00"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proximity to dead trees - distance of an individual tree to a dead tree and abundance of dead trees in a 10m buffer</w:t>
      </w:r>
    </w:p>
    <w:p w:rsidR="00C9060F" w:rsidRPr="004E3A00" w:rsidRDefault="00C9060F" w:rsidP="00F11B0B">
      <w:pPr>
        <w:pStyle w:val="ListParagraph"/>
        <w:numPr>
          <w:ilvl w:val="1"/>
          <w:numId w:val="2"/>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soil type - percentage of each soil sample classified as sand</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For more detail on the calculation of these variables see the supplementary materials. All model variables were standardised using the methods of </w:t>
      </w:r>
      <w:proofErr w:type="spellStart"/>
      <w:r w:rsidRPr="004E3A00">
        <w:rPr>
          <w:rFonts w:ascii="Arial" w:eastAsia="Times New Roman" w:hAnsi="Arial" w:cs="Arial"/>
          <w:color w:val="000000"/>
          <w:lang w:eastAsia="en-GB"/>
        </w:rPr>
        <w:t>Schielzeth</w:t>
      </w:r>
      <w:proofErr w:type="spellEnd"/>
      <w:r w:rsidRPr="004E3A00">
        <w:rPr>
          <w:rFonts w:ascii="Arial" w:eastAsia="Times New Roman" w:hAnsi="Arial" w:cs="Arial"/>
          <w:color w:val="000000"/>
          <w:lang w:eastAsia="en-GB"/>
        </w:rPr>
        <w:t xml:space="preserve"> </w:t>
      </w:r>
      <w:r w:rsidR="00C049AF" w:rsidRPr="004E3A00">
        <w:rPr>
          <w:rFonts w:ascii="Arial" w:eastAsia="Times New Roman" w:hAnsi="Arial" w:cs="Arial"/>
          <w:color w:val="000000"/>
          <w:lang w:eastAsia="en-GB"/>
        </w:rPr>
        <w:fldChar w:fldCharType="begin" w:fldLock="1"/>
      </w:r>
      <w:r w:rsidR="00C049AF" w:rsidRPr="004E3A00">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"label" : "line", "suppress-author" : 1, "uris" : [ "http://www.mendeley.com/documents/?uuid=95f07ff0-4dc4-492c-b3a1-9233f1cef03d" ] } ], "mendeley" : { "formattedCitation" : "(2010)", "plainTextFormattedCitation" : "(2010)", "previouslyFormattedCitation" : "(2010)"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C049AF" w:rsidRPr="004E3A00">
        <w:rPr>
          <w:rFonts w:ascii="Arial" w:eastAsia="Times New Roman" w:hAnsi="Arial" w:cs="Arial"/>
          <w:noProof/>
          <w:color w:val="000000"/>
          <w:lang w:eastAsia="en-GB"/>
        </w:rPr>
        <w:t>(2010)</w:t>
      </w:r>
      <w:r w:rsidR="00C049AF" w:rsidRPr="004E3A00">
        <w:rPr>
          <w:rFonts w:ascii="Arial" w:eastAsia="Times New Roman" w:hAnsi="Arial" w:cs="Arial"/>
          <w:color w:val="000000"/>
          <w:lang w:eastAsia="en-GB"/>
        </w:rPr>
        <w:fldChar w:fldCharType="end"/>
      </w:r>
      <w:r w:rsidR="00C049AF"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by subtracting the mean of the variable and dividing by its standard deviation. This allows coefficients to be interpreted as effect sizes, reduces </w:t>
      </w:r>
      <w:proofErr w:type="spellStart"/>
      <w:r w:rsidRPr="004E3A00">
        <w:rPr>
          <w:rFonts w:ascii="Arial" w:eastAsia="Times New Roman" w:hAnsi="Arial" w:cs="Arial"/>
          <w:color w:val="000000"/>
          <w:lang w:eastAsia="en-GB"/>
        </w:rPr>
        <w:t>collinearity</w:t>
      </w:r>
      <w:proofErr w:type="spellEnd"/>
      <w:r w:rsidRPr="004E3A00">
        <w:rPr>
          <w:rFonts w:ascii="Arial" w:eastAsia="Times New Roman" w:hAnsi="Arial" w:cs="Arial"/>
          <w:color w:val="000000"/>
          <w:lang w:eastAsia="en-GB"/>
        </w:rPr>
        <w:t xml:space="preserve"> between variables and improves model convergence </w:t>
      </w:r>
      <w:r w:rsidR="00C049AF"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(Schielzeth 2010)</w:t>
      </w:r>
      <w:r w:rsidR="00C049AF" w:rsidRPr="004E3A00">
        <w:rPr>
          <w:rFonts w:ascii="Arial" w:eastAsia="Times New Roman" w:hAnsi="Arial" w:cs="Arial"/>
          <w:color w:val="000000"/>
          <w:lang w:eastAsia="en-GB"/>
        </w:rPr>
        <w:fldChar w:fldCharType="end"/>
      </w:r>
      <w:r w:rsidR="00C049AF" w:rsidRPr="004E3A00">
        <w:rPr>
          <w:rFonts w:ascii="Arial" w:eastAsia="Times New Roman" w:hAnsi="Arial" w:cs="Arial"/>
          <w:color w:val="000000"/>
          <w:lang w:eastAsia="en-GB"/>
        </w:rPr>
        <w:t>.</w:t>
      </w:r>
    </w:p>
    <w:p w:rsidR="00C9060F" w:rsidRPr="004E3A00" w:rsidRDefault="00C9060F" w:rsidP="00C049AF">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In step 2 we selected the best predictor for each group by choosing the </w:t>
      </w:r>
      <w:proofErr w:type="spellStart"/>
      <w:r w:rsidRPr="004E3A00">
        <w:rPr>
          <w:rFonts w:ascii="Arial" w:eastAsia="Times New Roman" w:hAnsi="Arial" w:cs="Arial"/>
          <w:color w:val="000000"/>
          <w:lang w:eastAsia="en-GB"/>
        </w:rPr>
        <w:t>univariate</w:t>
      </w:r>
      <w:proofErr w:type="spellEnd"/>
      <w:r w:rsidRPr="004E3A00">
        <w:rPr>
          <w:rFonts w:ascii="Arial" w:eastAsia="Times New Roman" w:hAnsi="Arial" w:cs="Arial"/>
          <w:color w:val="000000"/>
          <w:lang w:eastAsia="en-GB"/>
        </w:rPr>
        <w:t xml:space="preserve"> logistic mixed effect models which had the lowest </w:t>
      </w:r>
      <w:proofErr w:type="spellStart"/>
      <w:r w:rsidRPr="004E3A00">
        <w:rPr>
          <w:rFonts w:ascii="Arial" w:eastAsia="Times New Roman" w:hAnsi="Arial" w:cs="Arial"/>
          <w:color w:val="000000"/>
          <w:lang w:eastAsia="en-GB"/>
        </w:rPr>
        <w:t>AICc</w:t>
      </w:r>
      <w:proofErr w:type="spellEnd"/>
      <w:r w:rsidR="005B3436">
        <w:rPr>
          <w:rFonts w:ascii="Arial" w:eastAsia="Times New Roman" w:hAnsi="Arial" w:cs="Arial"/>
          <w:color w:val="000000"/>
          <w:lang w:eastAsia="en-GB"/>
        </w:rPr>
        <w:t xml:space="preserv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 xml:space="preserve">(Burnham &amp; Anderson 2002; Chao </w:t>
      </w:r>
      <w:r w:rsidR="005B3436" w:rsidRPr="005B3436">
        <w:rPr>
          <w:rFonts w:ascii="Arial" w:eastAsia="Times New Roman" w:hAnsi="Arial" w:cs="Arial"/>
          <w:i/>
          <w:noProof/>
          <w:color w:val="000000"/>
          <w:lang w:eastAsia="en-GB"/>
        </w:rPr>
        <w:t xml:space="preserve">et </w:t>
      </w:r>
      <w:r w:rsidR="005B3436" w:rsidRPr="005B3436">
        <w:rPr>
          <w:rFonts w:ascii="Arial" w:eastAsia="Times New Roman" w:hAnsi="Arial" w:cs="Arial"/>
          <w:i/>
          <w:noProof/>
          <w:color w:val="000000"/>
          <w:lang w:eastAsia="en-GB"/>
        </w:rPr>
        <w:lastRenderedPageBreak/>
        <w:t>al.</w:t>
      </w:r>
      <w:r w:rsidR="005B3436" w:rsidRPr="005B3436">
        <w:rPr>
          <w:rFonts w:ascii="Arial" w:eastAsia="Times New Roman" w:hAnsi="Arial" w:cs="Arial"/>
          <w:noProof/>
          <w:color w:val="000000"/>
          <w:lang w:eastAsia="en-GB"/>
        </w:rPr>
        <w:t xml:space="preserve"> 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This step reduces </w:t>
      </w:r>
      <w:proofErr w:type="spellStart"/>
      <w:r w:rsidRPr="004E3A00">
        <w:rPr>
          <w:rFonts w:ascii="Arial" w:eastAsia="Times New Roman" w:hAnsi="Arial" w:cs="Arial"/>
          <w:color w:val="000000"/>
          <w:lang w:eastAsia="en-GB"/>
        </w:rPr>
        <w:t>intercorrelation</w:t>
      </w:r>
      <w:proofErr w:type="spellEnd"/>
      <w:r w:rsidRPr="004E3A00">
        <w:rPr>
          <w:rFonts w:ascii="Arial" w:eastAsia="Times New Roman" w:hAnsi="Arial" w:cs="Arial"/>
          <w:color w:val="000000"/>
          <w:lang w:eastAsia="en-GB"/>
        </w:rPr>
        <w:t xml:space="preserve"> of variables which can lead to difficulty in interpreting effects</w:t>
      </w:r>
      <w:r w:rsidR="005B3436">
        <w:rPr>
          <w:rFonts w:ascii="Arial" w:eastAsia="Times New Roman" w:hAnsi="Arial" w:cs="Arial"/>
          <w:color w:val="000000"/>
          <w:lang w:eastAsia="en-GB"/>
        </w:rPr>
        <w:t xml:space="preserv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"mendeley" : { "formattedCitation" : "(Chao &lt;i&gt;et al.&lt;/i&gt; 2008)", "plainTextFormattedCitation" : "(Chao et al. 2008)", "previouslyFormattedCitation" : "(Chao &lt;i&gt;et al.&lt;/i&gt;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 xml:space="preserve">(Chao </w:t>
      </w:r>
      <w:r w:rsidR="005B3436" w:rsidRPr="005B3436">
        <w:rPr>
          <w:rFonts w:ascii="Arial" w:eastAsia="Times New Roman" w:hAnsi="Arial" w:cs="Arial"/>
          <w:i/>
          <w:noProof/>
          <w:color w:val="000000"/>
          <w:lang w:eastAsia="en-GB"/>
        </w:rPr>
        <w:t>et al.</w:t>
      </w:r>
      <w:r w:rsidR="005B3436" w:rsidRPr="005B3436">
        <w:rPr>
          <w:rFonts w:ascii="Arial" w:eastAsia="Times New Roman" w:hAnsi="Arial" w:cs="Arial"/>
          <w:noProof/>
          <w:color w:val="000000"/>
          <w:lang w:eastAsia="en-GB"/>
        </w:rPr>
        <w:t xml:space="preserve"> 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In step 3 a full multivariate model was developed using these selected variables using additive terms only. In step 4 model averaging </w:t>
      </w:r>
      <w:r w:rsidR="005B3436">
        <w:rPr>
          <w:rFonts w:ascii="Arial" w:eastAsia="Times New Roman" w:hAnsi="Arial" w:cs="Arial"/>
          <w:color w:val="000000"/>
          <w:lang w:eastAsia="en-GB"/>
        </w:rPr>
        <w:t xml:space="preserve">using </w:t>
      </w:r>
      <w:r w:rsidRPr="004E3A00">
        <w:rPr>
          <w:rFonts w:ascii="Arial" w:eastAsia="Times New Roman" w:hAnsi="Arial" w:cs="Arial"/>
          <w:color w:val="000000"/>
          <w:lang w:eastAsia="en-GB"/>
        </w:rPr>
        <w:t>was used to produce parameter estimates for models with a ΔAICc≤7.</w:t>
      </w:r>
      <w:r w:rsidR="005B3436">
        <w:rPr>
          <w:rFonts w:ascii="Arial" w:eastAsia="Times New Roman" w:hAnsi="Arial" w:cs="Arial"/>
          <w:color w:val="000000"/>
          <w:lang w:eastAsia="en-GB"/>
        </w:rPr>
        <w:t xml:space="preserve"> All analyses were produced using R 3.2.1 </w:t>
      </w:r>
      <w:r w:rsidR="005B3436">
        <w:rPr>
          <w:rFonts w:ascii="Arial" w:eastAsia="Times New Roman" w:hAnsi="Arial" w:cs="Arial"/>
          <w:color w:val="000000"/>
          <w:lang w:eastAsia="en-GB"/>
        </w:rPr>
        <w:fldChar w:fldCharType="begin" w:fldLock="1"/>
      </w:r>
      <w:r w:rsidR="00C3566F">
        <w:rPr>
          <w:rFonts w:ascii="Arial" w:eastAsia="Times New Roman" w:hAnsi="Arial" w:cs="Arial"/>
          <w:color w:val="000000"/>
          <w:lang w:eastAsia="en-GB"/>
        </w:rPr>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"book" }, "uris" : [ "http://www.mendeley.com/documents/?uuid=fe18053d-edeb-429d-aaa4-4907c6d59eb2" ] } ], "mendeley" : { "formattedCitation" : "(R Development Core Team 2011)", "plainTextFormattedCitation" : "(R Development Core Team 2011)", "previouslyFormattedCitation" : "(R Development Core Team 2011)"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(R Development Core Team 2011)</w:t>
      </w:r>
      <w:r w:rsidR="005B3436">
        <w:rPr>
          <w:rFonts w:ascii="Arial" w:eastAsia="Times New Roman" w:hAnsi="Arial" w:cs="Arial"/>
          <w:color w:val="000000"/>
          <w:lang w:eastAsia="en-GB"/>
        </w:rPr>
        <w:fldChar w:fldCharType="end"/>
      </w:r>
      <w:r w:rsidR="005B3436">
        <w:rPr>
          <w:rFonts w:ascii="Arial" w:eastAsia="Times New Roman" w:hAnsi="Arial" w:cs="Arial"/>
          <w:color w:val="000000"/>
          <w:lang w:eastAsia="en-GB"/>
        </w:rPr>
        <w:t xml:space="preserve"> with </w:t>
      </w:r>
      <w:r w:rsidR="00C3566F">
        <w:rPr>
          <w:rFonts w:ascii="Arial" w:eastAsia="Times New Roman" w:hAnsi="Arial" w:cs="Arial"/>
          <w:color w:val="000000"/>
          <w:lang w:eastAsia="en-GB"/>
        </w:rPr>
        <w:t xml:space="preserve">generalised linear mixed models done using the lme4 package </w:t>
      </w:r>
      <w:r w:rsidR="00C3566F">
        <w:rPr>
          <w:rFonts w:ascii="Arial" w:eastAsia="Times New Roman" w:hAnsi="Arial" w:cs="Arial"/>
          <w:color w:val="000000"/>
          <w:lang w:eastAsia="en-GB"/>
        </w:rPr>
        <w:fldChar w:fldCharType="begin" w:fldLock="1"/>
      </w:r>
      <w:r w:rsidR="00B15A2F">
        <w:rPr>
          <w:rFonts w:ascii="Arial" w:eastAsia="Times New Roman" w:hAnsi="Arial" w:cs="Arial"/>
          <w:color w:val="000000"/>
          <w:lang w:eastAsia="en-GB"/>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C3566F">
        <w:rPr>
          <w:rFonts w:ascii="Arial" w:eastAsia="Times New Roman" w:hAnsi="Arial" w:cs="Arial"/>
          <w:color w:val="000000"/>
          <w:lang w:eastAsia="en-GB"/>
        </w:rPr>
        <w:fldChar w:fldCharType="separate"/>
      </w:r>
      <w:r w:rsidR="00C3566F" w:rsidRPr="00C3566F">
        <w:rPr>
          <w:rFonts w:ascii="Arial" w:eastAsia="Times New Roman" w:hAnsi="Arial" w:cs="Arial"/>
          <w:noProof/>
          <w:color w:val="000000"/>
          <w:lang w:eastAsia="en-GB"/>
        </w:rPr>
        <w:t xml:space="preserve">(Bates </w:t>
      </w:r>
      <w:r w:rsidR="00C3566F" w:rsidRPr="00C3566F">
        <w:rPr>
          <w:rFonts w:ascii="Arial" w:eastAsia="Times New Roman" w:hAnsi="Arial" w:cs="Arial"/>
          <w:i/>
          <w:noProof/>
          <w:color w:val="000000"/>
          <w:lang w:eastAsia="en-GB"/>
        </w:rPr>
        <w:t>et al.</w:t>
      </w:r>
      <w:r w:rsidR="00C3566F" w:rsidRPr="00C3566F">
        <w:rPr>
          <w:rFonts w:ascii="Arial" w:eastAsia="Times New Roman" w:hAnsi="Arial" w:cs="Arial"/>
          <w:noProof/>
          <w:color w:val="000000"/>
          <w:lang w:eastAsia="en-GB"/>
        </w:rPr>
        <w:t xml:space="preserve"> 2014)</w:t>
      </w:r>
      <w:r w:rsidR="00C3566F">
        <w:rPr>
          <w:rFonts w:ascii="Arial" w:eastAsia="Times New Roman" w:hAnsi="Arial" w:cs="Arial"/>
          <w:color w:val="000000"/>
          <w:lang w:eastAsia="en-GB"/>
        </w:rPr>
        <w:fldChar w:fldCharType="end"/>
      </w:r>
      <w:r w:rsidR="00C3566F">
        <w:rPr>
          <w:rFonts w:ascii="Arial" w:eastAsia="Times New Roman" w:hAnsi="Arial" w:cs="Arial"/>
          <w:color w:val="000000"/>
          <w:lang w:eastAsia="en-GB"/>
        </w:rPr>
        <w:t xml:space="preserve"> and </w:t>
      </w:r>
      <w:proofErr w:type="spellStart"/>
      <w:r w:rsidR="005B3436">
        <w:rPr>
          <w:rFonts w:ascii="Arial" w:eastAsia="Times New Roman" w:hAnsi="Arial" w:cs="Arial"/>
          <w:color w:val="000000"/>
          <w:lang w:eastAsia="en-GB"/>
        </w:rPr>
        <w:t>multimodel</w:t>
      </w:r>
      <w:proofErr w:type="spellEnd"/>
      <w:r w:rsidR="005B3436">
        <w:rPr>
          <w:rFonts w:ascii="Arial" w:eastAsia="Times New Roman" w:hAnsi="Arial" w:cs="Arial"/>
          <w:color w:val="000000"/>
          <w:lang w:eastAsia="en-GB"/>
        </w:rPr>
        <w:t xml:space="preserve"> averaging using </w:t>
      </w:r>
      <w:r w:rsidR="005B3436">
        <w:rPr>
          <w:rFonts w:ascii="Arial" w:eastAsia="Times New Roman" w:hAnsi="Arial" w:cs="Arial"/>
          <w:color w:val="000000"/>
          <w:lang w:eastAsia="en-GB"/>
        </w:rPr>
        <w:t xml:space="preserve">the </w:t>
      </w:r>
      <w:proofErr w:type="spellStart"/>
      <w:r w:rsidR="005B3436">
        <w:rPr>
          <w:rFonts w:ascii="Arial" w:eastAsia="Times New Roman" w:hAnsi="Arial" w:cs="Arial"/>
          <w:color w:val="000000"/>
          <w:lang w:eastAsia="en-GB"/>
        </w:rPr>
        <w:t>MuMIn</w:t>
      </w:r>
      <w:proofErr w:type="spellEnd"/>
      <w:r w:rsidR="005B3436">
        <w:rPr>
          <w:rFonts w:ascii="Arial" w:eastAsia="Times New Roman" w:hAnsi="Arial" w:cs="Arial"/>
          <w:color w:val="000000"/>
          <w:lang w:eastAsia="en-GB"/>
        </w:rPr>
        <w:t xml:space="preserve"> package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(Barton 2014)</w:t>
      </w:r>
      <w:r w:rsidR="005B3436">
        <w:rPr>
          <w:rFonts w:ascii="Arial" w:eastAsia="Times New Roman" w:hAnsi="Arial" w:cs="Arial"/>
          <w:color w:val="000000"/>
          <w:lang w:eastAsia="en-GB"/>
        </w:rPr>
        <w:fldChar w:fldCharType="end"/>
      </w:r>
      <w:r w:rsidR="00C3566F">
        <w:rPr>
          <w:rFonts w:ascii="Arial" w:eastAsia="Times New Roman" w:hAnsi="Arial" w:cs="Arial"/>
          <w:color w:val="000000"/>
          <w:lang w:eastAsia="en-GB"/>
        </w:rPr>
        <w:t>.</w:t>
      </w:r>
      <w:bookmarkStart w:id="2" w:name="_GoBack"/>
      <w:bookmarkEnd w:id="2"/>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commentRangeStart w:id="3"/>
      <w:r w:rsidRPr="004E3A00">
        <w:rPr>
          <w:rFonts w:ascii="Arial" w:hAnsi="Arial" w:cs="Arial"/>
          <w:b/>
        </w:rPr>
        <w:t xml:space="preserve">Individual based model </w:t>
      </w:r>
      <w:commentRangeEnd w:id="3"/>
      <w:r w:rsidR="004166E0" w:rsidRPr="004E3A00">
        <w:rPr>
          <w:rStyle w:val="CommentReference"/>
        </w:rPr>
        <w:commentReference w:id="3"/>
      </w:r>
    </w:p>
    <w:p w:rsidR="00174EF6" w:rsidRPr="004E3A00" w:rsidRDefault="00F11B0B" w:rsidP="00F11B0B">
      <w:pPr>
        <w:spacing w:line="360" w:lineRule="auto"/>
        <w:ind w:firstLine="720"/>
        <w:contextualSpacing/>
        <w:rPr>
          <w:rFonts w:ascii="Arial" w:hAnsi="Arial" w:cs="Arial"/>
        </w:rPr>
      </w:pPr>
      <w:r w:rsidRPr="004E3A00">
        <w:rPr>
          <w:rFonts w:ascii="Arial" w:hAnsi="Arial" w:cs="Arial"/>
        </w:rPr>
        <w:t xml:space="preserve">We used </w:t>
      </w:r>
      <w:r w:rsidR="00937D98" w:rsidRPr="004E3A00">
        <w:rPr>
          <w:rFonts w:ascii="Arial" w:hAnsi="Arial" w:cs="Arial"/>
        </w:rPr>
        <w:t>an individual based model, built</w:t>
      </w:r>
      <w:r w:rsidRPr="004E3A00">
        <w:rPr>
          <w:rFonts w:ascii="Arial" w:hAnsi="Arial" w:cs="Arial"/>
        </w:rPr>
        <w:t xml:space="preserve"> using </w:t>
      </w:r>
      <w:proofErr w:type="spellStart"/>
      <w:r w:rsidRPr="004E3A00">
        <w:rPr>
          <w:rFonts w:ascii="Arial" w:hAnsi="Arial" w:cs="Arial"/>
        </w:rPr>
        <w:t>Netlogo</w:t>
      </w:r>
      <w:proofErr w:type="spellEnd"/>
      <w:r w:rsidRPr="004E3A00">
        <w:rPr>
          <w:rFonts w:ascii="Arial" w:hAnsi="Arial" w:cs="Arial"/>
        </w:rPr>
        <w:t xml:space="preserve"> </w:t>
      </w:r>
      <w:r w:rsidR="00695472" w:rsidRPr="004E3A00">
        <w:rPr>
          <w:rFonts w:ascii="Arial" w:hAnsi="Arial" w:cs="Arial"/>
        </w:rPr>
        <w:fldChar w:fldCharType="begin" w:fldLock="1"/>
      </w:r>
      <w:r w:rsidR="00EC6C08" w:rsidRPr="004E3A00">
        <w:rPr>
          <w:rFonts w:ascii="Arial" w:hAnsi="Arial" w:cs="Arial"/>
        </w:rPr>
        <w:instrText>ADDIN CSL_CITATION { "citationItems" : [ { "id" : "ITEM-1", "itemData" : { "author" : [ { "dropping-particle" : "", "family" : "Wilensky", "given" : "U", "non-dropping-particle" : "", "parse-names" : false, "suffix" : "" } ], "id" : "ITEM-1", "issued" : { "date-parts" : [ [ "1999" ] ] }, "publisher" : "enter for Connected Learning and Computer-Based Modeling, Northwestern University.", "publisher-place" : "Evanston, IL", "title" : "Netlogo", "type" : "article" }, "uris" : [ "http://www.mendeley.com/documents/?uuid=e440c2ac-fbaf-453e-ae59-c7d75c290109" ] } ], "mendeley" : { "formattedCitation" : "(Wilensky 1999)", "plainTextFormattedCitation" : "(Wilensky 1999)", "previouslyFormattedCitation" : "(Wilensky 1999)" }, "properties" : { "noteIndex" : 0 }, "schema" : "https://github.com/citation-style-language/schema/raw/master/csl-citation.json" }</w:instrText>
      </w:r>
      <w:r w:rsidR="00695472" w:rsidRPr="004E3A00">
        <w:rPr>
          <w:rFonts w:ascii="Arial" w:hAnsi="Arial" w:cs="Arial"/>
        </w:rPr>
        <w:fldChar w:fldCharType="separate"/>
      </w:r>
      <w:r w:rsidR="00732C7B" w:rsidRPr="004E3A00">
        <w:rPr>
          <w:rFonts w:ascii="Arial" w:hAnsi="Arial" w:cs="Arial"/>
          <w:noProof/>
        </w:rPr>
        <w:t>(Wilensky 1999)</w:t>
      </w:r>
      <w:r w:rsidR="00695472" w:rsidRPr="004E3A00">
        <w:rPr>
          <w:rFonts w:ascii="Arial" w:hAnsi="Arial" w:cs="Arial"/>
        </w:rPr>
        <w:fldChar w:fldCharType="end"/>
      </w:r>
      <w:r w:rsidR="00937D98" w:rsidRPr="004E3A00">
        <w:rPr>
          <w:rFonts w:ascii="Arial" w:hAnsi="Arial" w:cs="Arial"/>
        </w:rPr>
        <w:t xml:space="preserve"> </w:t>
      </w:r>
      <w:r w:rsidRPr="004E3A00">
        <w:rPr>
          <w:rFonts w:ascii="Arial" w:hAnsi="Arial" w:cs="Arial"/>
        </w:rPr>
        <w:t xml:space="preserve">to investigate the importance of feedbacks in causing collapse of forest structure. </w:t>
      </w:r>
      <w:r w:rsidR="00174EF6" w:rsidRPr="004E3A00">
        <w:rPr>
          <w:rFonts w:ascii="Arial" w:hAnsi="Arial" w:cs="Arial"/>
        </w:rPr>
        <w:t xml:space="preserve">The model description follows the ODD protocol for describing individual based models </w:t>
      </w:r>
      <w:r w:rsidR="00174EF6" w:rsidRPr="004E3A00">
        <w:rPr>
          <w:rFonts w:ascii="Arial" w:hAnsi="Arial" w:cs="Arial"/>
        </w:rPr>
        <w:fldChar w:fldCharType="begin" w:fldLock="1"/>
      </w:r>
      <w:r w:rsidR="00EC6C08" w:rsidRPr="004E3A00">
        <w:rPr>
          <w:rFonts w:ascii="Arial" w:hAnsi="Arial" w:cs="Arial"/>
        </w:rPr>
        <w: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&lt;i&gt;et al.&lt;/i&gt; 2006)", "plainTextFormattedCitation" : "(Grimm et al. 2006)", "previouslyFormattedCitation" : "(Grimm &lt;i&gt;et al.&lt;/i&gt; 2006)" }, "properties" : { "noteIndex" : 0 }, "schema" : "https://github.com/citation-style-language/schema/raw/master/csl-citation.json" }</w:instrText>
      </w:r>
      <w:r w:rsidR="00174EF6" w:rsidRPr="004E3A00">
        <w:rPr>
          <w:rFonts w:ascii="Arial" w:hAnsi="Arial" w:cs="Arial"/>
        </w:rPr>
        <w:fldChar w:fldCharType="separate"/>
      </w:r>
      <w:r w:rsidR="00732C7B" w:rsidRPr="004E3A00">
        <w:rPr>
          <w:rFonts w:ascii="Arial" w:hAnsi="Arial" w:cs="Arial"/>
          <w:noProof/>
        </w:rPr>
        <w:t xml:space="preserve">(Grimm </w:t>
      </w:r>
      <w:r w:rsidR="00732C7B" w:rsidRPr="004E3A00">
        <w:rPr>
          <w:rFonts w:ascii="Arial" w:hAnsi="Arial" w:cs="Arial"/>
          <w:i/>
          <w:noProof/>
        </w:rPr>
        <w:t>et al.</w:t>
      </w:r>
      <w:r w:rsidR="00732C7B" w:rsidRPr="004E3A00">
        <w:rPr>
          <w:rFonts w:ascii="Arial" w:hAnsi="Arial" w:cs="Arial"/>
          <w:noProof/>
        </w:rPr>
        <w:t xml:space="preserve"> 2006)</w:t>
      </w:r>
      <w:r w:rsidR="00174EF6" w:rsidRPr="004E3A00">
        <w:rPr>
          <w:rFonts w:ascii="Arial" w:hAnsi="Arial" w:cs="Arial"/>
        </w:rPr>
        <w:fldChar w:fldCharType="end"/>
      </w:r>
      <w:r w:rsidR="00C3566F">
        <w:rPr>
          <w:rFonts w:ascii="Arial" w:hAnsi="Arial" w:cs="Arial"/>
        </w:rPr>
        <w:t>. Parameters used in the model were taken from the results of statistical analysis in this study or from the scientific literature. A full description of these parameters is given in Table 3.</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Purpose</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We used the model to investigate under what conditions loss of tree cover and basal area (BA) might occur in a simplified representation of a New Forest beech woodland.</w:t>
      </w:r>
      <w:r w:rsidR="003348F5" w:rsidRPr="004E3A00">
        <w:rPr>
          <w:rFonts w:ascii="Arial" w:hAnsi="Arial" w:cs="Arial"/>
        </w:rPr>
        <w:t xml:space="preserve"> The only species represented is beech, as this is the dominant species found in the </w:t>
      </w:r>
      <w:r w:rsidR="00C3566F">
        <w:rPr>
          <w:rFonts w:ascii="Arial" w:hAnsi="Arial" w:cs="Arial"/>
        </w:rPr>
        <w:t>study area</w:t>
      </w:r>
      <w:r w:rsidR="003348F5" w:rsidRPr="004E3A00">
        <w:rPr>
          <w:rFonts w:ascii="Arial" w:hAnsi="Arial" w:cs="Arial"/>
        </w:rPr>
        <w:t xml:space="preserve">, and mortality of the species has caused the majority of BA loss from 1964-2014 </w:t>
      </w:r>
      <w:r w:rsidR="003348F5" w:rsidRPr="004E3A00">
        <w:rPr>
          <w:rFonts w:ascii="Arial" w:hAnsi="Arial" w:cs="Arial"/>
        </w:rPr>
        <w:fldChar w:fldCharType="begin" w:fldLock="1"/>
      </w:r>
      <w:r w:rsidR="00B6284F">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3348F5" w:rsidRPr="004E3A00">
        <w:rPr>
          <w:rFonts w:ascii="Arial" w:hAnsi="Arial" w:cs="Arial"/>
        </w:rPr>
        <w:fldChar w:fldCharType="separate"/>
      </w:r>
      <w:r w:rsidR="002324D1" w:rsidRPr="002324D1">
        <w:rPr>
          <w:rFonts w:ascii="Arial" w:hAnsi="Arial" w:cs="Arial"/>
          <w:noProof/>
        </w:rPr>
        <w:t xml:space="preserve">(Martin </w:t>
      </w:r>
      <w:r w:rsidR="002324D1" w:rsidRPr="002324D1">
        <w:rPr>
          <w:rFonts w:ascii="Arial" w:hAnsi="Arial" w:cs="Arial"/>
          <w:i/>
          <w:noProof/>
        </w:rPr>
        <w:t>et al.</w:t>
      </w:r>
      <w:r w:rsidR="002324D1" w:rsidRPr="002324D1">
        <w:rPr>
          <w:rFonts w:ascii="Arial" w:hAnsi="Arial" w:cs="Arial"/>
          <w:noProof/>
        </w:rPr>
        <w:t xml:space="preserve"> 2015)</w:t>
      </w:r>
      <w:r w:rsidR="003348F5" w:rsidRPr="004E3A00">
        <w:rPr>
          <w:rFonts w:ascii="Arial" w:hAnsi="Arial" w:cs="Arial"/>
        </w:rPr>
        <w:fldChar w:fldCharType="end"/>
      </w:r>
      <w:r w:rsidR="003348F5" w:rsidRPr="004E3A00">
        <w:rPr>
          <w:rFonts w:ascii="Arial" w:hAnsi="Arial" w:cs="Arial"/>
        </w:rPr>
        <w:t>.</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Entities, state variables and scales</w:t>
      </w:r>
    </w:p>
    <w:p w:rsidR="00D05602" w:rsidRPr="004E3A00" w:rsidRDefault="00174EF6" w:rsidP="00F11B0B">
      <w:pPr>
        <w:spacing w:line="360" w:lineRule="auto"/>
        <w:ind w:firstLine="720"/>
        <w:contextualSpacing/>
        <w:rPr>
          <w:rFonts w:ascii="Arial" w:hAnsi="Arial" w:cs="Arial"/>
        </w:rPr>
      </w:pPr>
      <w:r w:rsidRPr="004E3A00">
        <w:rPr>
          <w:rFonts w:ascii="Arial" w:hAnsi="Arial" w:cs="Arial"/>
        </w:rPr>
        <w:t>The model comprises of two types of entities: grid cells and individuals. Individuals represent beech trees. Each individual is characterised by its location, development stage (</w:t>
      </w:r>
      <w:r w:rsidR="00D05602" w:rsidRPr="004E3A00">
        <w:rPr>
          <w:rFonts w:ascii="Arial" w:hAnsi="Arial" w:cs="Arial"/>
        </w:rPr>
        <w:t>juvenile or</w:t>
      </w:r>
      <w:r w:rsidRPr="004E3A00">
        <w:rPr>
          <w:rFonts w:ascii="Arial" w:hAnsi="Arial" w:cs="Arial"/>
        </w:rPr>
        <w:t xml:space="preserve"> mature), age (in years), DBH (cm), basal area (m</w:t>
      </w:r>
      <w:r w:rsidRPr="004E3A00">
        <w:rPr>
          <w:rFonts w:ascii="Arial" w:hAnsi="Arial" w:cs="Arial"/>
          <w:vertAlign w:val="superscript"/>
        </w:rPr>
        <w:t>2</w:t>
      </w:r>
      <w:r w:rsidRPr="004E3A00">
        <w:rPr>
          <w:rFonts w:ascii="Arial" w:hAnsi="Arial" w:cs="Arial"/>
        </w:rPr>
        <w:t>), mean seed dispersal distance (mean distance from the source, in number of cells)</w:t>
      </w:r>
      <w:r w:rsidR="00D05602" w:rsidRPr="004E3A00">
        <w:rPr>
          <w:rFonts w:ascii="Arial" w:hAnsi="Arial" w:cs="Arial"/>
        </w:rPr>
        <w:t>, growth rate in previous year (mm year</w:t>
      </w:r>
      <w:r w:rsidR="00D05602" w:rsidRPr="004E3A00">
        <w:rPr>
          <w:rFonts w:ascii="Arial" w:hAnsi="Arial" w:cs="Arial"/>
          <w:vertAlign w:val="superscript"/>
        </w:rPr>
        <w:t>-1</w:t>
      </w:r>
      <w:r w:rsidR="00C3566F">
        <w:rPr>
          <w:rFonts w:ascii="Arial" w:hAnsi="Arial" w:cs="Arial"/>
        </w:rPr>
        <w:t xml:space="preserve">), </w:t>
      </w:r>
      <w:r w:rsidR="00D05602" w:rsidRPr="004E3A00">
        <w:rPr>
          <w:rFonts w:ascii="Arial" w:hAnsi="Arial" w:cs="Arial"/>
        </w:rPr>
        <w:t>and di</w:t>
      </w:r>
      <w:r w:rsidR="00C3566F">
        <w:rPr>
          <w:rFonts w:ascii="Arial" w:hAnsi="Arial" w:cs="Arial"/>
        </w:rPr>
        <w:t>stance to nearest dead tree (m)</w:t>
      </w:r>
      <w:r w:rsidRPr="004E3A00">
        <w:rPr>
          <w:rFonts w:ascii="Arial" w:hAnsi="Arial" w:cs="Arial"/>
        </w:rPr>
        <w:t xml:space="preserve">. DBH of mature trees is derived from the age of trees using an equation for beech growth defined in </w:t>
      </w:r>
      <w:r w:rsidRPr="004E3A00">
        <w:rPr>
          <w:rFonts w:ascii="Arial" w:hAnsi="Arial" w:cs="Arial"/>
        </w:rPr>
        <w:fldChar w:fldCharType="begin" w:fldLock="1"/>
      </w:r>
      <w:r w:rsidR="00EC6C08" w:rsidRPr="004E3A00">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"manualFormatting" : "Holzwarth et al. (2013)", "plainTextFormattedCitation" : "(Holzwarth et al. 2013)", "previouslyFormattedCitation" : "(Holzwarth &lt;i&gt;et al.&lt;/i&gt; 2013)"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 xml:space="preserve">Holzwarth </w:t>
      </w:r>
      <w:r w:rsidRPr="004E3A00">
        <w:rPr>
          <w:rFonts w:ascii="Arial" w:hAnsi="Arial" w:cs="Arial"/>
          <w:i/>
          <w:noProof/>
        </w:rPr>
        <w:t>et al.</w:t>
      </w:r>
      <w:r w:rsidRPr="004E3A00">
        <w:rPr>
          <w:rFonts w:ascii="Arial" w:hAnsi="Arial" w:cs="Arial"/>
          <w:noProof/>
        </w:rPr>
        <w:t xml:space="preserve"> (2013)</w:t>
      </w:r>
      <w:r w:rsidRPr="004E3A00">
        <w:rPr>
          <w:rFonts w:ascii="Arial" w:hAnsi="Arial" w:cs="Arial"/>
        </w:rPr>
        <w:fldChar w:fldCharType="end"/>
      </w:r>
      <w:r w:rsidRPr="004E3A00">
        <w:rPr>
          <w:rFonts w:ascii="Arial" w:hAnsi="Arial" w:cs="Arial"/>
        </w:rPr>
        <w:t xml:space="preserve"> and BA defined as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Pr="004E3A00">
        <w:rPr>
          <w:rFonts w:ascii="Arial" w:hAnsi="Arial" w:cs="Arial"/>
        </w:rPr>
        <w:t xml:space="preserve">. </w:t>
      </w:r>
      <w:r w:rsidR="00D05602" w:rsidRPr="004E3A00">
        <w:rPr>
          <w:rFonts w:ascii="Arial" w:hAnsi="Arial" w:cs="Arial"/>
        </w:rPr>
        <w:t>Dispersal distance is a random number drawn from an exponential distribution with a</w:t>
      </w:r>
      <w:r w:rsidR="00C3566F">
        <w:rPr>
          <w:rFonts w:ascii="Arial" w:hAnsi="Arial" w:cs="Arial"/>
        </w:rPr>
        <w:t xml:space="preserve"> mean of 12</w:t>
      </w:r>
      <w:r w:rsidR="00D05602" w:rsidRPr="004E3A00">
        <w:rPr>
          <w:rFonts w:ascii="Arial" w:hAnsi="Arial" w:cs="Arial"/>
        </w:rPr>
        <w:t xml:space="preserve"> m.</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 xml:space="preserve">All grid cells in the model are considered suitable for individuals. </w:t>
      </w:r>
      <w:r w:rsidR="00D05602" w:rsidRPr="004E3A00">
        <w:rPr>
          <w:rFonts w:ascii="Arial" w:hAnsi="Arial" w:cs="Arial"/>
        </w:rPr>
        <w:t xml:space="preserve">Each grid cell is characterised by its location, </w:t>
      </w:r>
      <w:r w:rsidR="00C3566F">
        <w:rPr>
          <w:rFonts w:ascii="Arial" w:hAnsi="Arial" w:cs="Arial"/>
        </w:rPr>
        <w:t xml:space="preserve">the basal area of trees within 400 </w:t>
      </w:r>
      <w:r w:rsidR="00C3566F" w:rsidRPr="00C3566F">
        <w:rPr>
          <w:rFonts w:ascii="Arial" w:hAnsi="Arial" w:cs="Arial"/>
        </w:rPr>
        <w:t>m</w:t>
      </w:r>
      <w:r w:rsidR="00C3566F">
        <w:rPr>
          <w:rFonts w:ascii="Arial" w:hAnsi="Arial" w:cs="Arial"/>
          <w:vertAlign w:val="superscript"/>
        </w:rPr>
        <w:t>2</w:t>
      </w:r>
      <w:r w:rsidR="00C3566F">
        <w:rPr>
          <w:rFonts w:ascii="Arial" w:hAnsi="Arial" w:cs="Arial"/>
        </w:rPr>
        <w:t xml:space="preserve">, the number of </w:t>
      </w:r>
      <w:proofErr w:type="gramStart"/>
      <w:r w:rsidR="00C3566F">
        <w:rPr>
          <w:rFonts w:ascii="Arial" w:hAnsi="Arial" w:cs="Arial"/>
        </w:rPr>
        <w:t>juveniles</w:t>
      </w:r>
      <w:proofErr w:type="gramEnd"/>
      <w:r w:rsidR="00C3566F">
        <w:rPr>
          <w:rFonts w:ascii="Arial" w:hAnsi="Arial" w:cs="Arial"/>
        </w:rPr>
        <w:t xml:space="preserve"> present if the grid cell, and </w:t>
      </w:r>
      <w:r w:rsidR="00D05602" w:rsidRPr="00C3566F">
        <w:rPr>
          <w:rFonts w:ascii="Arial" w:hAnsi="Arial" w:cs="Arial"/>
        </w:rPr>
        <w:t>whether</w:t>
      </w:r>
      <w:r w:rsidR="00D05602" w:rsidRPr="004E3A00">
        <w:rPr>
          <w:rFonts w:ascii="Arial" w:hAnsi="Arial" w:cs="Arial"/>
        </w:rPr>
        <w:t xml:space="preserve"> a </w:t>
      </w:r>
      <w:r w:rsidR="00C3566F">
        <w:rPr>
          <w:rFonts w:ascii="Arial" w:hAnsi="Arial" w:cs="Arial"/>
        </w:rPr>
        <w:t xml:space="preserve">mature </w:t>
      </w:r>
      <w:r w:rsidR="00D05602" w:rsidRPr="004E3A00">
        <w:rPr>
          <w:rFonts w:ascii="Arial" w:hAnsi="Arial" w:cs="Arial"/>
        </w:rPr>
        <w:t xml:space="preserve">tree has died in that patch and the time since last tree death on that patch. When a tree dies the </w:t>
      </w:r>
      <w:r w:rsidR="009B692C" w:rsidRPr="004E3A00">
        <w:rPr>
          <w:rFonts w:ascii="Arial" w:hAnsi="Arial" w:cs="Arial"/>
        </w:rPr>
        <w:t xml:space="preserve">patch value changes from 0 to 1 and after </w:t>
      </w:r>
      <w:r w:rsidR="009B692C" w:rsidRPr="004E3A00">
        <w:rPr>
          <w:rFonts w:ascii="Arial" w:hAnsi="Arial" w:cs="Arial"/>
        </w:rPr>
        <w:lastRenderedPageBreak/>
        <w:t xml:space="preserve">10 ticks if no other tree has died on this cell this value returns to 0. </w:t>
      </w:r>
      <w:r w:rsidRPr="004E3A00">
        <w:rPr>
          <w:rFonts w:ascii="Arial" w:hAnsi="Arial" w:cs="Arial"/>
        </w:rPr>
        <w:t>Each grid cell can only contain one mature individual, but may contain multiple juveniles. The model landscape consists of 100 x 100 grid cells, with each cell representing 1 m</w:t>
      </w:r>
      <w:r w:rsidRPr="004E3A00">
        <w:rPr>
          <w:rFonts w:ascii="Arial" w:hAnsi="Arial" w:cs="Arial"/>
          <w:vertAlign w:val="superscript"/>
        </w:rPr>
        <w:t>2</w:t>
      </w:r>
      <w:r w:rsidRPr="004E3A00">
        <w:rPr>
          <w:rFonts w:ascii="Arial" w:hAnsi="Arial" w:cs="Arial"/>
        </w:rPr>
        <w:t>, thus the entire area represents 1 ha. Each model time step represents one year.</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Process overview and scheduling</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 xml:space="preserve">Initially the distribution of individuals is determined by randomly distributing </w:t>
      </w:r>
      <w:r w:rsidR="00C3566F">
        <w:rPr>
          <w:rFonts w:ascii="Arial" w:hAnsi="Arial" w:cs="Arial"/>
        </w:rPr>
        <w:t>340</w:t>
      </w:r>
      <w:r w:rsidRPr="004E3A00">
        <w:rPr>
          <w:rFonts w:ascii="Arial" w:hAnsi="Arial" w:cs="Arial"/>
        </w:rPr>
        <w:t xml:space="preserve"> mature individuals with a random age drawn from an exponential distribution with a mean of </w:t>
      </w:r>
      <w:r w:rsidR="00C3566F">
        <w:rPr>
          <w:rFonts w:ascii="Arial" w:hAnsi="Arial" w:cs="Arial"/>
        </w:rPr>
        <w:t>75</w:t>
      </w:r>
      <w:r w:rsidRPr="004E3A00">
        <w:rPr>
          <w:rFonts w:ascii="Arial" w:hAnsi="Arial" w:cs="Arial"/>
        </w:rPr>
        <w:t xml:space="preserve"> years assigned to each individual. This was approximately the density and age structure of Denny Wood when </w:t>
      </w:r>
      <w:r w:rsidR="008B0D23" w:rsidRPr="004E3A00">
        <w:rPr>
          <w:rFonts w:ascii="Arial" w:hAnsi="Arial" w:cs="Arial"/>
        </w:rPr>
        <w:t>first surveyed in 1964</w:t>
      </w:r>
      <w:r w:rsidRPr="004E3A00">
        <w:rPr>
          <w:rFonts w:ascii="Arial" w:hAnsi="Arial" w:cs="Arial"/>
        </w:rPr>
        <w:t xml:space="preserve">. </w:t>
      </w:r>
      <w:r w:rsidR="009B692C" w:rsidRPr="004E3A00">
        <w:rPr>
          <w:rFonts w:ascii="Arial" w:hAnsi="Arial" w:cs="Arial"/>
        </w:rPr>
        <w:t xml:space="preserve">At the same time </w:t>
      </w:r>
      <w:r w:rsidR="00C3566F">
        <w:rPr>
          <w:rFonts w:ascii="Arial" w:hAnsi="Arial" w:cs="Arial"/>
        </w:rPr>
        <w:t>6000</w:t>
      </w:r>
      <w:r w:rsidRPr="004E3A00">
        <w:rPr>
          <w:rFonts w:ascii="Arial" w:hAnsi="Arial" w:cs="Arial"/>
        </w:rPr>
        <w:t xml:space="preserve"> </w:t>
      </w:r>
      <w:r w:rsidR="009B692C" w:rsidRPr="004E3A00">
        <w:rPr>
          <w:rFonts w:ascii="Arial" w:hAnsi="Arial" w:cs="Arial"/>
        </w:rPr>
        <w:t>juvenile trees</w:t>
      </w:r>
      <w:r w:rsidRPr="004E3A00">
        <w:rPr>
          <w:rFonts w:ascii="Arial" w:hAnsi="Arial" w:cs="Arial"/>
        </w:rPr>
        <w:t xml:space="preserve"> are randomly distributed across the space</w:t>
      </w:r>
      <w:r w:rsidR="00C3566F">
        <w:rPr>
          <w:rFonts w:ascii="Arial" w:hAnsi="Arial" w:cs="Arial"/>
        </w:rPr>
        <w:t xml:space="preserve"> with their age drawn randomly from an exponential distribution with a mean of 2</w:t>
      </w:r>
      <w:r w:rsidRPr="004E3A00">
        <w:rPr>
          <w:rFonts w:ascii="Arial" w:hAnsi="Arial" w:cs="Arial"/>
        </w:rPr>
        <w:t xml:space="preserve">. Then in each time step the following events are processed in the given order: </w:t>
      </w:r>
      <w:r w:rsidR="00B15A2F">
        <w:rPr>
          <w:rFonts w:ascii="Arial" w:hAnsi="Arial" w:cs="Arial"/>
        </w:rPr>
        <w:t xml:space="preserve">identification of whether the time step represents a mast year, </w:t>
      </w:r>
      <w:r w:rsidRPr="004E3A00">
        <w:rPr>
          <w:rFonts w:ascii="Arial" w:hAnsi="Arial" w:cs="Arial"/>
        </w:rPr>
        <w:t>increase age of individuals by one year</w:t>
      </w:r>
      <w:r w:rsidR="009B692C" w:rsidRPr="004E3A00">
        <w:rPr>
          <w:rFonts w:ascii="Arial" w:hAnsi="Arial" w:cs="Arial"/>
        </w:rPr>
        <w:t>, increase individual DBH &amp; BA</w:t>
      </w:r>
      <w:r w:rsidRPr="004E3A00">
        <w:rPr>
          <w:rFonts w:ascii="Arial" w:hAnsi="Arial" w:cs="Arial"/>
        </w:rPr>
        <w:t>, seed</w:t>
      </w:r>
      <w:r w:rsidR="003348F5" w:rsidRPr="004E3A00">
        <w:rPr>
          <w:rFonts w:ascii="Arial" w:hAnsi="Arial" w:cs="Arial"/>
        </w:rPr>
        <w:t xml:space="preserve"> dispersal from mature tre</w:t>
      </w:r>
      <w:r w:rsidR="00B15A2F">
        <w:rPr>
          <w:rFonts w:ascii="Arial" w:hAnsi="Arial" w:cs="Arial"/>
        </w:rPr>
        <w:t>es &gt; 5</w:t>
      </w:r>
      <w:r w:rsidRPr="004E3A00">
        <w:rPr>
          <w:rFonts w:ascii="Arial" w:hAnsi="Arial" w:cs="Arial"/>
        </w:rPr>
        <w:t>0 years old</w:t>
      </w:r>
      <w:r w:rsidR="00B15A2F">
        <w:rPr>
          <w:rFonts w:ascii="Arial" w:hAnsi="Arial" w:cs="Arial"/>
        </w:rPr>
        <w:t xml:space="preserve"> </w:t>
      </w:r>
      <w:r w:rsidR="00B15A2F">
        <w:rPr>
          <w:rFonts w:ascii="Arial" w:hAnsi="Arial" w:cs="Arial"/>
        </w:rPr>
        <w:fldChar w:fldCharType="begin" w:fldLock="1"/>
      </w:r>
      <w:r w:rsidR="00B15A2F">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00B15A2F">
        <w:rPr>
          <w:rFonts w:ascii="Arial" w:hAnsi="Arial" w:cs="Arial"/>
        </w:rPr>
        <w:fldChar w:fldCharType="separate"/>
      </w:r>
      <w:r w:rsidR="00B15A2F" w:rsidRPr="00B15A2F">
        <w:rPr>
          <w:rFonts w:ascii="Arial" w:hAnsi="Arial" w:cs="Arial"/>
          <w:noProof/>
        </w:rPr>
        <w:t xml:space="preserve">(Packham </w:t>
      </w:r>
      <w:r w:rsidR="00B15A2F" w:rsidRPr="00B15A2F">
        <w:rPr>
          <w:rFonts w:ascii="Arial" w:hAnsi="Arial" w:cs="Arial"/>
          <w:i/>
          <w:noProof/>
        </w:rPr>
        <w:t>et al.</w:t>
      </w:r>
      <w:r w:rsidR="00B15A2F" w:rsidRPr="00B15A2F">
        <w:rPr>
          <w:rFonts w:ascii="Arial" w:hAnsi="Arial" w:cs="Arial"/>
          <w:noProof/>
        </w:rPr>
        <w:t xml:space="preserve"> 2012)</w:t>
      </w:r>
      <w:r w:rsidR="00B15A2F">
        <w:rPr>
          <w:rFonts w:ascii="Arial" w:hAnsi="Arial" w:cs="Arial"/>
        </w:rPr>
        <w:fldChar w:fldCharType="end"/>
      </w:r>
      <w:r w:rsidR="009B692C" w:rsidRPr="004E3A00">
        <w:rPr>
          <w:rFonts w:ascii="Arial" w:hAnsi="Arial" w:cs="Arial"/>
        </w:rPr>
        <w:t>,</w:t>
      </w:r>
      <w:r w:rsidRPr="004E3A00">
        <w:rPr>
          <w:rFonts w:ascii="Arial" w:hAnsi="Arial" w:cs="Arial"/>
        </w:rPr>
        <w:t xml:space="preserve"> and death.</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Design concepts</w:t>
      </w:r>
    </w:p>
    <w:p w:rsidR="00C82816" w:rsidRPr="004E3A00" w:rsidRDefault="00174EF6" w:rsidP="00F11B0B">
      <w:pPr>
        <w:spacing w:line="360" w:lineRule="auto"/>
        <w:ind w:firstLine="720"/>
        <w:contextualSpacing/>
        <w:rPr>
          <w:rFonts w:ascii="Arial" w:hAnsi="Arial" w:cs="Arial"/>
        </w:rPr>
      </w:pPr>
      <w:r w:rsidRPr="004E3A00">
        <w:rPr>
          <w:rFonts w:ascii="Arial" w:hAnsi="Arial" w:cs="Arial"/>
        </w:rPr>
        <w:t xml:space="preserve">The total number of mature trees and basal area </w:t>
      </w:r>
      <w:r w:rsidRPr="004E3A00">
        <w:rPr>
          <w:rFonts w:ascii="Arial" w:hAnsi="Arial" w:cs="Arial"/>
          <w:i/>
        </w:rPr>
        <w:t>emerge</w:t>
      </w:r>
      <w:r w:rsidRPr="004E3A00">
        <w:rPr>
          <w:rFonts w:ascii="Arial" w:hAnsi="Arial" w:cs="Arial"/>
        </w:rPr>
        <w:t xml:space="preserve"> from changes in the probability of mature tree mortality that occur as they age and increase in size, as well as from changes in the mortality of </w:t>
      </w:r>
      <w:r w:rsidR="009B692C" w:rsidRPr="004E3A00">
        <w:rPr>
          <w:rFonts w:ascii="Arial" w:hAnsi="Arial" w:cs="Arial"/>
        </w:rPr>
        <w:t>juvenile trees</w:t>
      </w:r>
      <w:r w:rsidRPr="004E3A00">
        <w:rPr>
          <w:rFonts w:ascii="Arial" w:hAnsi="Arial" w:cs="Arial"/>
        </w:rPr>
        <w:t xml:space="preserve">. </w:t>
      </w:r>
      <w:r w:rsidRPr="004E3A00">
        <w:rPr>
          <w:rFonts w:ascii="Arial" w:hAnsi="Arial" w:cs="Arial"/>
          <w:i/>
        </w:rPr>
        <w:t>Interactions</w:t>
      </w:r>
      <w:r w:rsidRPr="004E3A00">
        <w:rPr>
          <w:rFonts w:ascii="Arial" w:hAnsi="Arial" w:cs="Arial"/>
        </w:rPr>
        <w:t xml:space="preserve"> between individuals are the result of density dependant mortality processes, which show size asymmetry. </w:t>
      </w:r>
      <w:r w:rsidR="00A33D3E" w:rsidRPr="004E3A00">
        <w:rPr>
          <w:rFonts w:ascii="Arial" w:hAnsi="Arial" w:cs="Arial"/>
        </w:rPr>
        <w:t>For juveniles t</w:t>
      </w:r>
      <w:r w:rsidRPr="004E3A00">
        <w:rPr>
          <w:rFonts w:ascii="Arial" w:hAnsi="Arial" w:cs="Arial"/>
        </w:rPr>
        <w:t xml:space="preserve">his is </w:t>
      </w:r>
      <w:r w:rsidRPr="00B15A2F">
        <w:rPr>
          <w:rFonts w:ascii="Arial" w:hAnsi="Arial" w:cs="Arial"/>
        </w:rPr>
        <w:t xml:space="preserve">modelled by defining a maximum number of </w:t>
      </w:r>
      <w:r w:rsidR="009B692C" w:rsidRPr="00B15A2F">
        <w:rPr>
          <w:rFonts w:ascii="Arial" w:hAnsi="Arial" w:cs="Arial"/>
        </w:rPr>
        <w:t xml:space="preserve">juveniles that can coexist in </w:t>
      </w:r>
      <w:r w:rsidR="00B15A2F" w:rsidRPr="00B15A2F">
        <w:rPr>
          <w:rFonts w:ascii="Arial" w:hAnsi="Arial" w:cs="Arial"/>
        </w:rPr>
        <w:t xml:space="preserve">any cell as 3 </w:t>
      </w:r>
      <w:r w:rsidR="00B15A2F" w:rsidRPr="00B15A2F">
        <w:rPr>
          <w:rFonts w:ascii="Arial" w:hAnsi="Arial" w:cs="Arial"/>
        </w:rPr>
        <w:fldChar w:fldCharType="begin" w:fldLock="1"/>
      </w:r>
      <w:r w:rsidR="00B15A2F">
        <w:rPr>
          <w:rFonts w:ascii="Arial" w:hAnsi="Arial" w:cs="Arial"/>
        </w:rPr>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"label" : "line", "prefix" : "Table 3; ", "uris" : [ "http://www.mendeley.com/documents/?uuid=0726a33e-ba01-41ac-b4fc-38d41d6a54e3" ] } ], "mendeley" : { "formattedCitation" : "(Table 3; Olesen &amp; Madsen 2008)", "plainTextFormattedCitation" : "(Table 3; Olesen &amp; Madsen 2008)", "previouslyFormattedCitation" : "(Table 3; Olesen &amp; Madsen 2008)" }, "properties" : { "noteIndex" : 0 }, "schema" : "https://github.com/citation-style-language/schema/raw/master/csl-citation.json" }</w:instrText>
      </w:r>
      <w:r w:rsidR="00B15A2F" w:rsidRPr="00B15A2F">
        <w:rPr>
          <w:rFonts w:ascii="Arial" w:hAnsi="Arial" w:cs="Arial"/>
        </w:rPr>
        <w:fldChar w:fldCharType="separate"/>
      </w:r>
      <w:r w:rsidR="00B15A2F" w:rsidRPr="00B15A2F">
        <w:rPr>
          <w:rFonts w:ascii="Arial" w:hAnsi="Arial" w:cs="Arial"/>
          <w:noProof/>
        </w:rPr>
        <w:t>(Table 3; Olesen &amp; Madsen 2008)</w:t>
      </w:r>
      <w:r w:rsidR="00B15A2F" w:rsidRPr="00B15A2F">
        <w:rPr>
          <w:rFonts w:ascii="Arial" w:hAnsi="Arial" w:cs="Arial"/>
        </w:rPr>
        <w:fldChar w:fldCharType="end"/>
      </w:r>
      <w:r w:rsidRPr="00B15A2F">
        <w:rPr>
          <w:rFonts w:ascii="Arial" w:hAnsi="Arial" w:cs="Arial"/>
        </w:rPr>
        <w:t>.</w:t>
      </w:r>
      <w:r w:rsidR="00A33D3E" w:rsidRPr="004E3A00">
        <w:rPr>
          <w:rFonts w:ascii="Arial" w:hAnsi="Arial" w:cs="Arial"/>
        </w:rPr>
        <w:t xml:space="preserve"> When these numbers are</w:t>
      </w:r>
      <w:r w:rsidR="00B15A2F">
        <w:rPr>
          <w:rFonts w:ascii="Arial" w:hAnsi="Arial" w:cs="Arial"/>
        </w:rPr>
        <w:t xml:space="preserve"> exceeded the smallest juvenile tree</w:t>
      </w:r>
      <w:r w:rsidR="00A33D3E" w:rsidRPr="004E3A00">
        <w:rPr>
          <w:rFonts w:ascii="Arial" w:hAnsi="Arial" w:cs="Arial"/>
        </w:rPr>
        <w:t xml:space="preserve"> </w:t>
      </w:r>
      <w:r w:rsidR="00B15A2F">
        <w:rPr>
          <w:rFonts w:ascii="Arial" w:hAnsi="Arial" w:cs="Arial"/>
        </w:rPr>
        <w:t>is</w:t>
      </w:r>
      <w:r w:rsidR="00A33D3E" w:rsidRPr="004E3A00">
        <w:rPr>
          <w:rFonts w:ascii="Arial" w:hAnsi="Arial" w:cs="Arial"/>
        </w:rPr>
        <w:t xml:space="preserve"> killed. Similarly, for mature trees the </w:t>
      </w:r>
      <w:r w:rsidR="00655D51" w:rsidRPr="004E3A00">
        <w:rPr>
          <w:rFonts w:ascii="Arial" w:hAnsi="Arial" w:cs="Arial"/>
        </w:rPr>
        <w:t>local maximum BA was set at 75 m</w:t>
      </w:r>
      <w:r w:rsidR="00655D51" w:rsidRPr="004E3A00">
        <w:rPr>
          <w:rFonts w:ascii="Arial" w:hAnsi="Arial" w:cs="Arial"/>
          <w:vertAlign w:val="superscript"/>
        </w:rPr>
        <w:t>2</w:t>
      </w:r>
      <w:r w:rsidR="00655D51" w:rsidRPr="004E3A00">
        <w:rPr>
          <w:rFonts w:ascii="Arial" w:hAnsi="Arial" w:cs="Arial"/>
        </w:rPr>
        <w:t xml:space="preserve"> ha</w:t>
      </w:r>
      <w:r w:rsidR="00655D51" w:rsidRPr="004E3A00">
        <w:rPr>
          <w:rFonts w:ascii="Arial" w:hAnsi="Arial" w:cs="Arial"/>
          <w:vertAlign w:val="superscript"/>
        </w:rPr>
        <w:t>-1</w:t>
      </w:r>
      <w:r w:rsidR="00655D51" w:rsidRPr="004E3A00">
        <w:rPr>
          <w:rFonts w:ascii="Arial" w:hAnsi="Arial" w:cs="Arial"/>
        </w:rPr>
        <w:t>, the maximum observed for any plot during 1964-2014. When this maximum is exceeded the smallest mature tree in an area of 400</w:t>
      </w:r>
      <w:r w:rsidR="003E727E" w:rsidRPr="004E3A00">
        <w:rPr>
          <w:rFonts w:ascii="Arial" w:hAnsi="Arial" w:cs="Arial"/>
        </w:rPr>
        <w:t xml:space="preserve"> </w:t>
      </w:r>
      <w:r w:rsidR="00655D51" w:rsidRPr="004E3A00">
        <w:rPr>
          <w:rFonts w:ascii="Arial" w:hAnsi="Arial" w:cs="Arial"/>
        </w:rPr>
        <w:t>m</w:t>
      </w:r>
      <w:r w:rsidR="00655D51" w:rsidRPr="004E3A00">
        <w:rPr>
          <w:rFonts w:ascii="Arial" w:hAnsi="Arial" w:cs="Arial"/>
          <w:vertAlign w:val="superscript"/>
        </w:rPr>
        <w:t>2</w:t>
      </w:r>
      <w:r w:rsidR="00655D51" w:rsidRPr="004E3A00">
        <w:rPr>
          <w:rFonts w:ascii="Arial" w:hAnsi="Arial" w:cs="Arial"/>
        </w:rPr>
        <w:t xml:space="preserve"> is killed.</w:t>
      </w:r>
      <w:r w:rsidR="008C51BD" w:rsidRPr="004E3A00">
        <w:rPr>
          <w:rFonts w:ascii="Arial" w:hAnsi="Arial" w:cs="Arial"/>
        </w:rPr>
        <w:t xml:space="preserve"> </w:t>
      </w:r>
    </w:p>
    <w:p w:rsidR="008C51BD" w:rsidRPr="004E3A00" w:rsidRDefault="008C51BD" w:rsidP="00F11B0B">
      <w:pPr>
        <w:spacing w:line="360" w:lineRule="auto"/>
        <w:ind w:firstLine="720"/>
        <w:contextualSpacing/>
        <w:rPr>
          <w:rFonts w:ascii="Arial" w:hAnsi="Arial" w:cs="Arial"/>
        </w:rPr>
      </w:pPr>
      <w:r w:rsidRPr="004E3A00">
        <w:rPr>
          <w:rFonts w:ascii="Arial" w:hAnsi="Arial" w:cs="Arial"/>
        </w:rPr>
        <w:t xml:space="preserve">In addition our model tests the impact of reduced survival of juveniles </w:t>
      </w:r>
      <w:r w:rsidR="009A7386" w:rsidRPr="004E3A00">
        <w:rPr>
          <w:rFonts w:ascii="Arial" w:hAnsi="Arial" w:cs="Arial"/>
        </w:rPr>
        <w:t>in areas with few mature trees, as seen at our site,</w:t>
      </w:r>
      <w:r w:rsidRPr="004E3A00">
        <w:rPr>
          <w:rFonts w:ascii="Arial" w:hAnsi="Arial" w:cs="Arial"/>
        </w:rPr>
        <w:t xml:space="preserve"> by allowing the user to switch this on and off. When turned on this causes juveniles in locations where mature tree density is &lt;5 in the surrounding 400 m</w:t>
      </w:r>
      <w:r w:rsidRPr="004E3A00">
        <w:rPr>
          <w:rFonts w:ascii="Arial" w:hAnsi="Arial" w:cs="Arial"/>
          <w:vertAlign w:val="superscript"/>
        </w:rPr>
        <w:t>2</w:t>
      </w:r>
      <w:r w:rsidRPr="004E3A00">
        <w:rPr>
          <w:rFonts w:ascii="Arial" w:hAnsi="Arial" w:cs="Arial"/>
        </w:rPr>
        <w:t xml:space="preserve"> to </w:t>
      </w:r>
      <w:r w:rsidR="00B15A2F">
        <w:rPr>
          <w:rFonts w:ascii="Arial" w:hAnsi="Arial" w:cs="Arial"/>
        </w:rPr>
        <w:t>die</w:t>
      </w:r>
      <w:r w:rsidR="009A7386" w:rsidRPr="004E3A00">
        <w:rPr>
          <w:rFonts w:ascii="Arial" w:hAnsi="Arial" w:cs="Arial"/>
        </w:rPr>
        <w:t>, based on our observations that no saplings (trees &gt;1.3 m tall, &lt;10 cm DBH) were found in areas with tree density lower than this</w:t>
      </w:r>
      <w:r w:rsidRPr="004E3A00">
        <w:rPr>
          <w:rFonts w:ascii="Arial" w:hAnsi="Arial" w:cs="Arial"/>
        </w:rPr>
        <w:t>.</w:t>
      </w:r>
      <w:r w:rsidR="005E23F2" w:rsidRPr="004E3A00">
        <w:rPr>
          <w:rFonts w:ascii="Arial" w:hAnsi="Arial" w:cs="Arial"/>
        </w:rPr>
        <w:t xml:space="preserve"> Additionally, our model tests what impact an increase in the probability of </w:t>
      </w:r>
      <w:r w:rsidR="008513D6" w:rsidRPr="004E3A00">
        <w:rPr>
          <w:rFonts w:ascii="Arial" w:hAnsi="Arial" w:cs="Arial"/>
        </w:rPr>
        <w:t xml:space="preserve">mature </w:t>
      </w:r>
      <w:r w:rsidR="005E23F2" w:rsidRPr="004E3A00">
        <w:rPr>
          <w:rFonts w:ascii="Arial" w:hAnsi="Arial" w:cs="Arial"/>
        </w:rPr>
        <w:t>mortality as a result of being close to a dead tree would have on forest structure.</w:t>
      </w:r>
      <w:r w:rsidR="008513D6" w:rsidRPr="004E3A00">
        <w:rPr>
          <w:rFonts w:ascii="Arial" w:hAnsi="Arial" w:cs="Arial"/>
        </w:rPr>
        <w:t xml:space="preserve"> This can be switched on and off. When switched on this causes the annual mortality to be increased as a function of distance to nearest cell with a dead tree. The parameter estimate for this was derived from our statistical</w:t>
      </w:r>
      <w:r w:rsidR="009A7386" w:rsidRPr="004E3A00">
        <w:rPr>
          <w:rFonts w:ascii="Arial" w:hAnsi="Arial" w:cs="Arial"/>
        </w:rPr>
        <w:t xml:space="preserve"> model of mature tree mortality described above.</w:t>
      </w:r>
    </w:p>
    <w:p w:rsidR="00174EF6" w:rsidRPr="004E3A00" w:rsidRDefault="008C51BD" w:rsidP="00F11B0B">
      <w:pPr>
        <w:spacing w:line="360" w:lineRule="auto"/>
        <w:ind w:firstLine="720"/>
        <w:contextualSpacing/>
        <w:rPr>
          <w:rFonts w:ascii="Arial" w:hAnsi="Arial" w:cs="Arial"/>
        </w:rPr>
      </w:pPr>
      <w:proofErr w:type="spellStart"/>
      <w:r w:rsidRPr="004E3A00">
        <w:rPr>
          <w:rFonts w:ascii="Arial" w:hAnsi="Arial" w:cs="Arial"/>
          <w:i/>
        </w:rPr>
        <w:lastRenderedPageBreak/>
        <w:t>Stochasticity</w:t>
      </w:r>
      <w:proofErr w:type="spellEnd"/>
      <w:r w:rsidRPr="004E3A00">
        <w:rPr>
          <w:rFonts w:ascii="Arial" w:hAnsi="Arial" w:cs="Arial"/>
          <w:i/>
        </w:rPr>
        <w:t xml:space="preserve"> </w:t>
      </w:r>
      <w:r w:rsidRPr="004E3A00">
        <w:rPr>
          <w:rFonts w:ascii="Arial" w:hAnsi="Arial" w:cs="Arial"/>
        </w:rPr>
        <w:t xml:space="preserve">is used in the model to define whether a given time step represents a mast year. Beech trees produce large amounts of seed once every 2-3 years in the UK </w:t>
      </w:r>
      <w:r w:rsidR="008513D6" w:rsidRPr="004E3A00">
        <w:rPr>
          <w:rFonts w:ascii="Arial" w:hAnsi="Arial" w:cs="Arial"/>
        </w:rPr>
        <w:fldChar w:fldCharType="begin" w:fldLock="1"/>
      </w:r>
      <w:r w:rsidR="00EC6C08" w:rsidRPr="004E3A00">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008513D6" w:rsidRPr="004E3A00">
        <w:rPr>
          <w:rFonts w:ascii="Arial" w:hAnsi="Arial" w:cs="Arial"/>
        </w:rPr>
        <w:fldChar w:fldCharType="separate"/>
      </w:r>
      <w:r w:rsidR="00732C7B" w:rsidRPr="004E3A00">
        <w:rPr>
          <w:rFonts w:ascii="Arial" w:hAnsi="Arial" w:cs="Arial"/>
          <w:noProof/>
        </w:rPr>
        <w:t xml:space="preserve">(Packham </w:t>
      </w:r>
      <w:r w:rsidR="00732C7B" w:rsidRPr="004E3A00">
        <w:rPr>
          <w:rFonts w:ascii="Arial" w:hAnsi="Arial" w:cs="Arial"/>
          <w:i/>
          <w:noProof/>
        </w:rPr>
        <w:t>et al.</w:t>
      </w:r>
      <w:r w:rsidR="00732C7B" w:rsidRPr="004E3A00">
        <w:rPr>
          <w:rFonts w:ascii="Arial" w:hAnsi="Arial" w:cs="Arial"/>
          <w:noProof/>
        </w:rPr>
        <w:t xml:space="preserve"> 2012)</w:t>
      </w:r>
      <w:r w:rsidR="008513D6" w:rsidRPr="004E3A00">
        <w:rPr>
          <w:rFonts w:ascii="Arial" w:hAnsi="Arial" w:cs="Arial"/>
        </w:rPr>
        <w:fldChar w:fldCharType="end"/>
      </w:r>
      <w:r w:rsidR="008513D6" w:rsidRPr="004E3A00">
        <w:rPr>
          <w:rFonts w:ascii="Arial" w:hAnsi="Arial" w:cs="Arial"/>
        </w:rPr>
        <w:t xml:space="preserve"> </w:t>
      </w:r>
      <w:r w:rsidRPr="004E3A00">
        <w:rPr>
          <w:rFonts w:ascii="Arial" w:hAnsi="Arial" w:cs="Arial"/>
        </w:rPr>
        <w:t>and thus we set a probability of 0.3 of each year being a mast year.</w:t>
      </w:r>
      <w:r w:rsidR="008513D6" w:rsidRPr="004E3A00">
        <w:rPr>
          <w:rFonts w:ascii="Arial" w:hAnsi="Arial" w:cs="Arial"/>
        </w:rPr>
        <w:t xml:space="preserve"> </w:t>
      </w:r>
    </w:p>
    <w:p w:rsidR="00A9613B" w:rsidRPr="004E3A00" w:rsidRDefault="00A9613B" w:rsidP="00F11B0B">
      <w:pPr>
        <w:spacing w:line="360" w:lineRule="auto"/>
        <w:ind w:firstLine="720"/>
        <w:contextualSpacing/>
        <w:rPr>
          <w:rFonts w:ascii="Arial" w:hAnsi="Arial" w:cs="Arial"/>
        </w:rPr>
      </w:pPr>
      <w:r w:rsidRPr="004E3A00">
        <w:rPr>
          <w:rFonts w:ascii="Arial" w:hAnsi="Arial" w:cs="Arial"/>
        </w:rPr>
        <w:t xml:space="preserve">To </w:t>
      </w:r>
      <w:r w:rsidR="003D61E5" w:rsidRPr="004E3A00">
        <w:rPr>
          <w:rFonts w:ascii="Arial" w:hAnsi="Arial" w:cs="Arial"/>
        </w:rPr>
        <w:t>test the model we first initiated the model so that forest structure was similar to that seen in 1964. We then ran different scenarios with and without differential juvenile mortality and spatial mortality feedbacks an</w:t>
      </w:r>
      <w:r w:rsidR="00B15A2F">
        <w:rPr>
          <w:rFonts w:ascii="Arial" w:hAnsi="Arial" w:cs="Arial"/>
        </w:rPr>
        <w:t xml:space="preserve">d compared the change in BA </w:t>
      </w:r>
      <w:r w:rsidR="003D61E5" w:rsidRPr="004E3A00">
        <w:rPr>
          <w:rFonts w:ascii="Arial" w:hAnsi="Arial" w:cs="Arial"/>
        </w:rPr>
        <w:t>after 50 time steps to those we observed in 2014. Following this we ran the models using the same parameterisation for a further 100 years to investigate possible future changes in BA and tree cover under the different scenarios. Each model run had 100 iterations and median values were used to summarise model results.</w:t>
      </w:r>
      <w:r w:rsidR="00B15A2F">
        <w:rPr>
          <w:rFonts w:ascii="Arial" w:hAnsi="Arial" w:cs="Arial"/>
        </w:rPr>
        <w:t xml:space="preserve"> Following this we tested the potential effects of projected increases in forest disturbance </w:t>
      </w:r>
      <w:r w:rsidR="00B15A2F">
        <w:rPr>
          <w:rFonts w:ascii="Arial" w:hAnsi="Arial" w:cs="Arial"/>
        </w:rPr>
        <w:fldChar w:fldCharType="begin" w:fldLock="1"/>
      </w:r>
      <w:r w:rsidR="00B15A2F">
        <w:rPr>
          <w:rFonts w:ascii="Arial" w:hAnsi="Arial" w:cs="Arial"/>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 "properties" : { "noteIndex" : 0 }, "schema" : "https://github.com/citation-style-language/schema/raw/master/csl-citation.json" }</w:instrText>
      </w:r>
      <w:r w:rsidR="00B15A2F">
        <w:rPr>
          <w:rFonts w:ascii="Arial" w:hAnsi="Arial" w:cs="Arial"/>
        </w:rPr>
        <w:fldChar w:fldCharType="separate"/>
      </w:r>
      <w:r w:rsidR="00B15A2F" w:rsidRPr="00B15A2F">
        <w:rPr>
          <w:rFonts w:ascii="Arial" w:hAnsi="Arial" w:cs="Arial"/>
          <w:noProof/>
        </w:rPr>
        <w:t xml:space="preserve">(Seidl </w:t>
      </w:r>
      <w:r w:rsidR="00B15A2F" w:rsidRPr="00B15A2F">
        <w:rPr>
          <w:rFonts w:ascii="Arial" w:hAnsi="Arial" w:cs="Arial"/>
          <w:i/>
          <w:noProof/>
        </w:rPr>
        <w:t>et al.</w:t>
      </w:r>
      <w:r w:rsidR="00B15A2F" w:rsidRPr="00B15A2F">
        <w:rPr>
          <w:rFonts w:ascii="Arial" w:hAnsi="Arial" w:cs="Arial"/>
          <w:noProof/>
        </w:rPr>
        <w:t xml:space="preserve"> 2014)</w:t>
      </w:r>
      <w:r w:rsidR="00B15A2F">
        <w:rPr>
          <w:rFonts w:ascii="Arial" w:hAnsi="Arial" w:cs="Arial"/>
        </w:rPr>
        <w:fldChar w:fldCharType="end"/>
      </w:r>
      <w:r w:rsidR="00B15A2F">
        <w:rPr>
          <w:rFonts w:ascii="Arial" w:hAnsi="Arial" w:cs="Arial"/>
        </w:rPr>
        <w:t xml:space="preserve"> by increasing the values of the coefficients for the relationship between tree mortality and tree growth, DBH and distance to the nearest tree.</w:t>
      </w:r>
    </w:p>
    <w:p w:rsidR="00174EF6" w:rsidRPr="004E3A00" w:rsidRDefault="00174EF6" w:rsidP="00F11B0B">
      <w:pPr>
        <w:spacing w:before="40" w:after="140" w:line="360" w:lineRule="auto"/>
        <w:contextualSpacing/>
        <w:textAlignment w:val="baseline"/>
        <w:rPr>
          <w:rFonts w:ascii="Arial" w:eastAsia="Times New Roman" w:hAnsi="Arial" w:cs="Arial"/>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Results (</w:t>
      </w:r>
      <w:r w:rsidR="0056725C" w:rsidRPr="004E3A00">
        <w:rPr>
          <w:rFonts w:ascii="Arial" w:eastAsia="Times New Roman" w:hAnsi="Arial" w:cs="Arial"/>
          <w:b/>
          <w:bCs/>
          <w:color w:val="000000"/>
          <w:lang w:eastAsia="en-GB"/>
        </w:rPr>
        <w:t>aim for ~</w:t>
      </w:r>
      <w:r w:rsidR="00695472" w:rsidRPr="004E3A00">
        <w:rPr>
          <w:rFonts w:ascii="Arial" w:eastAsia="Times New Roman" w:hAnsi="Arial" w:cs="Arial"/>
          <w:b/>
          <w:bCs/>
          <w:color w:val="000000"/>
          <w:lang w:eastAsia="en-GB"/>
        </w:rPr>
        <w:t>6</w:t>
      </w:r>
      <w:r w:rsidRPr="004E3A00">
        <w:rPr>
          <w:rFonts w:ascii="Arial" w:eastAsia="Times New Roman" w:hAnsi="Arial" w:cs="Arial"/>
          <w:b/>
          <w:bCs/>
          <w:color w:val="000000"/>
          <w:lang w:eastAsia="en-GB"/>
        </w:rPr>
        <w:t>00 words)</w:t>
      </w:r>
      <w:r w:rsidR="0056725C" w:rsidRPr="004E3A00">
        <w:rPr>
          <w:rFonts w:ascii="Arial" w:eastAsia="Times New Roman" w:hAnsi="Arial" w:cs="Arial"/>
          <w:b/>
          <w:bCs/>
          <w:color w:val="000000"/>
          <w:lang w:eastAsia="en-GB"/>
        </w:rPr>
        <w:t xml:space="preserve"> – currently 539</w:t>
      </w:r>
    </w:p>
    <w:p w:rsidR="0056725C" w:rsidRPr="004E3A00" w:rsidRDefault="0056725C" w:rsidP="00A87DA1">
      <w:pPr>
        <w:spacing w:line="360" w:lineRule="auto"/>
        <w:contextualSpacing/>
        <w:rPr>
          <w:rFonts w:ascii="Arial" w:eastAsia="Times New Roman" w:hAnsi="Arial" w:cs="Arial"/>
          <w:color w:val="000000"/>
          <w:lang w:eastAsia="en-GB"/>
        </w:rPr>
      </w:pPr>
    </w:p>
    <w:p w:rsidR="00A87DA1" w:rsidRPr="00B67877" w:rsidRDefault="00B67877" w:rsidP="00A87DA1">
      <w:pPr>
        <w:spacing w:line="360" w:lineRule="auto"/>
        <w:contextualSpacing/>
        <w:rPr>
          <w:rFonts w:ascii="Arial" w:hAnsi="Arial" w:cs="Arial"/>
          <w:b/>
        </w:rPr>
      </w:pPr>
      <w:r>
        <w:rPr>
          <w:rFonts w:ascii="Arial" w:hAnsi="Arial" w:cs="Arial"/>
          <w:b/>
        </w:rPr>
        <w:t>Tree recruitment</w:t>
      </w:r>
    </w:p>
    <w:p w:rsidR="00A87DA1" w:rsidRPr="004E3A00" w:rsidRDefault="00A87DA1" w:rsidP="00A87DA1">
      <w:pPr>
        <w:spacing w:line="360" w:lineRule="auto"/>
        <w:ind w:firstLine="720"/>
        <w:contextualSpacing/>
        <w:rPr>
          <w:rFonts w:ascii="Arial" w:hAnsi="Arial" w:cs="Arial"/>
        </w:rPr>
      </w:pPr>
      <w:commentRangeStart w:id="4"/>
      <w:r w:rsidRPr="004E3A00">
        <w:rPr>
          <w:rFonts w:ascii="Arial" w:hAnsi="Arial" w:cs="Arial"/>
        </w:rPr>
        <w:t>Mean beech seedling density (± SE) in 2014 was 115.22 ± 32.14 seedlings ha</w:t>
      </w:r>
      <w:r w:rsidRPr="004E3A00">
        <w:rPr>
          <w:rFonts w:ascii="Arial" w:hAnsi="Arial" w:cs="Arial"/>
          <w:vertAlign w:val="superscript"/>
        </w:rPr>
        <w:t>-1</w:t>
      </w:r>
      <w:r w:rsidRPr="004E3A00">
        <w:rPr>
          <w:rFonts w:ascii="Arial" w:hAnsi="Arial" w:cs="Arial"/>
        </w:rPr>
        <w:t>. Canopy openness was positively related to beech seedling density (slope=0.56 ± 0.09, P value &lt;0.001), but no other variables were included in models which had ΔAICc≤7 and thus were considered to have poor support. No metrics of deer or pony density were related to seedling density in any way.</w:t>
      </w:r>
      <w:r w:rsidR="00B67877">
        <w:rPr>
          <w:rFonts w:ascii="Arial" w:hAnsi="Arial" w:cs="Arial"/>
        </w:rPr>
        <w:t xml:space="preserve"> Similar relationships were seen in data from 12 sites across the New </w:t>
      </w:r>
      <w:proofErr w:type="gramStart"/>
      <w:r w:rsidR="00B67877">
        <w:rPr>
          <w:rFonts w:ascii="Arial" w:hAnsi="Arial" w:cs="Arial"/>
        </w:rPr>
        <w:t>Forest ,</w:t>
      </w:r>
      <w:proofErr w:type="gramEnd"/>
      <w:r w:rsidR="00B67877">
        <w:rPr>
          <w:rFonts w:ascii="Arial" w:hAnsi="Arial" w:cs="Arial"/>
        </w:rPr>
        <w:t xml:space="preserve"> with a positive relationship between canopy openness and beech seedling density.</w:t>
      </w:r>
      <w:commentRangeEnd w:id="4"/>
      <w:r w:rsidR="00B67877">
        <w:rPr>
          <w:rStyle w:val="CommentReference"/>
        </w:rPr>
        <w:commentReference w:id="4"/>
      </w:r>
    </w:p>
    <w:p w:rsidR="00A87DA1" w:rsidRPr="004E3A00" w:rsidRDefault="00A87DA1" w:rsidP="00A87DA1">
      <w:pPr>
        <w:spacing w:line="360" w:lineRule="auto"/>
        <w:ind w:firstLine="360"/>
        <w:contextualSpacing/>
        <w:rPr>
          <w:rFonts w:ascii="Arial" w:hAnsi="Arial" w:cs="Arial"/>
        </w:rPr>
      </w:pPr>
      <w:commentRangeStart w:id="5"/>
      <w:r w:rsidRPr="004E3A00">
        <w:rPr>
          <w:rFonts w:ascii="Arial" w:hAnsi="Arial" w:cs="Arial"/>
        </w:rPr>
        <w:t>There was a negative relationship between sapling density and canopy openness. Only 6 plots had any saplings present, but all of these plots had a canopy openness of &lt; 20%. There was a positive relationship between mature beech density and sapling density (slope=</w:t>
      </w:r>
      <w:r w:rsidRPr="004E3A00">
        <w:t xml:space="preserve"> </w:t>
      </w:r>
      <w:r w:rsidRPr="004E3A00">
        <w:rPr>
          <w:rFonts w:ascii="Arial" w:hAnsi="Arial" w:cs="Arial"/>
        </w:rPr>
        <w:t>1.27 ± 0.14, P value&lt;0.0001), and sapling density tended to be reduced over time (slope=</w:t>
      </w:r>
      <w:r w:rsidRPr="004E3A00">
        <w:t xml:space="preserve"> </w:t>
      </w:r>
      <w:r w:rsidRPr="004E3A00">
        <w:rPr>
          <w:rFonts w:ascii="Arial" w:hAnsi="Arial" w:cs="Arial"/>
        </w:rPr>
        <w:t>-0.69 ± 0.10, P value&lt;0.0001). The relationship between mature beech density and sapling density grew more positive over time (interaction term=0.38 ± 0.09, P value&lt;0.001), though since the density of mature trees was also reduced over this time period this effect was relatively unimportant in determining sapling densities. As the number of beech saplings declined during the years 1964-2014, so did the mortality rates of these saplings, from a maximum of 4.07% per year in 1964-1984 to 0.50% in 1996-2014 (Table 1). Conversely the proportion of saplings that became mature trees (&gt;10 cm DBH) showed an increase over this time period (Table 1).</w:t>
      </w:r>
      <w:commentRangeEnd w:id="5"/>
      <w:r w:rsidR="001A30FD">
        <w:rPr>
          <w:rStyle w:val="CommentReference"/>
        </w:rPr>
        <w:commentReference w:id="5"/>
      </w:r>
    </w:p>
    <w:p w:rsidR="00A87DA1" w:rsidRPr="004E3A00" w:rsidRDefault="00A87DA1" w:rsidP="00A87DA1">
      <w:pPr>
        <w:spacing w:before="40" w:after="0" w:line="360" w:lineRule="auto"/>
        <w:contextualSpacing/>
        <w:textAlignment w:val="baseline"/>
        <w:rPr>
          <w:rFonts w:ascii="Arial" w:eastAsia="Times New Roman" w:hAnsi="Arial" w:cs="Arial"/>
          <w:color w:val="000000"/>
          <w:lang w:eastAsia="en-GB"/>
        </w:rPr>
      </w:pPr>
    </w:p>
    <w:p w:rsidR="00DD6D42" w:rsidRPr="004E3A00" w:rsidRDefault="00DD6D42" w:rsidP="00DD6D42">
      <w:pPr>
        <w:spacing w:after="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lastRenderedPageBreak/>
        <w:t>Tree mortality</w:t>
      </w:r>
    </w:p>
    <w:p w:rsidR="00A87DA1" w:rsidRPr="004E3A00" w:rsidRDefault="00A87DA1" w:rsidP="00DD6D42">
      <w:pPr>
        <w:spacing w:line="360" w:lineRule="auto"/>
        <w:ind w:firstLine="357"/>
        <w:contextualSpacing/>
        <w:rPr>
          <w:rFonts w:ascii="Arial" w:hAnsi="Arial" w:cs="Arial"/>
        </w:rPr>
      </w:pPr>
      <w:r w:rsidRPr="004E3A00">
        <w:rPr>
          <w:rFonts w:ascii="Arial" w:hAnsi="Arial" w:cs="Arial"/>
        </w:rPr>
        <w:t>The slope of the relationship between log subplot stem density and log subplot basal area was positive (slope=0.41 ± 0.05, marginal R</w:t>
      </w:r>
      <w:r w:rsidRPr="004E3A00">
        <w:rPr>
          <w:rFonts w:ascii="Arial" w:hAnsi="Arial" w:cs="Arial"/>
          <w:vertAlign w:val="superscript"/>
        </w:rPr>
        <w:t>2</w:t>
      </w:r>
      <w:r w:rsidRPr="004E3A00">
        <w:rPr>
          <w:rFonts w:ascii="Arial" w:hAnsi="Arial" w:cs="Arial"/>
        </w:rPr>
        <w:t>=0.24, Figure 1). However, in general subplots lost both stem density and basal area</w:t>
      </w:r>
      <w:r w:rsidR="00C049AF" w:rsidRPr="004E3A00">
        <w:rPr>
          <w:rFonts w:ascii="Arial" w:hAnsi="Arial" w:cs="Arial"/>
        </w:rPr>
        <w:t xml:space="preserve"> between 1964 and 2014 (Figure 2</w:t>
      </w:r>
      <w:r w:rsidRPr="004E3A00">
        <w:rPr>
          <w:rFonts w:ascii="Arial" w:hAnsi="Arial" w:cs="Arial"/>
        </w:rPr>
        <w:t xml:space="preserve">). Given that self-thinning processes tend to be strongest when plots are increasing in biomass and losing stem density at the same time </w:t>
      </w:r>
      <w:r w:rsidRPr="004E3A00">
        <w:rPr>
          <w:rFonts w:ascii="Arial" w:hAnsi="Arial" w:cs="Arial"/>
        </w:rPr>
        <w:fldChar w:fldCharType="begin" w:fldLock="1"/>
      </w:r>
      <w:r w:rsidR="00EC6C08" w:rsidRPr="004E3A00">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sidRPr="004E3A00">
        <w:rPr>
          <w:rFonts w:ascii="Arial" w:hAnsi="Arial" w:cs="Arial"/>
        </w:rPr>
        <w:fldChar w:fldCharType="separate"/>
      </w:r>
      <w:r w:rsidR="00732C7B" w:rsidRPr="004E3A00">
        <w:rPr>
          <w:rFonts w:ascii="Arial" w:hAnsi="Arial" w:cs="Arial"/>
          <w:noProof/>
        </w:rPr>
        <w:t>(Coomes &amp; Allen 2007)</w:t>
      </w:r>
      <w:r w:rsidRPr="004E3A00">
        <w:rPr>
          <w:rFonts w:ascii="Arial" w:hAnsi="Arial" w:cs="Arial"/>
        </w:rPr>
        <w:fldChar w:fldCharType="end"/>
      </w:r>
      <w:r w:rsidRPr="004E3A00">
        <w:rPr>
          <w:rFonts w:ascii="Arial" w:hAnsi="Arial" w:cs="Arial"/>
        </w:rPr>
        <w:t xml:space="preserve"> such processes are unlikely to be responsible for the majority of tree death seen in Denny wood from 1964-2014.</w:t>
      </w:r>
    </w:p>
    <w:p w:rsidR="00A87DA1" w:rsidRPr="004E3A00" w:rsidRDefault="00A87DA1" w:rsidP="00DD6D42">
      <w:pPr>
        <w:spacing w:line="360" w:lineRule="auto"/>
        <w:ind w:firstLine="357"/>
        <w:contextualSpacing/>
        <w:rPr>
          <w:rFonts w:ascii="Arial" w:hAnsi="Arial" w:cs="Arial"/>
        </w:rPr>
      </w:pPr>
      <w:r w:rsidRPr="004E3A00">
        <w:rPr>
          <w:rFonts w:ascii="Arial" w:hAnsi="Arial" w:cs="Arial"/>
        </w:rPr>
        <w:t xml:space="preserve">When predicting the mortality of individual beech trees growth rate was considered the most important predictor, as it was included in all models with a ΔAICc≤7. Trees that grew slowly or shrunk were more likely to die than those that grew relatively quickly (slope=-0.59 </w:t>
      </w:r>
      <w:r w:rsidR="00C049AF" w:rsidRPr="004E3A00">
        <w:rPr>
          <w:rFonts w:ascii="Arial" w:hAnsi="Arial" w:cs="Arial"/>
        </w:rPr>
        <w:t>± 0.06, P value &lt;0.001, Figure 3</w:t>
      </w:r>
      <w:r w:rsidRPr="004E3A00">
        <w:rPr>
          <w:rFonts w:ascii="Arial" w:hAnsi="Arial" w:cs="Arial"/>
        </w:rPr>
        <w:t>a). Next most important was tree DBH with an importance value of 0.8, and models suggested that tree size was positively correlated with probability of mortality (slope=0.21 ± 0.05, P value&lt;</w:t>
      </w:r>
      <w:r w:rsidR="00C049AF" w:rsidRPr="004E3A00">
        <w:rPr>
          <w:rFonts w:ascii="Arial" w:hAnsi="Arial" w:cs="Arial"/>
        </w:rPr>
        <w:t>0.001, Figure 3</w:t>
      </w:r>
      <w:r w:rsidRPr="004E3A00">
        <w:rPr>
          <w:rFonts w:ascii="Arial" w:hAnsi="Arial" w:cs="Arial"/>
        </w:rPr>
        <w:t>b). Distance to nearest dead tree and soil type were of similar importance with importance values of 0.52 and 0.45 respectively, with models indicating that trees closer to dead trees were more likely to subsequently die (slope=-0.24 ± 0.06,</w:t>
      </w:r>
      <w:r w:rsidR="00C049AF" w:rsidRPr="004E3A00">
        <w:rPr>
          <w:rFonts w:ascii="Arial" w:hAnsi="Arial" w:cs="Arial"/>
        </w:rPr>
        <w:t xml:space="preserve"> P value&lt;0.001, Figure 3</w:t>
      </w:r>
      <w:r w:rsidRPr="004E3A00">
        <w:rPr>
          <w:rFonts w:ascii="Arial" w:hAnsi="Arial" w:cs="Arial"/>
        </w:rPr>
        <w:t>c) and trees located in areas of the forest where soils had higher sand content were less likely to die (slope=-0.27</w:t>
      </w:r>
      <w:r w:rsidR="00C049AF" w:rsidRPr="004E3A00">
        <w:rPr>
          <w:rFonts w:ascii="Arial" w:hAnsi="Arial" w:cs="Arial"/>
        </w:rPr>
        <w:t xml:space="preserve"> ± 0.01, P value&lt;0.001, Figure 3</w:t>
      </w:r>
      <w:r w:rsidRPr="004E3A00">
        <w:rPr>
          <w:rFonts w:ascii="Arial" w:hAnsi="Arial" w:cs="Arial"/>
        </w:rPr>
        <w:t>d).</w:t>
      </w:r>
    </w:p>
    <w:p w:rsidR="00DD6D42" w:rsidRPr="004E3A00" w:rsidRDefault="00DD6D42" w:rsidP="00DD6D42">
      <w:pPr>
        <w:spacing w:after="140" w:line="360" w:lineRule="auto"/>
        <w:contextualSpacing/>
        <w:textAlignment w:val="baseline"/>
        <w:rPr>
          <w:rFonts w:ascii="Arial" w:eastAsia="Times New Roman" w:hAnsi="Arial" w:cs="Arial"/>
          <w:b/>
          <w:color w:val="000000"/>
          <w:lang w:eastAsia="en-GB"/>
        </w:rPr>
      </w:pPr>
    </w:p>
    <w:p w:rsidR="00DD6D42" w:rsidRPr="004E3A00" w:rsidRDefault="00DD6D42" w:rsidP="00DD6D42">
      <w:pPr>
        <w:spacing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Individual based model</w:t>
      </w:r>
    </w:p>
    <w:p w:rsidR="00DD6D42" w:rsidRPr="004E3A00" w:rsidRDefault="00DD6D42" w:rsidP="00695472">
      <w:pPr>
        <w:spacing w:after="140" w:line="360" w:lineRule="auto"/>
        <w:ind w:firstLine="720"/>
        <w:contextualSpacing/>
        <w:textAlignment w:val="baseline"/>
        <w:rPr>
          <w:rFonts w:ascii="Arial" w:eastAsia="Times New Roman" w:hAnsi="Arial" w:cs="Arial"/>
          <w:color w:val="000000"/>
          <w:lang w:eastAsia="en-GB"/>
        </w:rPr>
      </w:pPr>
      <w:commentRangeStart w:id="6"/>
      <w:r w:rsidRPr="004E3A00">
        <w:rPr>
          <w:rFonts w:ascii="Arial" w:eastAsia="Times New Roman" w:hAnsi="Arial" w:cs="Arial"/>
          <w:color w:val="000000"/>
          <w:lang w:eastAsia="en-GB"/>
        </w:rPr>
        <w:t xml:space="preserve">Results from our individual based model suggest that when the annual probability of juvenile death is low, the forest does not undergo a transition to a treeless state even if feedbacks are present. However, when annual probability of juvenile death is &gt;0.4 these feedbacks are enough to push the system into a decline, particularly when both distance to nearest dead tree causes an increase in the probability of mortality and </w:t>
      </w:r>
      <w:r w:rsidR="0056725C" w:rsidRPr="004E3A00">
        <w:rPr>
          <w:rFonts w:ascii="Arial" w:eastAsia="Times New Roman" w:hAnsi="Arial" w:cs="Arial"/>
          <w:color w:val="000000"/>
          <w:lang w:eastAsia="en-GB"/>
        </w:rPr>
        <w:t>juvenile survi</w:t>
      </w:r>
      <w:r w:rsidR="00C049AF" w:rsidRPr="004E3A00">
        <w:rPr>
          <w:rFonts w:ascii="Arial" w:eastAsia="Times New Roman" w:hAnsi="Arial" w:cs="Arial"/>
          <w:color w:val="000000"/>
          <w:lang w:eastAsia="en-GB"/>
        </w:rPr>
        <w:t>val is reduced in gaps (Figure 4</w:t>
      </w:r>
      <w:r w:rsidR="0056725C" w:rsidRPr="004E3A00">
        <w:rPr>
          <w:rFonts w:ascii="Arial" w:eastAsia="Times New Roman" w:hAnsi="Arial" w:cs="Arial"/>
          <w:color w:val="000000"/>
          <w:lang w:eastAsia="en-GB"/>
        </w:rPr>
        <w:t>). Thus the effect of feedbacks was dependent upon high background juvenile mortality.</w:t>
      </w:r>
      <w:commentRangeEnd w:id="6"/>
      <w:r w:rsidR="00C049AF" w:rsidRPr="004E3A00">
        <w:rPr>
          <w:rStyle w:val="CommentReference"/>
        </w:rPr>
        <w:commentReference w:id="6"/>
      </w:r>
    </w:p>
    <w:p w:rsidR="00DD6D42" w:rsidRPr="004E3A00" w:rsidRDefault="00DD6D42" w:rsidP="00DD6D42">
      <w:pPr>
        <w:spacing w:after="140" w:line="360" w:lineRule="auto"/>
        <w:contextualSpacing/>
        <w:textAlignment w:val="baseline"/>
        <w:rPr>
          <w:rFonts w:ascii="Arial" w:eastAsia="Times New Roman" w:hAnsi="Arial" w:cs="Arial"/>
          <w:color w:val="000000"/>
          <w:lang w:eastAsia="en-GB"/>
        </w:rPr>
      </w:pPr>
    </w:p>
    <w:p w:rsidR="00C9060F" w:rsidRPr="004E3A00" w:rsidRDefault="00C049A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Discussion (aim for ~12</w:t>
      </w:r>
      <w:r w:rsidR="00C9060F" w:rsidRPr="004E3A00">
        <w:rPr>
          <w:rFonts w:ascii="Arial" w:eastAsia="Times New Roman" w:hAnsi="Arial" w:cs="Arial"/>
          <w:b/>
          <w:bCs/>
          <w:color w:val="000000"/>
          <w:lang w:eastAsia="en-GB"/>
        </w:rPr>
        <w:t>00 words)</w:t>
      </w:r>
    </w:p>
    <w:p w:rsidR="00937D98" w:rsidRPr="004E3A00"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Summary of results</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In our study we found that recruitment of beech seedlings and saplings in Denny wood was limited. Seedling density was negatively correlated with canopy cover, while sapling abundance was positively correlated. Modelling of mortality showed that slow growing, large trees, close to dead trees, on soils with low sand content were the most likely to die. An individual based model suggested that forest basal area would decline unless juvenile mortality was dramatically reduced. However, none of the scenarios suggested the potential for total loss of tree cover.</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p>
    <w:p w:rsidR="007D6626" w:rsidRPr="004E3A00" w:rsidRDefault="007D6626" w:rsidP="007D6626">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Causes of juvenile recruitment limitation</w:t>
      </w:r>
    </w:p>
    <w:p w:rsidR="004D78CA" w:rsidRPr="004E3A00" w:rsidRDefault="008B2F2E" w:rsidP="007D6626">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Seedling density was highe</w:t>
      </w:r>
      <w:r w:rsidR="004D78CA" w:rsidRPr="004E3A00">
        <w:rPr>
          <w:rFonts w:ascii="Arial" w:eastAsia="Times New Roman" w:hAnsi="Arial" w:cs="Arial"/>
          <w:color w:val="000000"/>
          <w:lang w:eastAsia="en-GB"/>
        </w:rPr>
        <w:t>st</w:t>
      </w:r>
      <w:r w:rsidRPr="004E3A00">
        <w:rPr>
          <w:rFonts w:ascii="Arial" w:eastAsia="Times New Roman" w:hAnsi="Arial" w:cs="Arial"/>
          <w:color w:val="000000"/>
          <w:lang w:eastAsia="en-GB"/>
        </w:rPr>
        <w:t xml:space="preserve"> in areas with low canopy cover</w:t>
      </w:r>
      <w:r w:rsidR="004D78CA" w:rsidRPr="004E3A00">
        <w:rPr>
          <w:rFonts w:ascii="Arial" w:eastAsia="Times New Roman" w:hAnsi="Arial" w:cs="Arial"/>
          <w:color w:val="000000"/>
          <w:lang w:eastAsia="en-GB"/>
        </w:rPr>
        <w:t xml:space="preserve"> reflecting increased germination and growth rates of tree seedlings</w:t>
      </w:r>
      <w:r w:rsidRPr="004E3A00">
        <w:rPr>
          <w:rFonts w:ascii="Arial" w:eastAsia="Times New Roman" w:hAnsi="Arial" w:cs="Arial"/>
          <w:color w:val="000000"/>
          <w:lang w:eastAsia="en-GB"/>
        </w:rPr>
        <w:t xml:space="preserve"> where light intensity is higher and grass or shrubs provide protection against ungulate herbivores </w:t>
      </w:r>
      <w:r w:rsidR="004D78CA" w:rsidRPr="004E3A00">
        <w:rPr>
          <w:rFonts w:ascii="Arial" w:eastAsia="Times New Roman" w:hAnsi="Arial" w:cs="Arial"/>
          <w:color w:val="000000"/>
          <w:lang w:eastAsia="en-GB"/>
        </w:rPr>
        <w:fldChar w:fldCharType="begin" w:fldLock="1"/>
      </w:r>
      <w:r w:rsidR="004D78CA" w:rsidRPr="004E3A00">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"id" : "ITEM-2",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"ITEM-2", "issued" : { "date-parts" : [ [ "2001" ] ] }, "page" : "127-134", "title" : "Effects of canopy opening on height and diameter growth", "type" : "article-journal", "volume" : "58" }, "uris" : [ "http://www.mendeley.com/documents/?uuid=245f974d-94e1-46d4-bc1b-b7d95755f6f1" ] }, { "id" : "ITEM-3", "itemData" : { "DOI" : "10.1111/j.1365-2745.2010.01656.x", "ISSN" : "00220477", "author" : [ { "dropping-particle" : "", "family" : "Kuijper", "given" : "Dries P. J.", "non-dropping-particle" : "", "parse-names" : false, "suffix" : "" }, { "dropping-particle" : "", "family" : "Cromsigt", "given" : "Joris P. G. M.", "non-dropping-particle" : "", "parse-names" : false, "suffix" : "" }, { "dropping-particle" : "", "family" : "J\u0119drzejewska", "given" : "Bogumi\u0142a", "non-dropping-particle" : "", "parse-names" : false, "suffix" : "" }, { "dropping-particle" : "", "family" : "Mi\u015bcicki", "given" : "Stanis\u0142aw", "non-dropping-particle" : "", "parse-names" : false, "suffix" : "" }, { "dropping-particle" : "", "family" : "Churski", "given" : "Marcin", "non-dropping-particle" : "", "parse-names" : false, "suffix" : "" }, { "dropping-particle" : "", "family" : "J\u0119drzejewski", "given" : "W\u0142odzimierz", "non-dropping-particle" : "", "parse-names" : false, "suffix" : "" }, { "dropping-particle" : "", "family" : "Kweczlich", "given" : "Iwona", "non-dropping-particle" : "", "parse-names" : false, "suffix" : "" } ], "container-title" : "Journal of Ecology", "id" : "ITEM-3", "issue" : "4", "issued" : { "date-parts" : [ [ "2010" ] ] }, "page" : "888-899", "title" : "Bottom-up versus top-down control of tree regeneration in the Bia\u0142owie\u017ca Primeval Forest, Poland", "type" : "article-journal", "volume" : "98" }, "uris" : [ "http://www.mendeley.com/documents/?uuid=13e6a55d-f70f-4a49-9cd7-01d1e1b7491a" ] } ], "mendeley" : { "formattedCitation" : "(Collet, Lantera &amp; Pardos 2001; Kuijper &lt;i&gt;et al.&lt;/i&gt; 2010; Duwyn &amp; MacDougall 2015)", "plainTextFormattedCitation" : "(Collet, Lantera &amp; Pardos 2001; Kuijper et al. 2010; Duwyn &amp; MacDougall 2015)", "previouslyFormattedCitation" : "(Collet, Lantera &amp; Pardos 2001; Kuijper &lt;i&gt;et al.&lt;/i&gt; 2010; Duwyn &amp; MacDougall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4D78CA" w:rsidRPr="004E3A00">
        <w:rPr>
          <w:rFonts w:ascii="Arial" w:eastAsia="Times New Roman" w:hAnsi="Arial" w:cs="Arial"/>
          <w:noProof/>
          <w:color w:val="000000"/>
          <w:lang w:eastAsia="en-GB"/>
        </w:rPr>
        <w:t xml:space="preserve">(Collet, Lantera &amp; Pardos 2001; Kuijper </w:t>
      </w:r>
      <w:r w:rsidR="004D78CA" w:rsidRPr="004E3A00">
        <w:rPr>
          <w:rFonts w:ascii="Arial" w:eastAsia="Times New Roman" w:hAnsi="Arial" w:cs="Arial"/>
          <w:i/>
          <w:noProof/>
          <w:color w:val="000000"/>
          <w:lang w:eastAsia="en-GB"/>
        </w:rPr>
        <w:t>et al.</w:t>
      </w:r>
      <w:r w:rsidR="004D78CA" w:rsidRPr="004E3A00">
        <w:rPr>
          <w:rFonts w:ascii="Arial" w:eastAsia="Times New Roman" w:hAnsi="Arial" w:cs="Arial"/>
          <w:noProof/>
          <w:color w:val="000000"/>
          <w:lang w:eastAsia="en-GB"/>
        </w:rPr>
        <w:t xml:space="preserve"> 2010; Duwyn &amp; MacDougall 2015)</w:t>
      </w:r>
      <w:r w:rsidR="004D78CA" w:rsidRPr="004E3A00">
        <w:rPr>
          <w:rFonts w:ascii="Arial" w:eastAsia="Times New Roman" w:hAnsi="Arial" w:cs="Arial"/>
          <w:color w:val="000000"/>
          <w:lang w:eastAsia="en-GB"/>
        </w:rPr>
        <w:fldChar w:fldCharType="end"/>
      </w:r>
      <w:r w:rsidR="004D78CA" w:rsidRPr="004E3A00">
        <w:rPr>
          <w:rFonts w:ascii="Arial" w:eastAsia="Times New Roman" w:hAnsi="Arial" w:cs="Arial"/>
          <w:color w:val="000000"/>
          <w:lang w:eastAsia="en-GB"/>
        </w:rPr>
        <w:t xml:space="preserve">. However, this was not reflected by higher sapling density in areas with low canopy cover, but the opposite resulting in very limited regeneration following death of large trees </w:t>
      </w:r>
      <w:r w:rsidR="004D78CA"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2324D1" w:rsidRPr="002324D1">
        <w:rPr>
          <w:rFonts w:ascii="Arial" w:eastAsia="Times New Roman" w:hAnsi="Arial" w:cs="Arial"/>
          <w:noProof/>
          <w:color w:val="000000"/>
          <w:lang w:eastAsia="en-GB"/>
        </w:rPr>
        <w:t xml:space="preserve">(Martin </w:t>
      </w:r>
      <w:r w:rsidR="002324D1" w:rsidRPr="002324D1">
        <w:rPr>
          <w:rFonts w:ascii="Arial" w:eastAsia="Times New Roman" w:hAnsi="Arial" w:cs="Arial"/>
          <w:i/>
          <w:noProof/>
          <w:color w:val="000000"/>
          <w:lang w:eastAsia="en-GB"/>
        </w:rPr>
        <w:t>et al.</w:t>
      </w:r>
      <w:r w:rsidR="002324D1" w:rsidRPr="002324D1">
        <w:rPr>
          <w:rFonts w:ascii="Arial" w:eastAsia="Times New Roman" w:hAnsi="Arial" w:cs="Arial"/>
          <w:noProof/>
          <w:color w:val="000000"/>
          <w:lang w:eastAsia="en-GB"/>
        </w:rPr>
        <w:t xml:space="preserve"> 2015)</w:t>
      </w:r>
      <w:r w:rsidR="004D78CA" w:rsidRPr="004E3A00">
        <w:rPr>
          <w:rFonts w:ascii="Arial" w:eastAsia="Times New Roman" w:hAnsi="Arial" w:cs="Arial"/>
          <w:color w:val="000000"/>
          <w:lang w:eastAsia="en-GB"/>
        </w:rPr>
        <w:fldChar w:fldCharType="end"/>
      </w:r>
      <w:r w:rsidR="004D78CA" w:rsidRPr="004E3A00">
        <w:rPr>
          <w:rFonts w:ascii="Arial" w:eastAsia="Times New Roman" w:hAnsi="Arial" w:cs="Arial"/>
          <w:color w:val="000000"/>
          <w:lang w:eastAsia="en-GB"/>
        </w:rPr>
        <w:t xml:space="preserve">. There are a number of potential explanations of this. It is possible that ungulate browsing is concentrated in areas where grass cover is highest resulting in high mortality of seedlings which are eaten. Meanwhile, seedlings regenerating under closed canopies may be less likely to be eaten. Though grass can provide protection from browsing herbivores, at high densities this protection can be overwhelmed </w:t>
      </w:r>
      <w:r w:rsidR="004D78CA" w:rsidRPr="004E3A00">
        <w:rPr>
          <w:rFonts w:ascii="Arial" w:eastAsia="Times New Roman" w:hAnsi="Arial" w:cs="Arial"/>
          <w:color w:val="000000"/>
          <w:lang w:eastAsia="en-GB"/>
        </w:rPr>
        <w:fldChar w:fldCharType="begin" w:fldLock="1"/>
      </w:r>
      <w:r w:rsidR="00BC7DA4" w:rsidRPr="004E3A00">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"mendeley" : { "formattedCitation" : "(Duwyn &amp; MacDougall 2015)", "plainTextFormattedCitation" : "(Duwyn &amp; MacDougall 2015)", "previouslyFormattedCitation" : "(Duwyn &amp; MacDougall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4D78CA" w:rsidRPr="004E3A00">
        <w:rPr>
          <w:rFonts w:ascii="Arial" w:eastAsia="Times New Roman" w:hAnsi="Arial" w:cs="Arial"/>
          <w:noProof/>
          <w:color w:val="000000"/>
          <w:lang w:eastAsia="en-GB"/>
        </w:rPr>
        <w:t>(Duwyn &amp; MacDougall 2015)</w:t>
      </w:r>
      <w:r w:rsidR="004D78CA" w:rsidRPr="004E3A00">
        <w:rPr>
          <w:rFonts w:ascii="Arial" w:eastAsia="Times New Roman" w:hAnsi="Arial" w:cs="Arial"/>
          <w:color w:val="000000"/>
          <w:lang w:eastAsia="en-GB"/>
        </w:rPr>
        <w:fldChar w:fldCharType="end"/>
      </w:r>
      <w:r w:rsidR="00BC7DA4" w:rsidRPr="004E3A00">
        <w:rPr>
          <w:rFonts w:ascii="Arial" w:eastAsia="Times New Roman" w:hAnsi="Arial" w:cs="Arial"/>
          <w:color w:val="000000"/>
          <w:lang w:eastAsia="en-GB"/>
        </w:rPr>
        <w:t>. Given the high density of herbivores in the New Forest, this appears to be the most likely cause of recruitment failure in the woodland we used in our study. However, debarking of beech saplings by grey squirrels has also been seen in Denny wood, suggesting a further mechanism limiting recruitment.</w:t>
      </w:r>
    </w:p>
    <w:p w:rsidR="008B2F2E" w:rsidRPr="004E3A00" w:rsidRDefault="008B2F2E" w:rsidP="007D6626">
      <w:pPr>
        <w:spacing w:before="40" w:after="0" w:line="360" w:lineRule="auto"/>
        <w:contextualSpacing/>
        <w:textAlignment w:val="baseline"/>
        <w:rPr>
          <w:rFonts w:ascii="Arial" w:eastAsia="Times New Roman" w:hAnsi="Arial" w:cs="Arial"/>
          <w:color w:val="000000"/>
          <w:lang w:eastAsia="en-GB"/>
        </w:rPr>
      </w:pPr>
    </w:p>
    <w:p w:rsidR="00937D98" w:rsidRPr="004E3A00" w:rsidRDefault="00937D98"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Causes of death</w:t>
      </w:r>
    </w:p>
    <w:p w:rsidR="00A55BA5" w:rsidRPr="004E3A00" w:rsidRDefault="00A55BA5" w:rsidP="00A55BA5">
      <w:pPr>
        <w:spacing w:before="40" w:after="0" w:line="360" w:lineRule="auto"/>
        <w:contextualSpacing/>
        <w:textAlignment w:val="baseline"/>
        <w:rPr>
          <w:rFonts w:ascii="Arial" w:eastAsia="Times New Roman" w:hAnsi="Arial" w:cs="Arial"/>
          <w:color w:val="000000"/>
          <w:lang w:eastAsia="en-GB"/>
        </w:rPr>
      </w:pPr>
    </w:p>
    <w:p w:rsidR="00A55BA5" w:rsidRPr="004E3A00" w:rsidRDefault="00A55BA5" w:rsidP="00A55BA5">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The strongest predictor of tree death was its growth rate, with slow growing trees more likely to die. Previous work has shown that beech trees that grow slowly are more likely to die</w:t>
      </w:r>
      <w:r w:rsidR="00BA763D" w:rsidRPr="004E3A00">
        <w:rPr>
          <w:rFonts w:ascii="Arial" w:eastAsia="Times New Roman" w:hAnsi="Arial" w:cs="Arial"/>
          <w:color w:val="000000"/>
          <w:lang w:eastAsia="en-GB"/>
        </w:rPr>
        <w:t xml:space="preserve"> </w:t>
      </w:r>
      <w:r w:rsidR="00BA763D" w:rsidRPr="004E3A00">
        <w:rPr>
          <w:rFonts w:ascii="Arial" w:eastAsia="Times New Roman" w:hAnsi="Arial" w:cs="Arial"/>
          <w:color w:val="000000"/>
          <w:lang w:eastAsia="en-GB"/>
        </w:rPr>
        <w:fldChar w:fldCharType="begin" w:fldLock="1"/>
      </w:r>
      <w:r w:rsidR="00BA763D" w:rsidRPr="004E3A00">
        <w:rPr>
          <w:rFonts w:ascii="Arial" w:eastAsia="Times New Roman" w:hAnsi="Arial" w:cs="Arial"/>
          <w:color w:val="000000"/>
          <w:lang w:eastAsia="en-GB"/>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00BA763D" w:rsidRPr="004E3A00">
        <w:rPr>
          <w:rFonts w:ascii="Arial" w:eastAsia="Times New Roman" w:hAnsi="Arial" w:cs="Arial"/>
          <w:color w:val="000000"/>
          <w:lang w:eastAsia="en-GB"/>
        </w:rPr>
        <w:fldChar w:fldCharType="separate"/>
      </w:r>
      <w:r w:rsidR="00BA763D" w:rsidRPr="004E3A00">
        <w:rPr>
          <w:rFonts w:ascii="Arial" w:eastAsia="Times New Roman" w:hAnsi="Arial" w:cs="Arial"/>
          <w:noProof/>
          <w:color w:val="000000"/>
          <w:lang w:eastAsia="en-GB"/>
        </w:rPr>
        <w:t xml:space="preserve">(Holzwarth </w:t>
      </w:r>
      <w:r w:rsidR="00BA763D" w:rsidRPr="004E3A00">
        <w:rPr>
          <w:rFonts w:ascii="Arial" w:eastAsia="Times New Roman" w:hAnsi="Arial" w:cs="Arial"/>
          <w:i/>
          <w:noProof/>
          <w:color w:val="000000"/>
          <w:lang w:eastAsia="en-GB"/>
        </w:rPr>
        <w:t>et al.</w:t>
      </w:r>
      <w:r w:rsidR="00BA763D" w:rsidRPr="004E3A00">
        <w:rPr>
          <w:rFonts w:ascii="Arial" w:eastAsia="Times New Roman" w:hAnsi="Arial" w:cs="Arial"/>
          <w:noProof/>
          <w:color w:val="000000"/>
          <w:lang w:eastAsia="en-GB"/>
        </w:rPr>
        <w:t xml:space="preserve"> 2013)</w:t>
      </w:r>
      <w:r w:rsidR="00BA763D"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w:t>
      </w:r>
      <w:r w:rsidR="00BA763D" w:rsidRPr="004E3A00">
        <w:rPr>
          <w:rFonts w:ascii="Arial" w:eastAsia="Times New Roman" w:hAnsi="Arial" w:cs="Arial"/>
          <w:color w:val="000000"/>
          <w:lang w:eastAsia="en-GB"/>
        </w:rPr>
        <w:t xml:space="preserve">and this correlation may reflect increased mortality under unfavourable growing conditions as well as senescence. The second most important predictor of beech mortality was DBH. This positive relationship between DBH and mortality indicates a stand undergoing disturbance, in our case probably as a result of the combined effects of summer drought, winter waterlogging, disease and overgrazing </w:t>
      </w:r>
      <w:r w:rsidR="00BA763D"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BA763D" w:rsidRPr="004E3A00">
        <w:rPr>
          <w:rFonts w:ascii="Arial" w:eastAsia="Times New Roman" w:hAnsi="Arial" w:cs="Arial"/>
          <w:color w:val="000000"/>
          <w:lang w:eastAsia="en-GB"/>
        </w:rPr>
        <w:fldChar w:fldCharType="separate"/>
      </w:r>
      <w:r w:rsidR="002324D1" w:rsidRPr="002324D1">
        <w:rPr>
          <w:rFonts w:ascii="Arial" w:eastAsia="Times New Roman" w:hAnsi="Arial" w:cs="Arial"/>
          <w:noProof/>
          <w:color w:val="000000"/>
          <w:lang w:eastAsia="en-GB"/>
        </w:rPr>
        <w:t xml:space="preserve">(Martin </w:t>
      </w:r>
      <w:r w:rsidR="002324D1" w:rsidRPr="002324D1">
        <w:rPr>
          <w:rFonts w:ascii="Arial" w:eastAsia="Times New Roman" w:hAnsi="Arial" w:cs="Arial"/>
          <w:i/>
          <w:noProof/>
          <w:color w:val="000000"/>
          <w:lang w:eastAsia="en-GB"/>
        </w:rPr>
        <w:t>et al.</w:t>
      </w:r>
      <w:r w:rsidR="002324D1" w:rsidRPr="002324D1">
        <w:rPr>
          <w:rFonts w:ascii="Arial" w:eastAsia="Times New Roman" w:hAnsi="Arial" w:cs="Arial"/>
          <w:noProof/>
          <w:color w:val="000000"/>
          <w:lang w:eastAsia="en-GB"/>
        </w:rPr>
        <w:t xml:space="preserve"> 2015)</w:t>
      </w:r>
      <w:r w:rsidR="00BA763D" w:rsidRPr="004E3A00">
        <w:rPr>
          <w:rFonts w:ascii="Arial" w:eastAsia="Times New Roman" w:hAnsi="Arial" w:cs="Arial"/>
          <w:color w:val="000000"/>
          <w:lang w:eastAsia="en-GB"/>
        </w:rPr>
        <w:fldChar w:fldCharType="end"/>
      </w:r>
      <w:r w:rsidR="00BA763D" w:rsidRPr="004E3A00">
        <w:rPr>
          <w:rFonts w:ascii="Arial" w:eastAsia="Times New Roman" w:hAnsi="Arial" w:cs="Arial"/>
          <w:color w:val="000000"/>
          <w:lang w:eastAsia="en-GB"/>
        </w:rPr>
        <w:t xml:space="preserve">. Interestingly, tree proximity to dead trees was positively related </w:t>
      </w:r>
      <w:r w:rsidR="007D6626" w:rsidRPr="004E3A00">
        <w:rPr>
          <w:rFonts w:ascii="Arial" w:eastAsia="Times New Roman" w:hAnsi="Arial" w:cs="Arial"/>
          <w:color w:val="000000"/>
          <w:lang w:eastAsia="en-GB"/>
        </w:rPr>
        <w:t xml:space="preserve">with tree mortality. The mechanism behind this relationship is unclear but may relate to increased stress on trees close to gaps where no regeneration has occurred, similar to edge effects. It is also possible that fungal pathogens such as </w:t>
      </w:r>
      <w:proofErr w:type="spellStart"/>
      <w:r w:rsidR="007D6626" w:rsidRPr="004E3A00">
        <w:rPr>
          <w:rFonts w:ascii="Arial" w:eastAsia="Times New Roman" w:hAnsi="Arial" w:cs="Arial"/>
          <w:i/>
          <w:color w:val="000000"/>
          <w:lang w:eastAsia="en-GB"/>
        </w:rPr>
        <w:t>Phytophthora</w:t>
      </w:r>
      <w:proofErr w:type="spellEnd"/>
      <w:r w:rsidR="007D6626" w:rsidRPr="004E3A00">
        <w:rPr>
          <w:rFonts w:ascii="Arial" w:eastAsia="Times New Roman" w:hAnsi="Arial" w:cs="Arial"/>
          <w:color w:val="000000"/>
          <w:lang w:eastAsia="en-GB"/>
        </w:rPr>
        <w:t>, which has caused beech mortality in continental Europe and has been recorded in the New Forest, may result in this mechanism by spreading amongst trees. The percentage sand content of soils was negatively related to beech mortality, suggesting that winter water-logging and summer drought may have been partially responsible for death of mature beech trees.</w:t>
      </w:r>
    </w:p>
    <w:p w:rsidR="007D6626" w:rsidRPr="004E3A00" w:rsidRDefault="007D6626" w:rsidP="00A55BA5">
      <w:pPr>
        <w:spacing w:before="40" w:after="0" w:line="360" w:lineRule="auto"/>
        <w:contextualSpacing/>
        <w:textAlignment w:val="baseline"/>
        <w:rPr>
          <w:rFonts w:ascii="Arial" w:eastAsia="Times New Roman" w:hAnsi="Arial" w:cs="Arial"/>
          <w:color w:val="000000"/>
          <w:lang w:eastAsia="en-GB"/>
        </w:rPr>
      </w:pPr>
    </w:p>
    <w:p w:rsidR="00C9060F" w:rsidRPr="004E3A00" w:rsidRDefault="00C9060F" w:rsidP="00F11B0B">
      <w:pPr>
        <w:numPr>
          <w:ilvl w:val="0"/>
          <w:numId w:val="8"/>
        </w:num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lastRenderedPageBreak/>
        <w:t xml:space="preserve">Feedbacks </w:t>
      </w:r>
      <w:r w:rsidR="00512270" w:rsidRPr="004E3A00">
        <w:rPr>
          <w:rFonts w:ascii="Arial" w:eastAsia="Times New Roman" w:hAnsi="Arial" w:cs="Arial"/>
          <w:color w:val="000000"/>
          <w:lang w:eastAsia="en-GB"/>
        </w:rPr>
        <w:t>may be</w:t>
      </w:r>
      <w:r w:rsidRPr="004E3A00">
        <w:rPr>
          <w:rFonts w:ascii="Arial" w:eastAsia="Times New Roman" w:hAnsi="Arial" w:cs="Arial"/>
          <w:color w:val="000000"/>
          <w:lang w:eastAsia="en-GB"/>
        </w:rPr>
        <w:t xml:space="preserve"> important in our system, as seen in other transitions (~200 words)</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Our analyses indicate that positive feedbacks are potentially important for structuring the forest system. Our </w:t>
      </w:r>
      <w:proofErr w:type="gramStart"/>
      <w:r w:rsidRPr="004E3A00">
        <w:rPr>
          <w:rFonts w:ascii="Arial" w:eastAsia="Times New Roman" w:hAnsi="Arial" w:cs="Arial"/>
          <w:color w:val="000000"/>
          <w:lang w:eastAsia="en-GB"/>
        </w:rPr>
        <w:t>observations that seedling density was highest in areas with low canopy cover but sapling density was highest in areas with high canopy cover suggests</w:t>
      </w:r>
      <w:proofErr w:type="gramEnd"/>
      <w:r w:rsidRPr="004E3A00">
        <w:rPr>
          <w:rFonts w:ascii="Arial" w:eastAsia="Times New Roman" w:hAnsi="Arial" w:cs="Arial"/>
          <w:color w:val="000000"/>
          <w:lang w:eastAsia="en-GB"/>
        </w:rPr>
        <w:t xml:space="preserve"> such a feedback.</w:t>
      </w:r>
      <w:r w:rsidR="00F112FE" w:rsidRPr="004E3A00">
        <w:rPr>
          <w:rFonts w:ascii="Arial" w:eastAsia="Times New Roman" w:hAnsi="Arial" w:cs="Arial"/>
          <w:color w:val="000000"/>
          <w:lang w:eastAsia="en-GB"/>
        </w:rPr>
        <w:t xml:space="preserve"> This observation suggests that mortality mechanisms for seedlings and saplings may differ resulting in clusters of treeless areas. This has the potential to result in </w:t>
      </w:r>
      <w:proofErr w:type="gramStart"/>
      <w:r w:rsidR="00F112FE" w:rsidRPr="004E3A00">
        <w:rPr>
          <w:rFonts w:ascii="Arial" w:eastAsia="Times New Roman" w:hAnsi="Arial" w:cs="Arial"/>
          <w:color w:val="000000"/>
          <w:lang w:eastAsia="en-GB"/>
        </w:rPr>
        <w:t>a much</w:t>
      </w:r>
      <w:proofErr w:type="gramEnd"/>
      <w:r w:rsidR="00F112FE" w:rsidRPr="004E3A00">
        <w:rPr>
          <w:rFonts w:ascii="Arial" w:eastAsia="Times New Roman" w:hAnsi="Arial" w:cs="Arial"/>
          <w:color w:val="000000"/>
          <w:lang w:eastAsia="en-GB"/>
        </w:rPr>
        <w:t xml:space="preserve"> more open woodland than that found at present, as suggested by Vera et al. The mechanism for this may be that the high ungulate density in the New Forest causes total death of seedlings in gaps, where ponies and deer feed preferentially. In addition, proximity to dead trees resulted in an increased probability of mature tree death</w:t>
      </w:r>
      <w:r w:rsidR="004E3A00" w:rsidRPr="004E3A00">
        <w:rPr>
          <w:rFonts w:ascii="Arial" w:eastAsia="Times New Roman" w:hAnsi="Arial" w:cs="Arial"/>
          <w:color w:val="000000"/>
          <w:lang w:eastAsia="en-GB"/>
        </w:rPr>
        <w:t xml:space="preserve">. If tree recruitment is higher under areas of high canopy cover this could ultimately result in an increase in stand level mortality. </w:t>
      </w:r>
    </w:p>
    <w:p w:rsidR="00512270" w:rsidRPr="004E3A00" w:rsidRDefault="00512270" w:rsidP="00F11B0B">
      <w:pPr>
        <w:numPr>
          <w:ilvl w:val="0"/>
          <w:numId w:val="8"/>
        </w:numPr>
        <w:spacing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However, rapid collapse to a treeless state does not occur because trees buffer against this (~200 words)</w:t>
      </w:r>
    </w:p>
    <w:p w:rsidR="00BC7DA4" w:rsidRPr="004E3A00" w:rsidRDefault="00BC7DA4" w:rsidP="00BC7DA4">
      <w:pPr>
        <w:spacing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Despite the potential importance of feedback loops in driving change in our site, simulations of the next century never resulted in a transition to a completely treeless state. In addition, declines in forest basal area were largely linear and did not follow the trajectory associated with regime shifts of a sudden decline. This suggests that while the forest may be undergoing dieback the current level of disturbance is not high enough to result in a loss of tree cover in the foreseeable future. However, disturbance intensity from climate and pests are predicted to increase in European forests in the coming century </w:t>
      </w:r>
      <w:r w:rsidRPr="004E3A00">
        <w:rPr>
          <w:rFonts w:ascii="Arial" w:eastAsia="Times New Roman" w:hAnsi="Arial" w:cs="Arial"/>
          <w:color w:val="000000"/>
          <w:lang w:eastAsia="en-GB"/>
        </w:rPr>
        <w:fldChar w:fldCharType="begin" w:fldLock="1"/>
      </w:r>
      <w:r w:rsidR="00D405AE" w:rsidRPr="004E3A00">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Pr="004E3A00">
        <w:rPr>
          <w:rFonts w:ascii="Arial" w:eastAsia="Times New Roman" w:hAnsi="Arial" w:cs="Arial"/>
          <w:color w:val="000000"/>
          <w:lang w:eastAsia="en-GB"/>
        </w:rPr>
        <w:fldChar w:fldCharType="separate"/>
      </w:r>
      <w:r w:rsidRPr="004E3A00">
        <w:rPr>
          <w:rFonts w:ascii="Arial" w:eastAsia="Times New Roman" w:hAnsi="Arial" w:cs="Arial"/>
          <w:noProof/>
          <w:color w:val="000000"/>
          <w:lang w:eastAsia="en-GB"/>
        </w:rPr>
        <w:t xml:space="preserve">(Seidl </w:t>
      </w:r>
      <w:r w:rsidRPr="004E3A00">
        <w:rPr>
          <w:rFonts w:ascii="Arial" w:eastAsia="Times New Roman" w:hAnsi="Arial" w:cs="Arial"/>
          <w:i/>
          <w:noProof/>
          <w:color w:val="000000"/>
          <w:lang w:eastAsia="en-GB"/>
        </w:rPr>
        <w:t>et al.</w:t>
      </w:r>
      <w:r w:rsidRPr="004E3A00">
        <w:rPr>
          <w:rFonts w:ascii="Arial" w:eastAsia="Times New Roman" w:hAnsi="Arial" w:cs="Arial"/>
          <w:noProof/>
          <w:color w:val="000000"/>
          <w:lang w:eastAsia="en-GB"/>
        </w:rPr>
        <w:t xml:space="preserve"> 2014)</w:t>
      </w:r>
      <w:r w:rsidRPr="004E3A00">
        <w:rPr>
          <w:rFonts w:ascii="Arial" w:eastAsia="Times New Roman" w:hAnsi="Arial" w:cs="Arial"/>
          <w:color w:val="000000"/>
          <w:lang w:eastAsia="en-GB"/>
        </w:rPr>
        <w:fldChar w:fldCharType="end"/>
      </w:r>
      <w:r w:rsidR="00FC381B" w:rsidRPr="004E3A00">
        <w:rPr>
          <w:rFonts w:ascii="Arial" w:eastAsia="Times New Roman" w:hAnsi="Arial" w:cs="Arial"/>
          <w:color w:val="000000"/>
          <w:lang w:eastAsia="en-GB"/>
        </w:rPr>
        <w:t>, meaning predictions from our model may be conservative. This lack of loss of forest cover in our study was a result of the long generation times of trees, which helped to buffer against total loss as a result of disturbance. This is synonymous with extinction debt where there is a time-lag between disturbance and the ultimate loss of a population.</w:t>
      </w:r>
      <w:r w:rsidR="00D405AE" w:rsidRPr="004E3A00">
        <w:rPr>
          <w:rFonts w:ascii="Arial" w:eastAsia="Times New Roman" w:hAnsi="Arial" w:cs="Arial"/>
          <w:color w:val="000000"/>
          <w:lang w:eastAsia="en-GB"/>
        </w:rPr>
        <w:t xml:space="preserve"> Such declines are likely to relatively common in forest, compared to mass mortality over relatively short period of time. In the context of forests, rapid loss of tree cover seems to require interactions between disturbance and fire. Such interactions have been observed in tropical </w:t>
      </w:r>
      <w:r w:rsidR="00D405AE" w:rsidRPr="004E3A00">
        <w:rPr>
          <w:rFonts w:ascii="Arial" w:eastAsia="Times New Roman" w:hAnsi="Arial" w:cs="Arial"/>
          <w:color w:val="000000"/>
          <w:lang w:eastAsia="en-GB"/>
        </w:rPr>
        <w:fldChar w:fldCharType="begin" w:fldLock="1"/>
      </w:r>
      <w:r w:rsidR="00D405AE"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w:instrText>
      </w:r>
      <w:r w:rsidR="00D405AE" w:rsidRPr="00A824A1">
        <w:rPr>
          <w:rFonts w:ascii="Arial" w:eastAsia="Times New Roman" w:hAnsi="Arial" w:cs="Arial"/>
          <w:color w:val="000000"/>
          <w:lang w:val="es-ES_tradnl" w:eastAsia="en-GB"/>
        </w:rPr>
        <w:instrText>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"mendeley" : { "formattedCitation" : "(Barlow &amp; Peres 2008)", "plainTextFormattedCitation" : "(Barlow &amp; Peres 2008)", "previouslyFormattedCitation" : "(Barlow &amp; Peres 2008)"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(Barlow &amp; Peres 2008)</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w:t>
      </w:r>
      <w:proofErr w:type="spellStart"/>
      <w:r w:rsidR="00D405AE" w:rsidRPr="00A824A1">
        <w:rPr>
          <w:rFonts w:ascii="Arial" w:eastAsia="Times New Roman" w:hAnsi="Arial" w:cs="Arial"/>
          <w:color w:val="000000"/>
          <w:lang w:val="es-ES_tradnl" w:eastAsia="en-GB"/>
        </w:rPr>
        <w:t>Mediterranean</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05AE" w:rsidRPr="00A824A1">
        <w:rPr>
          <w:rFonts w:ascii="Arial" w:eastAsia="Times New Roman" w:hAnsi="Arial" w:cs="Arial"/>
          <w:color w:val="000000"/>
          <w:lang w:val="es-ES_tradnl" w:eastAsia="en-GB"/>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 xml:space="preserve">(Acácio </w:t>
      </w:r>
      <w:r w:rsidR="00D405AE" w:rsidRPr="00A824A1">
        <w:rPr>
          <w:rFonts w:ascii="Arial" w:eastAsia="Times New Roman" w:hAnsi="Arial" w:cs="Arial"/>
          <w:i/>
          <w:noProof/>
          <w:color w:val="000000"/>
          <w:lang w:val="es-ES_tradnl" w:eastAsia="en-GB"/>
        </w:rPr>
        <w:t>et al.</w:t>
      </w:r>
      <w:r w:rsidR="00D405AE" w:rsidRPr="00A824A1">
        <w:rPr>
          <w:rFonts w:ascii="Arial" w:eastAsia="Times New Roman" w:hAnsi="Arial" w:cs="Arial"/>
          <w:noProof/>
          <w:color w:val="000000"/>
          <w:lang w:val="es-ES_tradnl" w:eastAsia="en-GB"/>
        </w:rPr>
        <w:t xml:space="preserve"> 2007)</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w:t>
      </w:r>
      <w:proofErr w:type="spellStart"/>
      <w:r w:rsidR="00D405AE" w:rsidRPr="00A824A1">
        <w:rPr>
          <w:rFonts w:ascii="Arial" w:eastAsia="Times New Roman" w:hAnsi="Arial" w:cs="Arial"/>
          <w:color w:val="000000"/>
          <w:lang w:val="es-ES_tradnl" w:eastAsia="en-GB"/>
        </w:rPr>
        <w:t>temperate</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05AE" w:rsidRPr="00A824A1">
        <w:rPr>
          <w:rFonts w:ascii="Arial" w:eastAsia="Times New Roman" w:hAnsi="Arial" w:cs="Arial"/>
          <w:color w:val="000000"/>
          <w:lang w:val="es-ES_tradnl" w:eastAsia="en-GB"/>
        </w:rPr>
        <w:instrText>ADDIN CSL_CITATION { "citationItems" : [ { "id" : "ITEM-1", "itemData" : { "DOI" : "10.1111/1365-2664.12437", "ISSN" : "00218901", "author" : [ { "dropping-particle" : "", "family" : "Flory", "given" : "S. Luke", "non-dropping-particle" : "", "parse-names" : false, "suffix" : "" }, { "dropping-particle" : "", "family" : "Clay", "given" : "Keith", "non-dropping-particle" : "", "parse-names" : false, "suffix" : "" }, { "dropping-particle" : "", "family" : "Emery", "given" : "Sarah M.", "non-dropping-particle" : "", "parse-names" : false, "suffix" : "" }, { "dropping-particle" : "", "family" : "Robb", "given" : "Joseph R.", "non-dropping-particle" : "", "parse-names" : false, "suffix" : "" }, { "dropping-particle" : "", "family" : "Winters", "given" : "Brian", "non-dropping-particle" : "", "parse-names" : false, "suffix" : "" } ], "container-title" : "Journal of Applied Ecology", "id" : "ITEM-1", "issue" : "4", "issued" : { "date-parts" : [ [ "2015" ] ] }, "page" : "992-1000", "title" : "Fire and non-native grass invasion interact to suppress tree regeneration in temperate deciduous forests", "type" : "article-journal", "volume" : "52" }, "uris" : [ "http://www.mendeley.com/documents/?uuid=3e0ca6d2-805e-42ab-b0f1-b5f67b098417" ] } ], "mendeley" : { "formattedCitation" : "(Flory &lt;i&gt;et al.&lt;/i&gt; 2015)", "plainTextFormattedCitation" : "(Flory et al. 2015)", "previouslyFormattedCitation" : "(Flory &lt;i&gt;et al.&lt;/i&gt; 2015)"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 xml:space="preserve">(Flory </w:t>
      </w:r>
      <w:r w:rsidR="00D405AE" w:rsidRPr="00A824A1">
        <w:rPr>
          <w:rFonts w:ascii="Arial" w:eastAsia="Times New Roman" w:hAnsi="Arial" w:cs="Arial"/>
          <w:i/>
          <w:noProof/>
          <w:color w:val="000000"/>
          <w:lang w:val="es-ES_tradnl" w:eastAsia="en-GB"/>
        </w:rPr>
        <w:t>et al.</w:t>
      </w:r>
      <w:r w:rsidR="00D405AE" w:rsidRPr="00A824A1">
        <w:rPr>
          <w:rFonts w:ascii="Arial" w:eastAsia="Times New Roman" w:hAnsi="Arial" w:cs="Arial"/>
          <w:noProof/>
          <w:color w:val="000000"/>
          <w:lang w:val="es-ES_tradnl" w:eastAsia="en-GB"/>
        </w:rPr>
        <w:t xml:space="preserve"> 2015)</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and boreal </w:t>
      </w:r>
      <w:proofErr w:type="spellStart"/>
      <w:r w:rsidR="00D405AE" w:rsidRPr="00A824A1">
        <w:rPr>
          <w:rFonts w:ascii="Arial" w:eastAsia="Times New Roman" w:hAnsi="Arial" w:cs="Arial"/>
          <w:color w:val="000000"/>
          <w:lang w:val="es-ES_tradnl" w:eastAsia="en-GB"/>
        </w:rPr>
        <w:t>forests</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15C3">
        <w:rPr>
          <w:rFonts w:ascii="Arial" w:eastAsia="Times New Roman" w:hAnsi="Arial" w:cs="Arial"/>
          <w:color w:val="000000"/>
          <w:lang w:val="es-ES_tradnl" w:eastAsia="en-GB"/>
        </w:rPr>
        <w:instrText xml:space="preserve">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w:instrText>
      </w:r>
      <w:r w:rsidR="00D415C3" w:rsidRPr="00B6284F">
        <w:rPr>
          <w:rFonts w:ascii="Arial" w:eastAsia="Times New Roman" w:hAnsi="Arial" w:cs="Arial"/>
          <w:color w:val="000000"/>
          <w:lang w:eastAsia="en-GB"/>
        </w:rPr>
        <w:instrText>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4E3A00">
        <w:rPr>
          <w:rFonts w:ascii="Arial" w:eastAsia="Times New Roman" w:hAnsi="Arial" w:cs="Arial"/>
          <w:noProof/>
          <w:color w:val="000000"/>
          <w:lang w:eastAsia="en-GB"/>
        </w:rPr>
        <w:t xml:space="preserve">(Scheffer </w:t>
      </w:r>
      <w:r w:rsidR="00D405AE" w:rsidRPr="004E3A00">
        <w:rPr>
          <w:rFonts w:ascii="Arial" w:eastAsia="Times New Roman" w:hAnsi="Arial" w:cs="Arial"/>
          <w:i/>
          <w:noProof/>
          <w:color w:val="000000"/>
          <w:lang w:eastAsia="en-GB"/>
        </w:rPr>
        <w:t>et al.</w:t>
      </w:r>
      <w:r w:rsidR="00D405AE" w:rsidRPr="004E3A00">
        <w:rPr>
          <w:rFonts w:ascii="Arial" w:eastAsia="Times New Roman" w:hAnsi="Arial" w:cs="Arial"/>
          <w:noProof/>
          <w:color w:val="000000"/>
          <w:lang w:eastAsia="en-GB"/>
        </w:rPr>
        <w:t xml:space="preserve"> 2012)</w:t>
      </w:r>
      <w:r w:rsidR="00D405AE" w:rsidRPr="004E3A00">
        <w:rPr>
          <w:rFonts w:ascii="Arial" w:eastAsia="Times New Roman" w:hAnsi="Arial" w:cs="Arial"/>
          <w:color w:val="000000"/>
          <w:lang w:eastAsia="en-GB"/>
        </w:rPr>
        <w:fldChar w:fldCharType="end"/>
      </w:r>
      <w:r w:rsidR="00D405AE" w:rsidRPr="004E3A00">
        <w:rPr>
          <w:rFonts w:ascii="Arial" w:eastAsia="Times New Roman" w:hAnsi="Arial" w:cs="Arial"/>
          <w:color w:val="000000"/>
          <w:lang w:eastAsia="en-GB"/>
        </w:rPr>
        <w:t xml:space="preserve"> suggesting a universal mechanism for feedbacks resulting in forest loss.</w:t>
      </w:r>
    </w:p>
    <w:p w:rsidR="00BC7DA4" w:rsidRPr="004E3A00" w:rsidRDefault="00BC7DA4" w:rsidP="00BC7DA4">
      <w:pPr>
        <w:spacing w:after="0" w:line="360" w:lineRule="auto"/>
        <w:contextualSpacing/>
        <w:textAlignment w:val="baseline"/>
        <w:rPr>
          <w:rFonts w:ascii="Arial" w:eastAsia="Times New Roman" w:hAnsi="Arial" w:cs="Arial"/>
          <w:color w:val="000000"/>
          <w:lang w:eastAsia="en-GB"/>
        </w:rPr>
      </w:pPr>
    </w:p>
    <w:p w:rsidR="00C9060F" w:rsidRPr="004E3A00" w:rsidRDefault="00C9060F" w:rsidP="00F11B0B">
      <w:pPr>
        <w:numPr>
          <w:ilvl w:val="0"/>
          <w:numId w:val="8"/>
        </w:numPr>
        <w:spacing w:after="14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Managers should attempt to break these feedback loops or stop them from being established (~200 words)</w:t>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Conclusion (200 words)</w:t>
      </w:r>
    </w:p>
    <w:p w:rsidR="00C9060F" w:rsidRDefault="00C9060F" w:rsidP="00F11B0B">
      <w:pPr>
        <w:numPr>
          <w:ilvl w:val="0"/>
          <w:numId w:val="9"/>
        </w:numPr>
        <w:spacing w:before="40" w:after="14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lastRenderedPageBreak/>
        <w:t>Feedback loops can be important in causing transitions to non-forest states and need to be managed carefully (~200 words)</w:t>
      </w:r>
    </w:p>
    <w:p w:rsidR="00D2111C" w:rsidRDefault="00D2111C" w:rsidP="00D2111C">
      <w:pPr>
        <w:spacing w:before="40" w:after="140" w:line="360" w:lineRule="auto"/>
        <w:contextualSpacing/>
        <w:textAlignment w:val="baseline"/>
        <w:rPr>
          <w:rFonts w:ascii="Arial" w:eastAsia="Times New Roman" w:hAnsi="Arial" w:cs="Arial"/>
          <w:color w:val="000000"/>
          <w:lang w:eastAsia="en-GB"/>
        </w:rPr>
      </w:pPr>
    </w:p>
    <w:p w:rsidR="00D2111C" w:rsidRDefault="00D2111C" w:rsidP="00D2111C">
      <w:pPr>
        <w:spacing w:before="40" w:after="140" w:line="360" w:lineRule="auto"/>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Over the next 100 years, without appropriate management there is the potential for widespread loss of tree cover in areas of the New Forest undergoing dieback. Our estimates of 50-70% losses in basal area may be worsened by projected increases in temperature, drought frequency, and outbreaks of pests and diseases. Such die-off is occurring elsewhere in the New Forest and presents the risk of widespread losses of biodiversity and ecosystem services. The most obvious way to reduce the probability of die-off is to increase beech recruitment by protecting selected woodlands from overgrazing. The potential impacts of fungal pathogens and drought may also be reduced by this recruitment, resulting in a forest composed of trees with a wider range of tree ages.</w:t>
      </w:r>
    </w:p>
    <w:p w:rsidR="00D2111C" w:rsidRPr="004E3A00" w:rsidRDefault="00D2111C" w:rsidP="00D2111C">
      <w:pPr>
        <w:spacing w:before="40" w:after="140" w:line="360" w:lineRule="auto"/>
        <w:contextualSpacing/>
        <w:textAlignment w:val="baseline"/>
        <w:rPr>
          <w:rFonts w:ascii="Arial" w:eastAsia="Times New Roman" w:hAnsi="Arial" w:cs="Arial"/>
          <w:color w:val="000000"/>
          <w:lang w:eastAsia="en-GB"/>
        </w:rPr>
      </w:pPr>
    </w:p>
    <w:p w:rsidR="005D2262" w:rsidRPr="004E3A00" w:rsidRDefault="00F11B0B" w:rsidP="00F11B0B">
      <w:pPr>
        <w:spacing w:line="360" w:lineRule="auto"/>
        <w:contextualSpacing/>
      </w:pPr>
      <w:r w:rsidRPr="004E3A00">
        <w:rPr>
          <w:rFonts w:ascii="Arial" w:eastAsia="Times New Roman" w:hAnsi="Arial" w:cs="Arial"/>
          <w:b/>
          <w:bCs/>
          <w:color w:val="000000"/>
          <w:lang w:eastAsia="en-GB"/>
        </w:rPr>
        <w:t>References</w:t>
      </w:r>
    </w:p>
    <w:p w:rsidR="00B15A2F" w:rsidRPr="00B15A2F" w:rsidRDefault="00F11B0B">
      <w:pPr>
        <w:widowControl w:val="0"/>
        <w:autoSpaceDE w:val="0"/>
        <w:autoSpaceDN w:val="0"/>
        <w:adjustRightInd w:val="0"/>
        <w:spacing w:after="140" w:line="288" w:lineRule="auto"/>
        <w:ind w:left="480" w:hanging="480"/>
        <w:rPr>
          <w:rFonts w:ascii="Calibri" w:hAnsi="Calibri" w:cs="Times New Roman"/>
          <w:noProof/>
          <w:szCs w:val="24"/>
        </w:rPr>
      </w:pPr>
      <w:r w:rsidRPr="004E3A00">
        <w:fldChar w:fldCharType="begin" w:fldLock="1"/>
      </w:r>
      <w:r w:rsidRPr="004E3A00">
        <w:instrText xml:space="preserve">ADDIN Mendeley Bibliography CSL_BIBLIOGRAPHY </w:instrText>
      </w:r>
      <w:r w:rsidRPr="004E3A00">
        <w:fldChar w:fldCharType="separate"/>
      </w:r>
      <w:r w:rsidR="00B15A2F" w:rsidRPr="00B15A2F">
        <w:rPr>
          <w:rFonts w:ascii="Calibri" w:hAnsi="Calibri" w:cs="Times New Roman"/>
          <w:noProof/>
          <w:szCs w:val="24"/>
        </w:rPr>
        <w:t xml:space="preserve">Acácio, V., Holmgren, M., Jansen, P.A. &amp; Schrotter, O. (2007) Multiple Recruitment Limitation Causes Arrested Succession in Mediterranean Cork Oak Systems. </w:t>
      </w:r>
      <w:r w:rsidR="00B15A2F" w:rsidRPr="00B15A2F">
        <w:rPr>
          <w:rFonts w:ascii="Calibri" w:hAnsi="Calibri" w:cs="Times New Roman"/>
          <w:i/>
          <w:iCs/>
          <w:noProof/>
          <w:szCs w:val="24"/>
        </w:rPr>
        <w:t>Ecosystems</w:t>
      </w:r>
      <w:r w:rsidR="00B15A2F" w:rsidRPr="00B15A2F">
        <w:rPr>
          <w:rFonts w:ascii="Calibri" w:hAnsi="Calibri" w:cs="Times New Roman"/>
          <w:noProof/>
          <w:szCs w:val="24"/>
        </w:rPr>
        <w:t xml:space="preserve">, </w:t>
      </w:r>
      <w:r w:rsidR="00B15A2F" w:rsidRPr="00B15A2F">
        <w:rPr>
          <w:rFonts w:ascii="Calibri" w:hAnsi="Calibri" w:cs="Times New Roman"/>
          <w:b/>
          <w:bCs/>
          <w:noProof/>
          <w:szCs w:val="24"/>
        </w:rPr>
        <w:t>10</w:t>
      </w:r>
      <w:r w:rsidR="00B15A2F" w:rsidRPr="00B15A2F">
        <w:rPr>
          <w:rFonts w:ascii="Calibri" w:hAnsi="Calibri" w:cs="Times New Roman"/>
          <w:noProof/>
          <w:szCs w:val="24"/>
        </w:rPr>
        <w:t>, 1220–1230.</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Barlow, J. &amp; Peres, C.A. (2008) Fire-mediated dieback and compositional cascade in an Amazonian forest. </w:t>
      </w:r>
      <w:r w:rsidRPr="00B15A2F">
        <w:rPr>
          <w:rFonts w:ascii="Calibri" w:hAnsi="Calibri" w:cs="Times New Roman"/>
          <w:i/>
          <w:iCs/>
          <w:noProof/>
          <w:szCs w:val="24"/>
        </w:rPr>
        <w:t>Philosophical Transactions of the Royal Society B: Biological Sciences</w:t>
      </w:r>
      <w:r w:rsidRPr="00B15A2F">
        <w:rPr>
          <w:rFonts w:ascii="Calibri" w:hAnsi="Calibri" w:cs="Times New Roman"/>
          <w:noProof/>
          <w:szCs w:val="24"/>
        </w:rPr>
        <w:t xml:space="preserve">, </w:t>
      </w:r>
      <w:r w:rsidRPr="00B15A2F">
        <w:rPr>
          <w:rFonts w:ascii="Calibri" w:hAnsi="Calibri" w:cs="Times New Roman"/>
          <w:b/>
          <w:bCs/>
          <w:noProof/>
          <w:szCs w:val="24"/>
        </w:rPr>
        <w:t>363</w:t>
      </w:r>
      <w:r w:rsidRPr="00B15A2F">
        <w:rPr>
          <w:rFonts w:ascii="Calibri" w:hAnsi="Calibri" w:cs="Times New Roman"/>
          <w:noProof/>
          <w:szCs w:val="24"/>
        </w:rPr>
        <w:t>, 1787–1794.</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Barton, K. (2014) MuMIn: Multi-model inference.</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Bates, D., Maechler, M., Bolker, B. &amp; Walker, S. (2014) lme4: Linear mixed-effects models using Eigen and S4. </w:t>
      </w:r>
      <w:r w:rsidRPr="00B15A2F">
        <w:rPr>
          <w:rFonts w:ascii="Calibri" w:hAnsi="Calibri" w:cs="Times New Roman"/>
          <w:i/>
          <w:iCs/>
          <w:noProof/>
          <w:szCs w:val="24"/>
        </w:rPr>
        <w:t>ArXiv</w:t>
      </w:r>
      <w:r w:rsidRPr="00B15A2F">
        <w:rPr>
          <w:rFonts w:ascii="Calibri" w:hAnsi="Calibri" w:cs="Times New Roman"/>
          <w:noProof/>
          <w:szCs w:val="24"/>
        </w:rPr>
        <w:t>.</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Bender, E.A., Case, T.J. &amp; Gilpin, M.E. (1984) Perturbation Experiments in Community Ecology: Theory and Practice. </w:t>
      </w:r>
      <w:r w:rsidRPr="00B15A2F">
        <w:rPr>
          <w:rFonts w:ascii="Calibri" w:hAnsi="Calibri" w:cs="Times New Roman"/>
          <w:i/>
          <w:iCs/>
          <w:noProof/>
          <w:szCs w:val="24"/>
        </w:rPr>
        <w:t>Ecology</w:t>
      </w:r>
      <w:r w:rsidRPr="00B15A2F">
        <w:rPr>
          <w:rFonts w:ascii="Calibri" w:hAnsi="Calibri" w:cs="Times New Roman"/>
          <w:noProof/>
          <w:szCs w:val="24"/>
        </w:rPr>
        <w:t xml:space="preserve">, </w:t>
      </w:r>
      <w:r w:rsidRPr="00B15A2F">
        <w:rPr>
          <w:rFonts w:ascii="Calibri" w:hAnsi="Calibri" w:cs="Times New Roman"/>
          <w:b/>
          <w:bCs/>
          <w:noProof/>
          <w:szCs w:val="24"/>
        </w:rPr>
        <w:t>65</w:t>
      </w:r>
      <w:r w:rsidRPr="00B15A2F">
        <w:rPr>
          <w:rFonts w:ascii="Calibri" w:hAnsi="Calibri" w:cs="Times New Roman"/>
          <w:noProof/>
          <w:szCs w:val="24"/>
        </w:rPr>
        <w:t>, 1.</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Burnham, K.P. &amp; Anderson, D.R. (2002) </w:t>
      </w:r>
      <w:r w:rsidRPr="00B15A2F">
        <w:rPr>
          <w:rFonts w:ascii="Calibri" w:hAnsi="Calibri" w:cs="Times New Roman"/>
          <w:i/>
          <w:iCs/>
          <w:noProof/>
          <w:szCs w:val="24"/>
        </w:rPr>
        <w:t>Model Selection and Multimodel Inference: A Practical Information-Theoretic Approach</w:t>
      </w:r>
      <w:r w:rsidRPr="00B15A2F">
        <w:rPr>
          <w:rFonts w:ascii="Calibri" w:hAnsi="Calibri" w:cs="Times New Roman"/>
          <w:noProof/>
          <w:szCs w:val="24"/>
        </w:rPr>
        <w:t>.</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Burrows, M.T., Schoeman, D.S., Buckley, L.B., Moore, P., Poloczanska, E.S., Brander, K.M., Brown, C., Bruno, J.F., Duarte, C.M., Halpern, B.S., Holding, J., Kappel, C. V., Kiessling, W., O’Connor, M.I., Pandolfi, J.M., Parmesan, C., Schwing, F.B., Sydeman, W.J. &amp; Richardson,  a. J. (2011) The Pace of Shifting Climate in Marine and Terrestrial Ecosystems. </w:t>
      </w:r>
      <w:r w:rsidRPr="00B15A2F">
        <w:rPr>
          <w:rFonts w:ascii="Calibri" w:hAnsi="Calibri" w:cs="Times New Roman"/>
          <w:i/>
          <w:iCs/>
          <w:noProof/>
          <w:szCs w:val="24"/>
        </w:rPr>
        <w:t>Science</w:t>
      </w:r>
      <w:r w:rsidRPr="00B15A2F">
        <w:rPr>
          <w:rFonts w:ascii="Calibri" w:hAnsi="Calibri" w:cs="Times New Roman"/>
          <w:noProof/>
          <w:szCs w:val="24"/>
        </w:rPr>
        <w:t xml:space="preserve">, </w:t>
      </w:r>
      <w:r w:rsidRPr="00B15A2F">
        <w:rPr>
          <w:rFonts w:ascii="Calibri" w:hAnsi="Calibri" w:cs="Times New Roman"/>
          <w:b/>
          <w:bCs/>
          <w:noProof/>
          <w:szCs w:val="24"/>
        </w:rPr>
        <w:t>334</w:t>
      </w:r>
      <w:r w:rsidRPr="00B15A2F">
        <w:rPr>
          <w:rFonts w:ascii="Calibri" w:hAnsi="Calibri" w:cs="Times New Roman"/>
          <w:noProof/>
          <w:szCs w:val="24"/>
        </w:rPr>
        <w:t>, 652–655.</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Chao, K.J., Phillips, O.L., Gloor, E., Monteagudo, A., Torres-Lezama, A. &amp; Martínez, R.V. (2008) Growth and wood density predict tree mortality in Amazon forests. </w:t>
      </w:r>
      <w:r w:rsidRPr="00B15A2F">
        <w:rPr>
          <w:rFonts w:ascii="Calibri" w:hAnsi="Calibri" w:cs="Times New Roman"/>
          <w:i/>
          <w:iCs/>
          <w:noProof/>
          <w:szCs w:val="24"/>
        </w:rPr>
        <w:t>Journal of Ecology</w:t>
      </w:r>
      <w:r w:rsidRPr="00B15A2F">
        <w:rPr>
          <w:rFonts w:ascii="Calibri" w:hAnsi="Calibri" w:cs="Times New Roman"/>
          <w:noProof/>
          <w:szCs w:val="24"/>
        </w:rPr>
        <w:t xml:space="preserve">, </w:t>
      </w:r>
      <w:r w:rsidRPr="00B15A2F">
        <w:rPr>
          <w:rFonts w:ascii="Calibri" w:hAnsi="Calibri" w:cs="Times New Roman"/>
          <w:b/>
          <w:bCs/>
          <w:noProof/>
          <w:szCs w:val="24"/>
        </w:rPr>
        <w:t>96</w:t>
      </w:r>
      <w:r w:rsidRPr="00B15A2F">
        <w:rPr>
          <w:rFonts w:ascii="Calibri" w:hAnsi="Calibri" w:cs="Times New Roman"/>
          <w:noProof/>
          <w:szCs w:val="24"/>
        </w:rPr>
        <w:t>, 281–292.</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Collet, C., Lantera, O. &amp; Pardos, M. (2001) Effects of canopy opening on height and diameter growth. </w:t>
      </w:r>
      <w:r w:rsidRPr="00B15A2F">
        <w:rPr>
          <w:rFonts w:ascii="Calibri" w:hAnsi="Calibri" w:cs="Times New Roman"/>
          <w:i/>
          <w:iCs/>
          <w:noProof/>
          <w:szCs w:val="24"/>
        </w:rPr>
        <w:t>Annuals of forest science</w:t>
      </w:r>
      <w:r w:rsidRPr="00B15A2F">
        <w:rPr>
          <w:rFonts w:ascii="Calibri" w:hAnsi="Calibri" w:cs="Times New Roman"/>
          <w:noProof/>
          <w:szCs w:val="24"/>
        </w:rPr>
        <w:t xml:space="preserve">, </w:t>
      </w:r>
      <w:r w:rsidRPr="00B15A2F">
        <w:rPr>
          <w:rFonts w:ascii="Calibri" w:hAnsi="Calibri" w:cs="Times New Roman"/>
          <w:b/>
          <w:bCs/>
          <w:noProof/>
          <w:szCs w:val="24"/>
        </w:rPr>
        <w:t>58</w:t>
      </w:r>
      <w:r w:rsidRPr="00B15A2F">
        <w:rPr>
          <w:rFonts w:ascii="Calibri" w:hAnsi="Calibri" w:cs="Times New Roman"/>
          <w:noProof/>
          <w:szCs w:val="24"/>
        </w:rPr>
        <w:t>, 127–134.</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Coomes, D. a. &amp; Allen, R.B. (2007) Mortality and tree-size distributions in natural mixed-age forests. </w:t>
      </w:r>
      <w:r w:rsidRPr="00B15A2F">
        <w:rPr>
          <w:rFonts w:ascii="Calibri" w:hAnsi="Calibri" w:cs="Times New Roman"/>
          <w:i/>
          <w:iCs/>
          <w:noProof/>
          <w:szCs w:val="24"/>
        </w:rPr>
        <w:t>Journal of Ecology</w:t>
      </w:r>
      <w:r w:rsidRPr="00B15A2F">
        <w:rPr>
          <w:rFonts w:ascii="Calibri" w:hAnsi="Calibri" w:cs="Times New Roman"/>
          <w:noProof/>
          <w:szCs w:val="24"/>
        </w:rPr>
        <w:t xml:space="preserve">, </w:t>
      </w:r>
      <w:r w:rsidRPr="00B15A2F">
        <w:rPr>
          <w:rFonts w:ascii="Calibri" w:hAnsi="Calibri" w:cs="Times New Roman"/>
          <w:b/>
          <w:bCs/>
          <w:noProof/>
          <w:szCs w:val="24"/>
        </w:rPr>
        <w:t>95</w:t>
      </w:r>
      <w:r w:rsidRPr="00B15A2F">
        <w:rPr>
          <w:rFonts w:ascii="Calibri" w:hAnsi="Calibri" w:cs="Times New Roman"/>
          <w:noProof/>
          <w:szCs w:val="24"/>
        </w:rPr>
        <w:t>, 27–40.</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lastRenderedPageBreak/>
        <w:t xml:space="preserve">Davidson, C. (2000) Economic Growth and the Environment:Alternatives to the Limits Paradigm. </w:t>
      </w:r>
      <w:r w:rsidRPr="00B15A2F">
        <w:rPr>
          <w:rFonts w:ascii="Calibri" w:hAnsi="Calibri" w:cs="Times New Roman"/>
          <w:i/>
          <w:iCs/>
          <w:noProof/>
          <w:szCs w:val="24"/>
        </w:rPr>
        <w:t>BioScience</w:t>
      </w:r>
      <w:r w:rsidRPr="00B15A2F">
        <w:rPr>
          <w:rFonts w:ascii="Calibri" w:hAnsi="Calibri" w:cs="Times New Roman"/>
          <w:noProof/>
          <w:szCs w:val="24"/>
        </w:rPr>
        <w:t xml:space="preserve">, </w:t>
      </w:r>
      <w:r w:rsidRPr="00B15A2F">
        <w:rPr>
          <w:rFonts w:ascii="Calibri" w:hAnsi="Calibri" w:cs="Times New Roman"/>
          <w:b/>
          <w:bCs/>
          <w:noProof/>
          <w:szCs w:val="24"/>
        </w:rPr>
        <w:t>50</w:t>
      </w:r>
      <w:r w:rsidRPr="00B15A2F">
        <w:rPr>
          <w:rFonts w:ascii="Calibri" w:hAnsi="Calibri" w:cs="Times New Roman"/>
          <w:noProof/>
          <w:szCs w:val="24"/>
        </w:rPr>
        <w:t>, 433.</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Duwyn, A. &amp; MacDougall, A.S. (2015) When anthropogenic-related disturbances overwhelm demographic persistence mechanisms. </w:t>
      </w:r>
      <w:r w:rsidRPr="00B15A2F">
        <w:rPr>
          <w:rFonts w:ascii="Calibri" w:hAnsi="Calibri" w:cs="Times New Roman"/>
          <w:i/>
          <w:iCs/>
          <w:noProof/>
          <w:szCs w:val="24"/>
        </w:rPr>
        <w:t>Journal of Ecology</w:t>
      </w:r>
      <w:r w:rsidRPr="00B15A2F">
        <w:rPr>
          <w:rFonts w:ascii="Calibri" w:hAnsi="Calibri" w:cs="Times New Roman"/>
          <w:noProof/>
          <w:szCs w:val="24"/>
        </w:rPr>
        <w:t>, n/a–n/a.</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Flory, S.L., Clay, K., Emery, S.M., Robb, J.R. &amp; Winters, B. (2015) Fire and non-native grass invasion interact to suppress tree regeneration in temperate deciduous forests. </w:t>
      </w:r>
      <w:r w:rsidRPr="00B15A2F">
        <w:rPr>
          <w:rFonts w:ascii="Calibri" w:hAnsi="Calibri" w:cs="Times New Roman"/>
          <w:i/>
          <w:iCs/>
          <w:noProof/>
          <w:szCs w:val="24"/>
        </w:rPr>
        <w:t>Journal of Applied Ecology</w:t>
      </w:r>
      <w:r w:rsidRPr="00B15A2F">
        <w:rPr>
          <w:rFonts w:ascii="Calibri" w:hAnsi="Calibri" w:cs="Times New Roman"/>
          <w:noProof/>
          <w:szCs w:val="24"/>
        </w:rPr>
        <w:t xml:space="preserve">, </w:t>
      </w:r>
      <w:r w:rsidRPr="00B15A2F">
        <w:rPr>
          <w:rFonts w:ascii="Calibri" w:hAnsi="Calibri" w:cs="Times New Roman"/>
          <w:b/>
          <w:bCs/>
          <w:noProof/>
          <w:szCs w:val="24"/>
        </w:rPr>
        <w:t>52</w:t>
      </w:r>
      <w:r w:rsidRPr="00B15A2F">
        <w:rPr>
          <w:rFonts w:ascii="Calibri" w:hAnsi="Calibri" w:cs="Times New Roman"/>
          <w:noProof/>
          <w:szCs w:val="24"/>
        </w:rPr>
        <w:t>, 992–1000.</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Folke, C., Carpenter, S.R., Walker, B., Scheffer, M., Chapin, T. &amp; Rockström, J. (2010) Resilience thinking: Integrating resilience, adaptability and transformability. </w:t>
      </w:r>
      <w:r w:rsidRPr="00B15A2F">
        <w:rPr>
          <w:rFonts w:ascii="Calibri" w:hAnsi="Calibri" w:cs="Times New Roman"/>
          <w:i/>
          <w:iCs/>
          <w:noProof/>
          <w:szCs w:val="24"/>
        </w:rPr>
        <w:t>Ecology and Society</w:t>
      </w:r>
      <w:r w:rsidRPr="00B15A2F">
        <w:rPr>
          <w:rFonts w:ascii="Calibri" w:hAnsi="Calibri" w:cs="Times New Roman"/>
          <w:noProof/>
          <w:szCs w:val="24"/>
        </w:rPr>
        <w:t xml:space="preserve">, </w:t>
      </w:r>
      <w:r w:rsidRPr="00B15A2F">
        <w:rPr>
          <w:rFonts w:ascii="Calibri" w:hAnsi="Calibri" w:cs="Times New Roman"/>
          <w:b/>
          <w:bCs/>
          <w:noProof/>
          <w:szCs w:val="24"/>
        </w:rPr>
        <w:t>15</w:t>
      </w:r>
      <w:r w:rsidRPr="00B15A2F">
        <w:rPr>
          <w:rFonts w:ascii="Calibri" w:hAnsi="Calibri" w:cs="Times New Roman"/>
          <w:noProof/>
          <w:szCs w:val="24"/>
        </w:rPr>
        <w:t>.</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Grimm, V., Berger, U., Bastiansen, F., Eliassen, S., Ginot, V., Giske, J., Goss-Custard, J., Grand, T., Heinz, S.K., Huse, G., Huth, A., Jepsen, J.U., Jørgensen, C., Mooij, W.M., Müller, B., Pe’er, G., Piou, C., Railsback, S.F., Robbins, A.M., Robbins, M.M., Rossmanith, E., Rüger, N., Strand, E., Souissi, S., Stillman, R.A., Vabø, R., Visser, U. &amp; DeAngelis, D.L. (2006) A standard protocol for describing individual-based and agent-based models. </w:t>
      </w:r>
      <w:r w:rsidRPr="00B15A2F">
        <w:rPr>
          <w:rFonts w:ascii="Calibri" w:hAnsi="Calibri" w:cs="Times New Roman"/>
          <w:i/>
          <w:iCs/>
          <w:noProof/>
          <w:szCs w:val="24"/>
        </w:rPr>
        <w:t>Ecological Modelling</w:t>
      </w:r>
      <w:r w:rsidRPr="00B15A2F">
        <w:rPr>
          <w:rFonts w:ascii="Calibri" w:hAnsi="Calibri" w:cs="Times New Roman"/>
          <w:noProof/>
          <w:szCs w:val="24"/>
        </w:rPr>
        <w:t xml:space="preserve">, </w:t>
      </w:r>
      <w:r w:rsidRPr="00B15A2F">
        <w:rPr>
          <w:rFonts w:ascii="Calibri" w:hAnsi="Calibri" w:cs="Times New Roman"/>
          <w:b/>
          <w:bCs/>
          <w:noProof/>
          <w:szCs w:val="24"/>
        </w:rPr>
        <w:t>198</w:t>
      </w:r>
      <w:r w:rsidRPr="00B15A2F">
        <w:rPr>
          <w:rFonts w:ascii="Calibri" w:hAnsi="Calibri" w:cs="Times New Roman"/>
          <w:noProof/>
          <w:szCs w:val="24"/>
        </w:rPr>
        <w:t>, 115–126.</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Hirota, M., Holmgren, M., Van Nes, E.H. &amp; Scheffer, M. (2011) Global resilience of tropical forest and savanna to critical transitions. </w:t>
      </w:r>
      <w:r w:rsidRPr="00B15A2F">
        <w:rPr>
          <w:rFonts w:ascii="Calibri" w:hAnsi="Calibri" w:cs="Times New Roman"/>
          <w:i/>
          <w:iCs/>
          <w:noProof/>
          <w:szCs w:val="24"/>
        </w:rPr>
        <w:t>Science</w:t>
      </w:r>
      <w:r w:rsidRPr="00B15A2F">
        <w:rPr>
          <w:rFonts w:ascii="Calibri" w:hAnsi="Calibri" w:cs="Times New Roman"/>
          <w:noProof/>
          <w:szCs w:val="24"/>
        </w:rPr>
        <w:t xml:space="preserve">, </w:t>
      </w:r>
      <w:r w:rsidRPr="00B15A2F">
        <w:rPr>
          <w:rFonts w:ascii="Calibri" w:hAnsi="Calibri" w:cs="Times New Roman"/>
          <w:b/>
          <w:bCs/>
          <w:noProof/>
          <w:szCs w:val="24"/>
        </w:rPr>
        <w:t>334</w:t>
      </w:r>
      <w:r w:rsidRPr="00B15A2F">
        <w:rPr>
          <w:rFonts w:ascii="Calibri" w:hAnsi="Calibri" w:cs="Times New Roman"/>
          <w:noProof/>
          <w:szCs w:val="24"/>
        </w:rPr>
        <w:t>, 232–235.</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Holzwarth, F., Kahl, A., Bauhus, J. &amp; Wirth, C. (2013) Many ways to die - partitioning tree mortality dynamics in a near-natural mixed deciduous forest (ed P Zuidema). </w:t>
      </w:r>
      <w:r w:rsidRPr="00B15A2F">
        <w:rPr>
          <w:rFonts w:ascii="Calibri" w:hAnsi="Calibri" w:cs="Times New Roman"/>
          <w:i/>
          <w:iCs/>
          <w:noProof/>
          <w:szCs w:val="24"/>
        </w:rPr>
        <w:t>Journal of Ecology</w:t>
      </w:r>
      <w:r w:rsidRPr="00B15A2F">
        <w:rPr>
          <w:rFonts w:ascii="Calibri" w:hAnsi="Calibri" w:cs="Times New Roman"/>
          <w:noProof/>
          <w:szCs w:val="24"/>
        </w:rPr>
        <w:t xml:space="preserve">, </w:t>
      </w:r>
      <w:r w:rsidRPr="00B15A2F">
        <w:rPr>
          <w:rFonts w:ascii="Calibri" w:hAnsi="Calibri" w:cs="Times New Roman"/>
          <w:b/>
          <w:bCs/>
          <w:noProof/>
          <w:szCs w:val="24"/>
        </w:rPr>
        <w:t>101</w:t>
      </w:r>
      <w:r w:rsidRPr="00B15A2F">
        <w:rPr>
          <w:rFonts w:ascii="Calibri" w:hAnsi="Calibri" w:cs="Times New Roman"/>
          <w:noProof/>
          <w:szCs w:val="24"/>
        </w:rPr>
        <w:t>, 220–230.</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Kuijper, D.P.J., Cromsigt, J.P.G.M., Jędrzejewska, B., Miścicki, S., Churski, M., Jędrzejewski, W. &amp; Kweczlich, I. (2010) Bottom-up versus top-down control of tree regeneration in the Białowieża Primeval Forest, Poland. </w:t>
      </w:r>
      <w:r w:rsidRPr="00B15A2F">
        <w:rPr>
          <w:rFonts w:ascii="Calibri" w:hAnsi="Calibri" w:cs="Times New Roman"/>
          <w:i/>
          <w:iCs/>
          <w:noProof/>
          <w:szCs w:val="24"/>
        </w:rPr>
        <w:t>Journal of Ecology</w:t>
      </w:r>
      <w:r w:rsidRPr="00B15A2F">
        <w:rPr>
          <w:rFonts w:ascii="Calibri" w:hAnsi="Calibri" w:cs="Times New Roman"/>
          <w:noProof/>
          <w:szCs w:val="24"/>
        </w:rPr>
        <w:t xml:space="preserve">, </w:t>
      </w:r>
      <w:r w:rsidRPr="00B15A2F">
        <w:rPr>
          <w:rFonts w:ascii="Calibri" w:hAnsi="Calibri" w:cs="Times New Roman"/>
          <w:b/>
          <w:bCs/>
          <w:noProof/>
          <w:szCs w:val="24"/>
        </w:rPr>
        <w:t>98</w:t>
      </w:r>
      <w:r w:rsidRPr="00B15A2F">
        <w:rPr>
          <w:rFonts w:ascii="Calibri" w:hAnsi="Calibri" w:cs="Times New Roman"/>
          <w:noProof/>
          <w:szCs w:val="24"/>
        </w:rPr>
        <w:t>, 888–899.</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van Mantgem, P.J., Stephenson, N.L., Byrne, J.C., Daniels, L.D., Franklin, J.F., Fulé, P.Z., Harmon, M.E., Larson, A.J., Smith, J.M., Taylor, A.H. &amp; Veblen, T.T. (2009) Widespread increase of tree mortality rates in the western United States. </w:t>
      </w:r>
      <w:r w:rsidRPr="00B15A2F">
        <w:rPr>
          <w:rFonts w:ascii="Calibri" w:hAnsi="Calibri" w:cs="Times New Roman"/>
          <w:i/>
          <w:iCs/>
          <w:noProof/>
          <w:szCs w:val="24"/>
        </w:rPr>
        <w:t>Science (New York, N.Y.)</w:t>
      </w:r>
      <w:r w:rsidRPr="00B15A2F">
        <w:rPr>
          <w:rFonts w:ascii="Calibri" w:hAnsi="Calibri" w:cs="Times New Roman"/>
          <w:noProof/>
          <w:szCs w:val="24"/>
        </w:rPr>
        <w:t xml:space="preserve">, </w:t>
      </w:r>
      <w:r w:rsidRPr="00B15A2F">
        <w:rPr>
          <w:rFonts w:ascii="Calibri" w:hAnsi="Calibri" w:cs="Times New Roman"/>
          <w:b/>
          <w:bCs/>
          <w:noProof/>
          <w:szCs w:val="24"/>
        </w:rPr>
        <w:t>323</w:t>
      </w:r>
      <w:r w:rsidRPr="00B15A2F">
        <w:rPr>
          <w:rFonts w:ascii="Calibri" w:hAnsi="Calibri" w:cs="Times New Roman"/>
          <w:noProof/>
          <w:szCs w:val="24"/>
        </w:rPr>
        <w:t>, 521–524.</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Martin, P.A., Newton, A.C., Cantarello, E. &amp; Evans, P. (2015) Stand dieback and collapse in a temperate forest and its impact on forest structure and biodiversity. </w:t>
      </w:r>
      <w:r w:rsidRPr="00B15A2F">
        <w:rPr>
          <w:rFonts w:ascii="Calibri" w:hAnsi="Calibri" w:cs="Times New Roman"/>
          <w:i/>
          <w:iCs/>
          <w:noProof/>
          <w:szCs w:val="24"/>
        </w:rPr>
        <w:t>Forest Ecology and Management</w:t>
      </w:r>
      <w:r w:rsidRPr="00B15A2F">
        <w:rPr>
          <w:rFonts w:ascii="Calibri" w:hAnsi="Calibri" w:cs="Times New Roman"/>
          <w:noProof/>
          <w:szCs w:val="24"/>
        </w:rPr>
        <w:t xml:space="preserve">, </w:t>
      </w:r>
      <w:r w:rsidRPr="00B15A2F">
        <w:rPr>
          <w:rFonts w:ascii="Calibri" w:hAnsi="Calibri" w:cs="Times New Roman"/>
          <w:b/>
          <w:bCs/>
          <w:noProof/>
          <w:szCs w:val="24"/>
        </w:rPr>
        <w:t>358</w:t>
      </w:r>
      <w:r w:rsidRPr="00B15A2F">
        <w:rPr>
          <w:rFonts w:ascii="Calibri" w:hAnsi="Calibri" w:cs="Times New Roman"/>
          <w:noProof/>
          <w:szCs w:val="24"/>
        </w:rPr>
        <w:t>, 130–138.</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Mountford, E.P. &amp; Peterken, G.F. (2003) Long-term change and implications for the management of wood-pastures: experience over 40 years from Denny Wood, New Forest. </w:t>
      </w:r>
      <w:r w:rsidRPr="00B15A2F">
        <w:rPr>
          <w:rFonts w:ascii="Calibri" w:hAnsi="Calibri" w:cs="Times New Roman"/>
          <w:i/>
          <w:iCs/>
          <w:noProof/>
          <w:szCs w:val="24"/>
        </w:rPr>
        <w:t>Forestry</w:t>
      </w:r>
      <w:r w:rsidRPr="00B15A2F">
        <w:rPr>
          <w:rFonts w:ascii="Calibri" w:hAnsi="Calibri" w:cs="Times New Roman"/>
          <w:noProof/>
          <w:szCs w:val="24"/>
        </w:rPr>
        <w:t xml:space="preserve">, </w:t>
      </w:r>
      <w:r w:rsidRPr="00B15A2F">
        <w:rPr>
          <w:rFonts w:ascii="Calibri" w:hAnsi="Calibri" w:cs="Times New Roman"/>
          <w:b/>
          <w:bCs/>
          <w:noProof/>
          <w:szCs w:val="24"/>
        </w:rPr>
        <w:t>76</w:t>
      </w:r>
      <w:r w:rsidRPr="00B15A2F">
        <w:rPr>
          <w:rFonts w:ascii="Calibri" w:hAnsi="Calibri" w:cs="Times New Roman"/>
          <w:noProof/>
          <w:szCs w:val="24"/>
        </w:rPr>
        <w:t>, 19–43.</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Mountford, E.P., Peterken, G.F., Edwards, P.J. &amp; Manners, J.G. (1999) Long-term change in growth, mortality and regeneration of trees in Denny Wood, an old-growth wood-pasture in the New Forest (UK). </w:t>
      </w:r>
      <w:r w:rsidRPr="00B15A2F">
        <w:rPr>
          <w:rFonts w:ascii="Calibri" w:hAnsi="Calibri" w:cs="Times New Roman"/>
          <w:i/>
          <w:iCs/>
          <w:noProof/>
          <w:szCs w:val="24"/>
        </w:rPr>
        <w:t>Perspectives in Plant Ecology, Evolution and Systematics</w:t>
      </w:r>
      <w:r w:rsidRPr="00B15A2F">
        <w:rPr>
          <w:rFonts w:ascii="Calibri" w:hAnsi="Calibri" w:cs="Times New Roman"/>
          <w:noProof/>
          <w:szCs w:val="24"/>
        </w:rPr>
        <w:t xml:space="preserve">, </w:t>
      </w:r>
      <w:r w:rsidRPr="00B15A2F">
        <w:rPr>
          <w:rFonts w:ascii="Calibri" w:hAnsi="Calibri" w:cs="Times New Roman"/>
          <w:b/>
          <w:bCs/>
          <w:noProof/>
          <w:szCs w:val="24"/>
        </w:rPr>
        <w:t>2</w:t>
      </w:r>
      <w:r w:rsidRPr="00B15A2F">
        <w:rPr>
          <w:rFonts w:ascii="Calibri" w:hAnsi="Calibri" w:cs="Times New Roman"/>
          <w:noProof/>
          <w:szCs w:val="24"/>
        </w:rPr>
        <w:t>, 223–272.</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Nepstad, D.C., Verissimo, A., Alencar, A., Nobre, C., Lima, E., Lefebvre, P., Schlesinger, P., Potter, C., Moutinho, P., Mendoza, E., Cochrane, M. &amp; Brooks, V. (1999) Large-scale impoverishment of Amazonian forests by logging and fire. </w:t>
      </w:r>
      <w:r w:rsidRPr="00B15A2F">
        <w:rPr>
          <w:rFonts w:ascii="Calibri" w:hAnsi="Calibri" w:cs="Times New Roman"/>
          <w:i/>
          <w:iCs/>
          <w:noProof/>
          <w:szCs w:val="24"/>
        </w:rPr>
        <w:t>Nature</w:t>
      </w:r>
      <w:r w:rsidRPr="00B15A2F">
        <w:rPr>
          <w:rFonts w:ascii="Calibri" w:hAnsi="Calibri" w:cs="Times New Roman"/>
          <w:noProof/>
          <w:szCs w:val="24"/>
        </w:rPr>
        <w:t xml:space="preserve">, </w:t>
      </w:r>
      <w:r w:rsidRPr="00B15A2F">
        <w:rPr>
          <w:rFonts w:ascii="Calibri" w:hAnsi="Calibri" w:cs="Times New Roman"/>
          <w:b/>
          <w:bCs/>
          <w:noProof/>
          <w:szCs w:val="24"/>
        </w:rPr>
        <w:t>398</w:t>
      </w:r>
      <w:r w:rsidRPr="00B15A2F">
        <w:rPr>
          <w:rFonts w:ascii="Calibri" w:hAnsi="Calibri" w:cs="Times New Roman"/>
          <w:noProof/>
          <w:szCs w:val="24"/>
        </w:rPr>
        <w:t>, 505–508.</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Nimmo, D.G., Mac Nally, R., Cunningham, S.C., Haslem,  a. &amp; Bennett,  a. F. (2015) Vive la résistance: </w:t>
      </w:r>
      <w:r w:rsidRPr="00B15A2F">
        <w:rPr>
          <w:rFonts w:ascii="Calibri" w:hAnsi="Calibri" w:cs="Times New Roman"/>
          <w:noProof/>
          <w:szCs w:val="24"/>
        </w:rPr>
        <w:lastRenderedPageBreak/>
        <w:t xml:space="preserve">reviving resistance for 21st century conservation. </w:t>
      </w:r>
      <w:r w:rsidRPr="00B15A2F">
        <w:rPr>
          <w:rFonts w:ascii="Calibri" w:hAnsi="Calibri" w:cs="Times New Roman"/>
          <w:i/>
          <w:iCs/>
          <w:noProof/>
          <w:szCs w:val="24"/>
        </w:rPr>
        <w:t>Trends in Ecology &amp; Evolution</w:t>
      </w:r>
      <w:r w:rsidRPr="00B15A2F">
        <w:rPr>
          <w:rFonts w:ascii="Calibri" w:hAnsi="Calibri" w:cs="Times New Roman"/>
          <w:noProof/>
          <w:szCs w:val="24"/>
        </w:rPr>
        <w:t>, 1–8.</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Olesen, C.R. &amp; Madsen, P. (2008) The impact of roe deer (Capreolus capreolus), seedbed, light and seed fall on natural beech (Fagus sylvatica) regeneration. </w:t>
      </w:r>
      <w:r w:rsidRPr="00B15A2F">
        <w:rPr>
          <w:rFonts w:ascii="Calibri" w:hAnsi="Calibri" w:cs="Times New Roman"/>
          <w:i/>
          <w:iCs/>
          <w:noProof/>
          <w:szCs w:val="24"/>
        </w:rPr>
        <w:t>Forest Ecology and Management</w:t>
      </w:r>
      <w:r w:rsidRPr="00B15A2F">
        <w:rPr>
          <w:rFonts w:ascii="Calibri" w:hAnsi="Calibri" w:cs="Times New Roman"/>
          <w:noProof/>
          <w:szCs w:val="24"/>
        </w:rPr>
        <w:t xml:space="preserve">, </w:t>
      </w:r>
      <w:r w:rsidRPr="00B15A2F">
        <w:rPr>
          <w:rFonts w:ascii="Calibri" w:hAnsi="Calibri" w:cs="Times New Roman"/>
          <w:b/>
          <w:bCs/>
          <w:noProof/>
          <w:szCs w:val="24"/>
        </w:rPr>
        <w:t>255</w:t>
      </w:r>
      <w:r w:rsidRPr="00B15A2F">
        <w:rPr>
          <w:rFonts w:ascii="Calibri" w:hAnsi="Calibri" w:cs="Times New Roman"/>
          <w:noProof/>
          <w:szCs w:val="24"/>
        </w:rPr>
        <w:t>, 3962–3972.</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Packham, J.R., Thomas, P. a., Atkinson, M.D. &amp; Degen, T. (2012) Biological Flora of the British Isles: Fagus sylvatica. </w:t>
      </w:r>
      <w:r w:rsidRPr="00B15A2F">
        <w:rPr>
          <w:rFonts w:ascii="Calibri" w:hAnsi="Calibri" w:cs="Times New Roman"/>
          <w:i/>
          <w:iCs/>
          <w:noProof/>
          <w:szCs w:val="24"/>
        </w:rPr>
        <w:t>Journal of Ecology</w:t>
      </w:r>
      <w:r w:rsidRPr="00B15A2F">
        <w:rPr>
          <w:rFonts w:ascii="Calibri" w:hAnsi="Calibri" w:cs="Times New Roman"/>
          <w:noProof/>
          <w:szCs w:val="24"/>
        </w:rPr>
        <w:t xml:space="preserve">, </w:t>
      </w:r>
      <w:r w:rsidRPr="00B15A2F">
        <w:rPr>
          <w:rFonts w:ascii="Calibri" w:hAnsi="Calibri" w:cs="Times New Roman"/>
          <w:b/>
          <w:bCs/>
          <w:noProof/>
          <w:szCs w:val="24"/>
        </w:rPr>
        <w:t>100</w:t>
      </w:r>
      <w:r w:rsidRPr="00B15A2F">
        <w:rPr>
          <w:rFonts w:ascii="Calibri" w:hAnsi="Calibri" w:cs="Times New Roman"/>
          <w:noProof/>
          <w:szCs w:val="24"/>
        </w:rPr>
        <w:t>, 1557–1608.</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Petraitis, P. (2013) </w:t>
      </w:r>
      <w:r w:rsidRPr="00B15A2F">
        <w:rPr>
          <w:rFonts w:ascii="Calibri" w:hAnsi="Calibri" w:cs="Times New Roman"/>
          <w:i/>
          <w:iCs/>
          <w:noProof/>
          <w:szCs w:val="24"/>
        </w:rPr>
        <w:t>Multiple Stable States in Natural Ecosystems</w:t>
      </w:r>
      <w:r w:rsidRPr="00B15A2F">
        <w:rPr>
          <w:rFonts w:ascii="Calibri" w:hAnsi="Calibri" w:cs="Times New Roman"/>
          <w:noProof/>
          <w:szCs w:val="24"/>
        </w:rPr>
        <w:t>. Oxford University Press.</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Petraitis, P.S. &amp; Hoffman, C. (2010) Multiple stable states and relationship between thresholds in processes and states. </w:t>
      </w:r>
      <w:r w:rsidRPr="00B15A2F">
        <w:rPr>
          <w:rFonts w:ascii="Calibri" w:hAnsi="Calibri" w:cs="Times New Roman"/>
          <w:i/>
          <w:iCs/>
          <w:noProof/>
          <w:szCs w:val="24"/>
        </w:rPr>
        <w:t>Marine Ecology Progress Series</w:t>
      </w:r>
      <w:r w:rsidRPr="00B15A2F">
        <w:rPr>
          <w:rFonts w:ascii="Calibri" w:hAnsi="Calibri" w:cs="Times New Roman"/>
          <w:noProof/>
          <w:szCs w:val="24"/>
        </w:rPr>
        <w:t xml:space="preserve">, </w:t>
      </w:r>
      <w:r w:rsidRPr="00B15A2F">
        <w:rPr>
          <w:rFonts w:ascii="Calibri" w:hAnsi="Calibri" w:cs="Times New Roman"/>
          <w:b/>
          <w:bCs/>
          <w:noProof/>
          <w:szCs w:val="24"/>
        </w:rPr>
        <w:t>413</w:t>
      </w:r>
      <w:r w:rsidRPr="00B15A2F">
        <w:rPr>
          <w:rFonts w:ascii="Calibri" w:hAnsi="Calibri" w:cs="Times New Roman"/>
          <w:noProof/>
          <w:szCs w:val="24"/>
        </w:rPr>
        <w:t>, 189–200.</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R Development Core Team. (2011) </w:t>
      </w:r>
      <w:r w:rsidRPr="00B15A2F">
        <w:rPr>
          <w:rFonts w:ascii="Calibri" w:hAnsi="Calibri" w:cs="Times New Roman"/>
          <w:i/>
          <w:iCs/>
          <w:noProof/>
          <w:szCs w:val="24"/>
        </w:rPr>
        <w:t>R: A Language and Environment for Statistical Computing</w:t>
      </w:r>
      <w:r w:rsidRPr="00B15A2F">
        <w:rPr>
          <w:rFonts w:ascii="Calibri" w:hAnsi="Calibri" w:cs="Times New Roman"/>
          <w:noProof/>
          <w:szCs w:val="24"/>
        </w:rPr>
        <w:t>. R Foundation for Statistical Computing, Vienna, Austria.</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B15A2F">
        <w:rPr>
          <w:rFonts w:ascii="Calibri" w:hAnsi="Calibri" w:cs="Times New Roman"/>
          <w:i/>
          <w:iCs/>
          <w:noProof/>
          <w:szCs w:val="24"/>
        </w:rPr>
        <w:t>Journal of Ecology</w:t>
      </w:r>
      <w:r w:rsidRPr="00B15A2F">
        <w:rPr>
          <w:rFonts w:ascii="Calibri" w:hAnsi="Calibri" w:cs="Times New Roman"/>
          <w:noProof/>
          <w:szCs w:val="24"/>
        </w:rPr>
        <w:t xml:space="preserve">, </w:t>
      </w:r>
      <w:r w:rsidRPr="00B15A2F">
        <w:rPr>
          <w:rFonts w:ascii="Calibri" w:hAnsi="Calibri" w:cs="Times New Roman"/>
          <w:b/>
          <w:bCs/>
          <w:noProof/>
          <w:szCs w:val="24"/>
        </w:rPr>
        <w:t>103</w:t>
      </w:r>
      <w:r w:rsidRPr="00B15A2F">
        <w:rPr>
          <w:rFonts w:ascii="Calibri" w:hAnsi="Calibri" w:cs="Times New Roman"/>
          <w:noProof/>
          <w:szCs w:val="24"/>
        </w:rPr>
        <w:t>, 5–15.</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Scheffer, M., Carpenter, S., Foley, J.A., Folke, C. &amp; Walker, B. (2001) Catastrophic shifts in ecosystems. </w:t>
      </w:r>
      <w:r w:rsidRPr="00B15A2F">
        <w:rPr>
          <w:rFonts w:ascii="Calibri" w:hAnsi="Calibri" w:cs="Times New Roman"/>
          <w:i/>
          <w:iCs/>
          <w:noProof/>
          <w:szCs w:val="24"/>
        </w:rPr>
        <w:t>Nature</w:t>
      </w:r>
      <w:r w:rsidRPr="00B15A2F">
        <w:rPr>
          <w:rFonts w:ascii="Calibri" w:hAnsi="Calibri" w:cs="Times New Roman"/>
          <w:noProof/>
          <w:szCs w:val="24"/>
        </w:rPr>
        <w:t xml:space="preserve">, </w:t>
      </w:r>
      <w:r w:rsidRPr="00B15A2F">
        <w:rPr>
          <w:rFonts w:ascii="Calibri" w:hAnsi="Calibri" w:cs="Times New Roman"/>
          <w:b/>
          <w:bCs/>
          <w:noProof/>
          <w:szCs w:val="24"/>
        </w:rPr>
        <w:t>413</w:t>
      </w:r>
      <w:r w:rsidRPr="00B15A2F">
        <w:rPr>
          <w:rFonts w:ascii="Calibri" w:hAnsi="Calibri" w:cs="Times New Roman"/>
          <w:noProof/>
          <w:szCs w:val="24"/>
        </w:rPr>
        <w:t>, 591–6.</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Scheffer, M., Hirota, M., Holmgren, M., Van Nes, E.H. &amp; Chapin, F.S. (2012) Thresholds for boreal biome transitions. </w:t>
      </w:r>
      <w:r w:rsidRPr="00B15A2F">
        <w:rPr>
          <w:rFonts w:ascii="Calibri" w:hAnsi="Calibri" w:cs="Times New Roman"/>
          <w:i/>
          <w:iCs/>
          <w:noProof/>
          <w:szCs w:val="24"/>
        </w:rPr>
        <w:t>Proceedings of the National Academy of Sciences of the United States of America</w:t>
      </w:r>
      <w:r w:rsidRPr="00B15A2F">
        <w:rPr>
          <w:rFonts w:ascii="Calibri" w:hAnsi="Calibri" w:cs="Times New Roman"/>
          <w:noProof/>
          <w:szCs w:val="24"/>
        </w:rPr>
        <w:t xml:space="preserve">, </w:t>
      </w:r>
      <w:r w:rsidRPr="00B15A2F">
        <w:rPr>
          <w:rFonts w:ascii="Calibri" w:hAnsi="Calibri" w:cs="Times New Roman"/>
          <w:b/>
          <w:bCs/>
          <w:noProof/>
          <w:szCs w:val="24"/>
        </w:rPr>
        <w:t>109</w:t>
      </w:r>
      <w:r w:rsidRPr="00B15A2F">
        <w:rPr>
          <w:rFonts w:ascii="Calibri" w:hAnsi="Calibri" w:cs="Times New Roman"/>
          <w:noProof/>
          <w:szCs w:val="24"/>
        </w:rPr>
        <w:t>, 21384–9.</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Schielzeth, H. (2010) Simple means to improve the interpretability of regression coefficients. </w:t>
      </w:r>
      <w:r w:rsidRPr="00B15A2F">
        <w:rPr>
          <w:rFonts w:ascii="Calibri" w:hAnsi="Calibri" w:cs="Times New Roman"/>
          <w:i/>
          <w:iCs/>
          <w:noProof/>
          <w:szCs w:val="24"/>
        </w:rPr>
        <w:t>Methods in Ecology and Evolution</w:t>
      </w:r>
      <w:r w:rsidRPr="00B15A2F">
        <w:rPr>
          <w:rFonts w:ascii="Calibri" w:hAnsi="Calibri" w:cs="Times New Roman"/>
          <w:noProof/>
          <w:szCs w:val="24"/>
        </w:rPr>
        <w:t xml:space="preserve">, </w:t>
      </w:r>
      <w:r w:rsidRPr="00B15A2F">
        <w:rPr>
          <w:rFonts w:ascii="Calibri" w:hAnsi="Calibri" w:cs="Times New Roman"/>
          <w:b/>
          <w:bCs/>
          <w:noProof/>
          <w:szCs w:val="24"/>
        </w:rPr>
        <w:t>1</w:t>
      </w:r>
      <w:r w:rsidRPr="00B15A2F">
        <w:rPr>
          <w:rFonts w:ascii="Calibri" w:hAnsi="Calibri" w:cs="Times New Roman"/>
          <w:noProof/>
          <w:szCs w:val="24"/>
        </w:rPr>
        <w:t>, 103–113.</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Scholes, R., Settele, J., Betts, R., Bunn, S., Leadley, P., Nepstad, D., Overpeck, J. &amp; Taboada, M.G. (2014) Terrestrial and inland water systems. </w:t>
      </w:r>
      <w:r w:rsidRPr="00B15A2F">
        <w:rPr>
          <w:rFonts w:ascii="Calibri" w:hAnsi="Calibri" w:cs="Times New Roman"/>
          <w:i/>
          <w:iCs/>
          <w:noProof/>
          <w:szCs w:val="24"/>
        </w:rPr>
        <w:t>Climate Change 2014: Impacts, Adaptation, and Vulnerability</w:t>
      </w:r>
      <w:r w:rsidRPr="00B15A2F">
        <w:rPr>
          <w:rFonts w:ascii="Calibri" w:hAnsi="Calibri" w:cs="Times New Roman"/>
          <w:noProof/>
          <w:szCs w:val="24"/>
        </w:rPr>
        <w:t xml:space="preserve"> (eds C. Field),, V. Barros),, K. Mach), &amp; M. Mastrandrea), pp. 271–360. Cambridge University Press, Cambridge.</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Seidl, R., Schelhaas, M., Rammer, W. &amp; Verkerk, P.J. (2014) Increasing forest disturbances in Europe and their impact on carbon storage. </w:t>
      </w:r>
      <w:r w:rsidRPr="00B15A2F">
        <w:rPr>
          <w:rFonts w:ascii="Calibri" w:hAnsi="Calibri" w:cs="Times New Roman"/>
          <w:i/>
          <w:iCs/>
          <w:noProof/>
          <w:szCs w:val="24"/>
        </w:rPr>
        <w:t>Nature Climate Change</w:t>
      </w:r>
      <w:r w:rsidRPr="00B15A2F">
        <w:rPr>
          <w:rFonts w:ascii="Calibri" w:hAnsi="Calibri" w:cs="Times New Roman"/>
          <w:noProof/>
          <w:szCs w:val="24"/>
        </w:rPr>
        <w:t>, 1–6.</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Seidl, R., Spies, T. a., Peterson, D.L., Stephens, S.L. &amp; Hicke, J. a. (2015) Searching for resilience: addressing the impacts of changing disturbance regimes on forest ecosystem services. </w:t>
      </w:r>
      <w:r w:rsidRPr="00B15A2F">
        <w:rPr>
          <w:rFonts w:ascii="Calibri" w:hAnsi="Calibri" w:cs="Times New Roman"/>
          <w:i/>
          <w:iCs/>
          <w:noProof/>
          <w:szCs w:val="24"/>
        </w:rPr>
        <w:t>Journal of Applied Ecology</w:t>
      </w:r>
      <w:r w:rsidRPr="00B15A2F">
        <w:rPr>
          <w:rFonts w:ascii="Calibri" w:hAnsi="Calibri" w:cs="Times New Roman"/>
          <w:noProof/>
          <w:szCs w:val="24"/>
        </w:rPr>
        <w:t>, n/a–n/a.</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Shade, A., Peter, H., Allison, S.D., Baho, D.L., Berga, M., Bürgmann, H., Huber, D.H., Langenheder, S., Lennon, J.T., Martiny, J.B.H., Matulich, K.L., Schmidt, T.M. &amp; Handelsman, J. (2012) Fundamentals of Microbial Community Resistance and Resilience. </w:t>
      </w:r>
      <w:r w:rsidRPr="00B15A2F">
        <w:rPr>
          <w:rFonts w:ascii="Calibri" w:hAnsi="Calibri" w:cs="Times New Roman"/>
          <w:i/>
          <w:iCs/>
          <w:noProof/>
          <w:szCs w:val="24"/>
        </w:rPr>
        <w:t>Frontiers in Microbiology</w:t>
      </w:r>
      <w:r w:rsidRPr="00B15A2F">
        <w:rPr>
          <w:rFonts w:ascii="Calibri" w:hAnsi="Calibri" w:cs="Times New Roman"/>
          <w:noProof/>
          <w:szCs w:val="24"/>
        </w:rPr>
        <w:t xml:space="preserve">, </w:t>
      </w:r>
      <w:r w:rsidRPr="00B15A2F">
        <w:rPr>
          <w:rFonts w:ascii="Calibri" w:hAnsi="Calibri" w:cs="Times New Roman"/>
          <w:b/>
          <w:bCs/>
          <w:noProof/>
          <w:szCs w:val="24"/>
        </w:rPr>
        <w:t>3</w:t>
      </w:r>
      <w:r w:rsidRPr="00B15A2F">
        <w:rPr>
          <w:rFonts w:ascii="Calibri" w:hAnsi="Calibri" w:cs="Times New Roman"/>
          <w:noProof/>
          <w:szCs w:val="24"/>
        </w:rPr>
        <w:t>, 1–19.</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t xml:space="preserve">Sheil, D., Burslem, D.F.R.P. &amp; Alder, D. (1995) The Interpretation and misinterpretation of mortality rate measures. </w:t>
      </w:r>
      <w:r w:rsidRPr="00B15A2F">
        <w:rPr>
          <w:rFonts w:ascii="Calibri" w:hAnsi="Calibri" w:cs="Times New Roman"/>
          <w:i/>
          <w:iCs/>
          <w:noProof/>
          <w:szCs w:val="24"/>
        </w:rPr>
        <w:t>Journal of Ecology</w:t>
      </w:r>
      <w:r w:rsidRPr="00B15A2F">
        <w:rPr>
          <w:rFonts w:ascii="Calibri" w:hAnsi="Calibri" w:cs="Times New Roman"/>
          <w:noProof/>
          <w:szCs w:val="24"/>
        </w:rPr>
        <w:t xml:space="preserve">, </w:t>
      </w:r>
      <w:r w:rsidRPr="00B15A2F">
        <w:rPr>
          <w:rFonts w:ascii="Calibri" w:hAnsi="Calibri" w:cs="Times New Roman"/>
          <w:b/>
          <w:bCs/>
          <w:noProof/>
          <w:szCs w:val="24"/>
        </w:rPr>
        <w:t>83</w:t>
      </w:r>
      <w:r w:rsidRPr="00B15A2F">
        <w:rPr>
          <w:rFonts w:ascii="Calibri" w:hAnsi="Calibri" w:cs="Times New Roman"/>
          <w:noProof/>
          <w:szCs w:val="24"/>
        </w:rPr>
        <w:t>, 331–333.</w:t>
      </w:r>
    </w:p>
    <w:p w:rsidR="00B15A2F" w:rsidRPr="00B15A2F" w:rsidRDefault="00B15A2F">
      <w:pPr>
        <w:widowControl w:val="0"/>
        <w:autoSpaceDE w:val="0"/>
        <w:autoSpaceDN w:val="0"/>
        <w:adjustRightInd w:val="0"/>
        <w:spacing w:after="140" w:line="288" w:lineRule="auto"/>
        <w:ind w:left="480" w:hanging="480"/>
        <w:rPr>
          <w:rFonts w:ascii="Calibri" w:hAnsi="Calibri" w:cs="Times New Roman"/>
          <w:noProof/>
          <w:szCs w:val="24"/>
        </w:rPr>
      </w:pPr>
      <w:r w:rsidRPr="00B15A2F">
        <w:rPr>
          <w:rFonts w:ascii="Calibri" w:hAnsi="Calibri" w:cs="Times New Roman"/>
          <w:noProof/>
          <w:szCs w:val="24"/>
        </w:rPr>
        <w:lastRenderedPageBreak/>
        <w:t xml:space="preserve">Sousa, W.. (2001) Natural disturbance and the dynamics of marine benthic communities. </w:t>
      </w:r>
      <w:r w:rsidRPr="00B15A2F">
        <w:rPr>
          <w:rFonts w:ascii="Calibri" w:hAnsi="Calibri" w:cs="Times New Roman"/>
          <w:i/>
          <w:iCs/>
          <w:noProof/>
          <w:szCs w:val="24"/>
        </w:rPr>
        <w:t>Marine Community Ecology</w:t>
      </w:r>
      <w:r w:rsidRPr="00B15A2F">
        <w:rPr>
          <w:rFonts w:ascii="Calibri" w:hAnsi="Calibri" w:cs="Times New Roman"/>
          <w:noProof/>
          <w:szCs w:val="24"/>
        </w:rPr>
        <w:t xml:space="preserve"> (eds M.D. Bertness),, S. Gaines), &amp; M.E. Hay), pp. 85–130. Sinauer Associates Inc., Sunderland , MA.</w:t>
      </w:r>
    </w:p>
    <w:p w:rsidR="00B15A2F" w:rsidRPr="00B15A2F" w:rsidRDefault="00B15A2F">
      <w:pPr>
        <w:widowControl w:val="0"/>
        <w:autoSpaceDE w:val="0"/>
        <w:autoSpaceDN w:val="0"/>
        <w:adjustRightInd w:val="0"/>
        <w:spacing w:after="140" w:line="288" w:lineRule="auto"/>
        <w:ind w:left="480" w:hanging="480"/>
        <w:rPr>
          <w:rFonts w:ascii="Calibri" w:hAnsi="Calibri"/>
          <w:noProof/>
        </w:rPr>
      </w:pPr>
      <w:r w:rsidRPr="00B15A2F">
        <w:rPr>
          <w:rFonts w:ascii="Calibri" w:hAnsi="Calibri" w:cs="Times New Roman"/>
          <w:noProof/>
          <w:szCs w:val="24"/>
        </w:rPr>
        <w:t>Wilensky, U. (1999) Netlogo.</w:t>
      </w:r>
    </w:p>
    <w:p w:rsidR="00F11B0B" w:rsidRPr="004E3A00" w:rsidRDefault="00F11B0B" w:rsidP="00B15A2F">
      <w:pPr>
        <w:widowControl w:val="0"/>
        <w:autoSpaceDE w:val="0"/>
        <w:autoSpaceDN w:val="0"/>
        <w:adjustRightInd w:val="0"/>
        <w:spacing w:after="140" w:line="288" w:lineRule="auto"/>
        <w:ind w:left="480" w:hanging="480"/>
      </w:pPr>
      <w:r w:rsidRPr="004E3A00">
        <w:fldChar w:fldCharType="end"/>
      </w:r>
    </w:p>
    <w:p w:rsidR="00F11B0B" w:rsidRPr="004E3A00" w:rsidRDefault="00F11B0B" w:rsidP="00F11B0B">
      <w:pPr>
        <w:spacing w:line="360" w:lineRule="auto"/>
        <w:contextualSpacing/>
      </w:pP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Figures</w:t>
      </w:r>
    </w:p>
    <w:p w:rsidR="00A87DA1" w:rsidRDefault="00A05E5E"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35AEAE6F" wp14:editId="0966A9A0">
            <wp:extent cx="5731510" cy="2865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ling_sapl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A05E5E" w:rsidRPr="004E3A00" w:rsidRDefault="00A05E5E" w:rsidP="00F11B0B">
      <w:pPr>
        <w:spacing w:before="40" w:after="140" w:line="360" w:lineRule="auto"/>
        <w:contextualSpacing/>
        <w:rPr>
          <w:rFonts w:ascii="Arial" w:eastAsia="Times New Roman" w:hAnsi="Arial" w:cs="Arial"/>
          <w:color w:val="000000"/>
          <w:lang w:eastAsia="en-GB"/>
        </w:rPr>
      </w:pPr>
      <w:commentRangeStart w:id="7"/>
      <w:r>
        <w:rPr>
          <w:rFonts w:ascii="Arial" w:eastAsia="Times New Roman" w:hAnsi="Arial" w:cs="Arial"/>
          <w:color w:val="000000"/>
          <w:lang w:eastAsia="en-GB"/>
        </w:rPr>
        <w:t>Figure 1 – Relationship between density of beech (a) seedlings and (b) saplings and canopy openness in woodlands in the New Forest showing signs of die-off. Solid lines represent predictions from averaging of mixed effects model coefficients.</w:t>
      </w:r>
      <w:commentRangeEnd w:id="7"/>
      <w:r w:rsidR="00A824A1">
        <w:rPr>
          <w:rStyle w:val="CommentReference"/>
        </w:rPr>
        <w:commentReference w:id="7"/>
      </w:r>
    </w:p>
    <w:p w:rsidR="00A87DA1" w:rsidRPr="004E3A00" w:rsidRDefault="00C049AF" w:rsidP="00F11B0B">
      <w:pPr>
        <w:spacing w:before="40" w:after="140" w:line="360" w:lineRule="auto"/>
        <w:contextualSpacing/>
        <w:rPr>
          <w:rFonts w:ascii="Arial" w:eastAsia="Times New Roman" w:hAnsi="Arial" w:cs="Arial"/>
          <w:color w:val="000000"/>
          <w:lang w:eastAsia="en-GB"/>
        </w:rPr>
      </w:pPr>
      <w:r w:rsidRPr="004E3A00">
        <w:rPr>
          <w:rFonts w:ascii="Arial" w:eastAsia="Times New Roman" w:hAnsi="Arial" w:cs="Arial"/>
          <w:noProof/>
          <w:color w:val="000000"/>
          <w:lang w:eastAsia="en-GB"/>
        </w:rPr>
        <w:lastRenderedPageBreak/>
        <w:drawing>
          <wp:inline distT="0" distB="0" distL="0" distR="0" wp14:anchorId="428615AC" wp14:editId="2CFA4A51">
            <wp:extent cx="5731510" cy="4093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C049AF" w:rsidRPr="004E3A00" w:rsidRDefault="00C049AF" w:rsidP="00C049AF">
      <w:pPr>
        <w:pStyle w:val="NormalWeb"/>
        <w:contextualSpacing/>
        <w:rPr>
          <w:rFonts w:ascii="Arial" w:hAnsi="Arial" w:cs="Arial"/>
        </w:rPr>
      </w:pPr>
      <w:r w:rsidRPr="004E3A00">
        <w:rPr>
          <w:rFonts w:ascii="Arial" w:hAnsi="Arial" w:cs="Arial"/>
        </w:rPr>
        <w:t>Figure 2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Note that that both x and y axes are log transformed.</w:t>
      </w: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BB3023" w:rsidP="00A87DA1">
      <w:pPr>
        <w:spacing w:line="360" w:lineRule="auto"/>
        <w:contextualSpacing/>
        <w:rPr>
          <w:rFonts w:ascii="Arial" w:hAnsi="Arial" w:cs="Arial"/>
        </w:rPr>
      </w:pPr>
      <w:r>
        <w:rPr>
          <w:rFonts w:ascii="Arial" w:hAnsi="Arial" w:cs="Arial"/>
          <w:noProof/>
          <w:lang w:eastAsia="en-GB"/>
        </w:rPr>
        <w:lastRenderedPageBreak/>
        <w:drawing>
          <wp:inline distT="0" distB="0" distL="0" distR="0" wp14:anchorId="1901CF4F" wp14:editId="757AC0EB">
            <wp:extent cx="5731510" cy="3439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dea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rsidR="00A87DA1" w:rsidRPr="00BB3023" w:rsidRDefault="00C049AF" w:rsidP="00BB3023">
      <w:pPr>
        <w:spacing w:line="360" w:lineRule="auto"/>
        <w:contextualSpacing/>
        <w:rPr>
          <w:rFonts w:ascii="Arial" w:hAnsi="Arial" w:cs="Arial"/>
          <w:sz w:val="24"/>
        </w:rPr>
      </w:pPr>
      <w:commentRangeStart w:id="8"/>
      <w:r w:rsidRPr="00BB3023">
        <w:rPr>
          <w:rFonts w:ascii="Arial" w:hAnsi="Arial" w:cs="Arial"/>
          <w:sz w:val="24"/>
        </w:rPr>
        <w:t>Figure 3</w:t>
      </w:r>
      <w:r w:rsidR="00A87DA1" w:rsidRPr="00BB3023">
        <w:rPr>
          <w:rFonts w:ascii="Arial" w:hAnsi="Arial" w:cs="Arial"/>
          <w:sz w:val="24"/>
        </w:rPr>
        <w:t xml:space="preserve"> – Relationship between annual probability of beech tree death (a) growth rate per year, (b) diameter at breast height, (c) distance to nearest dead tree and (d) sand content of soil. Lines represent predictions generated from model-averaged parameter estimates.</w:t>
      </w:r>
      <w:commentRangeEnd w:id="8"/>
      <w:r w:rsidR="00A824A1">
        <w:rPr>
          <w:rStyle w:val="CommentReference"/>
        </w:rPr>
        <w:commentReference w:id="8"/>
      </w: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A05E5E"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lastRenderedPageBreak/>
        <w:drawing>
          <wp:inline distT="0" distB="0" distL="0" distR="0" wp14:anchorId="0147F28F" wp14:editId="4030FCBD">
            <wp:extent cx="5731510" cy="45853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_resul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772722" w:rsidRPr="004E3A00" w:rsidRDefault="00F11B0B" w:rsidP="00F11B0B">
      <w:pPr>
        <w:spacing w:before="40" w:after="140" w:line="360" w:lineRule="auto"/>
        <w:contextualSpacing/>
        <w:rPr>
          <w:rFonts w:ascii="Arial" w:eastAsia="Times New Roman" w:hAnsi="Arial" w:cs="Arial"/>
          <w:color w:val="000000"/>
          <w:lang w:eastAsia="en-GB"/>
        </w:rPr>
      </w:pPr>
      <w:commentRangeStart w:id="9"/>
      <w:commentRangeStart w:id="10"/>
      <w:r w:rsidRPr="004E3A00">
        <w:rPr>
          <w:rFonts w:ascii="Arial" w:eastAsia="Times New Roman" w:hAnsi="Arial" w:cs="Arial"/>
          <w:color w:val="000000"/>
          <w:lang w:eastAsia="en-GB"/>
        </w:rPr>
        <w:t>F</w:t>
      </w:r>
      <w:r w:rsidR="00C049AF" w:rsidRPr="004E3A00">
        <w:rPr>
          <w:rFonts w:ascii="Arial" w:eastAsia="Times New Roman" w:hAnsi="Arial" w:cs="Arial"/>
          <w:color w:val="000000"/>
          <w:lang w:eastAsia="en-GB"/>
        </w:rPr>
        <w:t>igure 4</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The effect of feedbacks in mature tree death and juvenile mortality with varying probability of juvenile death on basal area from 1964 to 2114. Coloured lines represent mean basal area at each model time step with band representing the mean ± 1 SD. Black lines represent field observations from 1964 – 2014 to allow comparison between model results and real data.</w:t>
      </w:r>
      <w:commentRangeEnd w:id="9"/>
      <w:r w:rsidR="002B700A" w:rsidRPr="004E3A00">
        <w:rPr>
          <w:rStyle w:val="CommentReference"/>
        </w:rPr>
        <w:commentReference w:id="9"/>
      </w:r>
      <w:commentRangeEnd w:id="10"/>
      <w:r w:rsidR="00A824A1">
        <w:rPr>
          <w:rStyle w:val="CommentReference"/>
        </w:rPr>
        <w:commentReference w:id="10"/>
      </w:r>
    </w:p>
    <w:p w:rsidR="00772722" w:rsidRPr="004E3A00" w:rsidRDefault="00772722" w:rsidP="00F11B0B">
      <w:pPr>
        <w:spacing w:before="40" w:after="140" w:line="360" w:lineRule="auto"/>
        <w:contextualSpacing/>
        <w:rPr>
          <w:rFonts w:ascii="Arial" w:eastAsia="Times New Roman" w:hAnsi="Arial" w:cs="Arial"/>
          <w:color w:val="000000"/>
          <w:lang w:eastAsia="en-GB"/>
        </w:rPr>
      </w:pPr>
    </w:p>
    <w:p w:rsidR="00A87DA1" w:rsidRPr="004E3A00" w:rsidRDefault="00A824A1"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color w:val="000000"/>
          <w:lang w:eastAsia="en-GB"/>
        </w:rPr>
        <w:t>Important that we show that even under high mortality you don’t get non-linearity</w:t>
      </w:r>
    </w:p>
    <w:p w:rsidR="00772722" w:rsidRPr="004E3A00" w:rsidRDefault="00772722">
      <w:pPr>
        <w:rPr>
          <w:rFonts w:ascii="Arial" w:eastAsia="Times New Roman" w:hAnsi="Arial" w:cs="Arial"/>
          <w:color w:val="000000"/>
          <w:lang w:eastAsia="en-GB"/>
        </w:rPr>
      </w:pPr>
      <w:r w:rsidRPr="004E3A00">
        <w:rPr>
          <w:rFonts w:ascii="Arial" w:eastAsia="Times New Roman" w:hAnsi="Arial" w:cs="Arial"/>
          <w:color w:val="000000"/>
          <w:lang w:eastAsia="en-GB"/>
        </w:rPr>
        <w:br w:type="page"/>
      </w: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commentRangeStart w:id="11"/>
      <w:proofErr w:type="gramStart"/>
      <w:r w:rsidRPr="004E3A00">
        <w:rPr>
          <w:rFonts w:ascii="Arial" w:eastAsia="Times New Roman" w:hAnsi="Arial" w:cs="Arial"/>
          <w:color w:val="000000"/>
          <w:lang w:eastAsia="en-GB"/>
        </w:rPr>
        <w:lastRenderedPageBreak/>
        <w:t xml:space="preserve">Table 1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Summary of recruitment and mortality of saplings in Denny wood from 1964 to 2014.</w:t>
      </w:r>
      <w:commentRangeEnd w:id="11"/>
      <w:proofErr w:type="gramEnd"/>
      <w:r w:rsidR="00B06D6E">
        <w:rPr>
          <w:rStyle w:val="CommentReference"/>
        </w:rPr>
        <w:commentReference w:id="11"/>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770"/>
        <w:gridCol w:w="770"/>
        <w:gridCol w:w="770"/>
        <w:gridCol w:w="770"/>
        <w:gridCol w:w="770"/>
        <w:gridCol w:w="771"/>
        <w:gridCol w:w="770"/>
        <w:gridCol w:w="770"/>
        <w:gridCol w:w="771"/>
      </w:tblGrid>
      <w:tr w:rsidR="00A87DA1" w:rsidRPr="004E3A00" w:rsidTr="00BA763D">
        <w:tc>
          <w:tcPr>
            <w:tcW w:w="2310" w:type="dxa"/>
            <w:tcBorders>
              <w:top w:val="single" w:sz="4" w:space="0" w:color="auto"/>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Census period</w:t>
            </w:r>
          </w:p>
        </w:tc>
        <w:tc>
          <w:tcPr>
            <w:tcW w:w="2310" w:type="dxa"/>
            <w:gridSpan w:val="3"/>
            <w:tcBorders>
              <w:top w:val="single" w:sz="4" w:space="0" w:color="auto"/>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Proportion of saplings that died</w:t>
            </w:r>
          </w:p>
        </w:tc>
        <w:tc>
          <w:tcPr>
            <w:tcW w:w="2311" w:type="dxa"/>
            <w:gridSpan w:val="3"/>
            <w:tcBorders>
              <w:top w:val="single" w:sz="4" w:space="0" w:color="auto"/>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Proportion of saplings that increased to &gt;10 cm DBH</w:t>
            </w:r>
          </w:p>
        </w:tc>
        <w:tc>
          <w:tcPr>
            <w:tcW w:w="2311" w:type="dxa"/>
            <w:gridSpan w:val="3"/>
            <w:tcBorders>
              <w:top w:val="single" w:sz="4" w:space="0" w:color="auto"/>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Annual mortality rate of saplings</w:t>
            </w:r>
          </w:p>
        </w:tc>
      </w:tr>
      <w:tr w:rsidR="00A87DA1" w:rsidRPr="004E3A00" w:rsidTr="00BA763D">
        <w:tc>
          <w:tcPr>
            <w:tcW w:w="2310" w:type="dxa"/>
            <w:tcBorders>
              <w:top w:val="single" w:sz="4" w:space="0" w:color="auto"/>
            </w:tcBorders>
            <w:vAlign w:val="center"/>
          </w:tcPr>
          <w:p w:rsidR="00A87DA1" w:rsidRPr="004E3A00" w:rsidRDefault="00A87DA1" w:rsidP="00BA763D">
            <w:pPr>
              <w:spacing w:line="360" w:lineRule="auto"/>
              <w:contextualSpacing/>
              <w:jc w:val="center"/>
              <w:rPr>
                <w:rFonts w:ascii="Arial" w:hAnsi="Arial" w:cs="Arial"/>
              </w:rPr>
            </w:pP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Beech</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Oak</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Holly</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Beech</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Oak</w:t>
            </w:r>
          </w:p>
        </w:tc>
        <w:tc>
          <w:tcPr>
            <w:tcW w:w="771"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Holly</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Beech</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Oak</w:t>
            </w:r>
          </w:p>
        </w:tc>
        <w:tc>
          <w:tcPr>
            <w:tcW w:w="771"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Holly</w:t>
            </w:r>
          </w:p>
        </w:tc>
      </w:tr>
      <w:tr w:rsidR="00A87DA1" w:rsidRPr="004E3A00" w:rsidTr="00BA763D">
        <w:tc>
          <w:tcPr>
            <w:tcW w:w="2310" w:type="dxa"/>
            <w:tcBorders>
              <w:top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1964-1984</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0.56</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w:t>
            </w:r>
          </w:p>
        </w:tc>
        <w:tc>
          <w:tcPr>
            <w:tcW w:w="770" w:type="dxa"/>
            <w:tcBorders>
              <w:top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0.78</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0.14</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1.00</w:t>
            </w:r>
          </w:p>
        </w:tc>
        <w:tc>
          <w:tcPr>
            <w:tcW w:w="771" w:type="dxa"/>
            <w:tcBorders>
              <w:top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0.04</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4.07%</w:t>
            </w:r>
          </w:p>
        </w:tc>
        <w:tc>
          <w:tcPr>
            <w:tcW w:w="770" w:type="dxa"/>
            <w:tcBorders>
              <w:top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w:t>
            </w:r>
          </w:p>
        </w:tc>
        <w:tc>
          <w:tcPr>
            <w:tcW w:w="771" w:type="dxa"/>
            <w:tcBorders>
              <w:top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7.20%</w:t>
            </w:r>
          </w:p>
        </w:tc>
      </w:tr>
      <w:tr w:rsidR="00A87DA1" w:rsidRPr="004E3A00" w:rsidTr="00BA763D">
        <w:tc>
          <w:tcPr>
            <w:tcW w:w="2310" w:type="dxa"/>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1984-1988</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0.11</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0"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0.22</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0.2</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0.01</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2.79%</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5.91%</w:t>
            </w:r>
          </w:p>
        </w:tc>
      </w:tr>
      <w:tr w:rsidR="00A87DA1" w:rsidRPr="004E3A00" w:rsidTr="00BA763D">
        <w:tc>
          <w:tcPr>
            <w:tcW w:w="2310" w:type="dxa"/>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1988-1996</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0.15</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0"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0.25</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0.32</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0.08</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2.01%</w:t>
            </w:r>
          </w:p>
        </w:tc>
        <w:tc>
          <w:tcPr>
            <w:tcW w:w="770" w:type="dxa"/>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vAlign w:val="center"/>
          </w:tcPr>
          <w:p w:rsidR="00A87DA1" w:rsidRPr="004E3A00" w:rsidRDefault="00A87DA1" w:rsidP="00BA763D">
            <w:pPr>
              <w:jc w:val="center"/>
              <w:rPr>
                <w:rFonts w:ascii="Calibri" w:hAnsi="Calibri"/>
                <w:color w:val="000000"/>
              </w:rPr>
            </w:pPr>
            <w:r w:rsidRPr="004E3A00">
              <w:rPr>
                <w:rFonts w:ascii="Calibri" w:hAnsi="Calibri"/>
                <w:color w:val="000000"/>
              </w:rPr>
              <w:t>3.53%</w:t>
            </w:r>
          </w:p>
        </w:tc>
      </w:tr>
      <w:tr w:rsidR="00A87DA1" w:rsidRPr="004E3A00" w:rsidTr="00BA763D">
        <w:tc>
          <w:tcPr>
            <w:tcW w:w="2310" w:type="dxa"/>
            <w:tcBorders>
              <w:bottom w:val="single" w:sz="4" w:space="0" w:color="auto"/>
            </w:tcBorders>
            <w:vAlign w:val="center"/>
          </w:tcPr>
          <w:p w:rsidR="00A87DA1" w:rsidRPr="004E3A00" w:rsidRDefault="00A87DA1" w:rsidP="00BA763D">
            <w:pPr>
              <w:spacing w:line="360" w:lineRule="auto"/>
              <w:contextualSpacing/>
              <w:jc w:val="center"/>
              <w:rPr>
                <w:rFonts w:ascii="Arial" w:hAnsi="Arial" w:cs="Arial"/>
              </w:rPr>
            </w:pPr>
            <w:r w:rsidRPr="004E3A00">
              <w:rPr>
                <w:rFonts w:ascii="Arial" w:hAnsi="Arial" w:cs="Arial"/>
              </w:rPr>
              <w:t>1996-2014</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0.09</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0" w:type="dxa"/>
            <w:tcBorders>
              <w:bottom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0.62</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0.61</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tcBorders>
              <w:bottom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0.16</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0.50%</w:t>
            </w:r>
          </w:p>
        </w:tc>
        <w:tc>
          <w:tcPr>
            <w:tcW w:w="770" w:type="dxa"/>
            <w:tcBorders>
              <w:bottom w:val="single" w:sz="4" w:space="0" w:color="auto"/>
            </w:tcBorders>
            <w:vAlign w:val="center"/>
          </w:tcPr>
          <w:p w:rsidR="00A87DA1" w:rsidRPr="004E3A00" w:rsidRDefault="00A87DA1" w:rsidP="00BA763D">
            <w:pPr>
              <w:contextualSpacing/>
              <w:jc w:val="center"/>
              <w:rPr>
                <w:rFonts w:ascii="Calibri" w:hAnsi="Calibri"/>
                <w:color w:val="000000"/>
              </w:rPr>
            </w:pPr>
            <w:r w:rsidRPr="004E3A00">
              <w:rPr>
                <w:rFonts w:ascii="Calibri" w:hAnsi="Calibri"/>
                <w:color w:val="000000"/>
              </w:rPr>
              <w:t>NA</w:t>
            </w:r>
          </w:p>
        </w:tc>
        <w:tc>
          <w:tcPr>
            <w:tcW w:w="771" w:type="dxa"/>
            <w:tcBorders>
              <w:bottom w:val="single" w:sz="4" w:space="0" w:color="auto"/>
            </w:tcBorders>
            <w:vAlign w:val="center"/>
          </w:tcPr>
          <w:p w:rsidR="00A87DA1" w:rsidRPr="004E3A00" w:rsidRDefault="00A87DA1" w:rsidP="00BA763D">
            <w:pPr>
              <w:jc w:val="center"/>
              <w:rPr>
                <w:rFonts w:ascii="Calibri" w:hAnsi="Calibri"/>
                <w:color w:val="000000"/>
              </w:rPr>
            </w:pPr>
            <w:r w:rsidRPr="004E3A00">
              <w:rPr>
                <w:rFonts w:ascii="Calibri" w:hAnsi="Calibri"/>
                <w:color w:val="000000"/>
              </w:rPr>
              <w:t>5.22%</w:t>
            </w:r>
          </w:p>
        </w:tc>
      </w:tr>
    </w:tbl>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Table 2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Coefficients of beech tree mortality from 1964 to 2014 produced from model averaging of mixed effect complementary log-log models with ΔAICc≤7.</w:t>
      </w:r>
    </w:p>
    <w:tbl>
      <w:tblPr>
        <w:tblW w:w="8913" w:type="dxa"/>
        <w:tblInd w:w="93" w:type="dxa"/>
        <w:tblLook w:val="04A0" w:firstRow="1" w:lastRow="0" w:firstColumn="1" w:lastColumn="0" w:noHBand="0" w:noVBand="1"/>
      </w:tblPr>
      <w:tblGrid>
        <w:gridCol w:w="1120"/>
        <w:gridCol w:w="1420"/>
        <w:gridCol w:w="1320"/>
        <w:gridCol w:w="1420"/>
        <w:gridCol w:w="1420"/>
        <w:gridCol w:w="939"/>
        <w:gridCol w:w="1274"/>
      </w:tblGrid>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Std. Error</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Upper CI</w:t>
            </w:r>
          </w:p>
        </w:tc>
        <w:tc>
          <w:tcPr>
            <w:tcW w:w="939"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p value</w:t>
            </w:r>
          </w:p>
        </w:tc>
        <w:tc>
          <w:tcPr>
            <w:tcW w:w="1274"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Importance value</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-5.12</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-5.43</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-4.82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1</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0.21</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0.05</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0.31</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0.8</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-0.24</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-0.36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-0.12</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0.53</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-0.59</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-0.70</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-0.47</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1</w:t>
            </w:r>
          </w:p>
        </w:tc>
      </w:tr>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Sand content</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-0.27</w:t>
            </w:r>
          </w:p>
        </w:tc>
        <w:tc>
          <w:tcPr>
            <w:tcW w:w="13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0.01</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-0.29</w:t>
            </w:r>
          </w:p>
        </w:tc>
        <w:tc>
          <w:tcPr>
            <w:tcW w:w="1420"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-0.26</w:t>
            </w:r>
          </w:p>
        </w:tc>
        <w:tc>
          <w:tcPr>
            <w:tcW w:w="939"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A87DA1" w:rsidRPr="004E3A00" w:rsidRDefault="00A87DA1"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0.45</w:t>
            </w:r>
          </w:p>
        </w:tc>
      </w:tr>
    </w:tbl>
    <w:p w:rsidR="00F11B0B" w:rsidRPr="004E3A00" w:rsidRDefault="00F11B0B" w:rsidP="00F11B0B">
      <w:pPr>
        <w:spacing w:line="360" w:lineRule="auto"/>
        <w:contextualSpacing/>
      </w:pPr>
    </w:p>
    <w:p w:rsidR="006A0E4E" w:rsidRPr="004E3A00" w:rsidRDefault="006A0E4E" w:rsidP="00F11B0B">
      <w:pPr>
        <w:spacing w:line="360" w:lineRule="auto"/>
        <w:contextualSpacing/>
      </w:pPr>
      <w:r w:rsidRPr="004E3A00">
        <w:t>Table 3 – Parameter values for individual based model</w:t>
      </w:r>
    </w:p>
    <w:tbl>
      <w:tblPr>
        <w:tblStyle w:val="TableGrid"/>
        <w:tblW w:w="0" w:type="auto"/>
        <w:tblLook w:val="04A0" w:firstRow="1" w:lastRow="0" w:firstColumn="1" w:lastColumn="0" w:noHBand="0" w:noVBand="1"/>
      </w:tblPr>
      <w:tblGrid>
        <w:gridCol w:w="2310"/>
        <w:gridCol w:w="2310"/>
        <w:gridCol w:w="2311"/>
        <w:gridCol w:w="2311"/>
      </w:tblGrid>
      <w:tr w:rsidR="006A0E4E" w:rsidRPr="004E3A00" w:rsidTr="00BA763D">
        <w:tc>
          <w:tcPr>
            <w:tcW w:w="2310" w:type="dxa"/>
            <w:vAlign w:val="bottom"/>
          </w:tcPr>
          <w:p w:rsidR="006A0E4E" w:rsidRPr="004E3A00" w:rsidRDefault="006A0E4E">
            <w:pPr>
              <w:rPr>
                <w:rFonts w:ascii="Calibri" w:hAnsi="Calibri"/>
                <w:b/>
                <w:color w:val="000000"/>
              </w:rPr>
            </w:pPr>
            <w:r w:rsidRPr="004E3A00">
              <w:rPr>
                <w:rFonts w:ascii="Calibri" w:hAnsi="Calibri"/>
                <w:b/>
                <w:color w:val="000000"/>
              </w:rPr>
              <w:t>Parameter name</w:t>
            </w:r>
          </w:p>
        </w:tc>
        <w:tc>
          <w:tcPr>
            <w:tcW w:w="2310" w:type="dxa"/>
            <w:vAlign w:val="bottom"/>
          </w:tcPr>
          <w:p w:rsidR="006A0E4E" w:rsidRPr="004E3A00" w:rsidRDefault="006A0E4E">
            <w:pPr>
              <w:rPr>
                <w:rFonts w:ascii="Calibri" w:hAnsi="Calibri"/>
                <w:b/>
                <w:color w:val="000000"/>
              </w:rPr>
            </w:pPr>
            <w:r w:rsidRPr="004E3A00">
              <w:rPr>
                <w:rFonts w:ascii="Calibri" w:hAnsi="Calibri"/>
                <w:b/>
                <w:color w:val="000000"/>
              </w:rPr>
              <w:t>Sources</w:t>
            </w:r>
          </w:p>
        </w:tc>
        <w:tc>
          <w:tcPr>
            <w:tcW w:w="2311" w:type="dxa"/>
            <w:vAlign w:val="bottom"/>
          </w:tcPr>
          <w:p w:rsidR="006A0E4E" w:rsidRPr="004E3A00" w:rsidRDefault="006A0E4E">
            <w:pPr>
              <w:rPr>
                <w:rFonts w:ascii="Calibri" w:hAnsi="Calibri"/>
                <w:b/>
                <w:color w:val="000000"/>
              </w:rPr>
            </w:pPr>
            <w:r w:rsidRPr="004E3A00">
              <w:rPr>
                <w:rFonts w:ascii="Calibri" w:hAnsi="Calibri"/>
                <w:b/>
                <w:color w:val="000000"/>
              </w:rPr>
              <w:t>How derived</w:t>
            </w:r>
          </w:p>
        </w:tc>
        <w:tc>
          <w:tcPr>
            <w:tcW w:w="2311" w:type="dxa"/>
            <w:vAlign w:val="bottom"/>
          </w:tcPr>
          <w:p w:rsidR="006A0E4E" w:rsidRPr="004E3A00" w:rsidRDefault="006A0E4E">
            <w:pPr>
              <w:rPr>
                <w:rFonts w:ascii="Calibri" w:hAnsi="Calibri"/>
                <w:b/>
                <w:color w:val="000000"/>
              </w:rPr>
            </w:pPr>
            <w:r w:rsidRPr="004E3A00">
              <w:rPr>
                <w:rFonts w:ascii="Calibri" w:hAnsi="Calibri"/>
                <w:b/>
                <w:color w:val="000000"/>
              </w:rPr>
              <w:t>Value</w:t>
            </w:r>
          </w:p>
        </w:tc>
      </w:tr>
      <w:tr w:rsidR="006A0E4E" w:rsidRPr="004E3A00" w:rsidTr="006A0E4E">
        <w:tc>
          <w:tcPr>
            <w:tcW w:w="2310" w:type="dxa"/>
          </w:tcPr>
          <w:p w:rsidR="006A0E4E" w:rsidRPr="004E3A00" w:rsidRDefault="006A0E4E" w:rsidP="00F11B0B">
            <w:pPr>
              <w:spacing w:line="360" w:lineRule="auto"/>
              <w:contextualSpacing/>
            </w:pPr>
            <w:r w:rsidRPr="004E3A00">
              <w:t>Number of seedlings produced in mast year per tree</w:t>
            </w:r>
          </w:p>
        </w:tc>
        <w:tc>
          <w:tcPr>
            <w:tcW w:w="2310" w:type="dxa"/>
          </w:tcPr>
          <w:p w:rsidR="006A0E4E" w:rsidRPr="004E3A00" w:rsidRDefault="006A0E4E" w:rsidP="00F11B0B">
            <w:pPr>
              <w:spacing w:line="360" w:lineRule="auto"/>
              <w:contextualSpacing/>
            </w:pPr>
            <w:r w:rsidRPr="004E3A00">
              <w:fldChar w:fldCharType="begin" w:fldLock="1"/>
            </w:r>
            <w:r w:rsidR="00EC6C08" w:rsidRPr="004E3A00">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4E3A00">
              <w:fldChar w:fldCharType="separate"/>
            </w:r>
            <w:r w:rsidR="00732C7B" w:rsidRPr="004E3A00">
              <w:rPr>
                <w:noProof/>
              </w:rPr>
              <w:t>(Olesen &amp; Madsen 2008)</w:t>
            </w:r>
            <w:r w:rsidRPr="004E3A00">
              <w:fldChar w:fldCharType="end"/>
            </w:r>
          </w:p>
        </w:tc>
        <w:tc>
          <w:tcPr>
            <w:tcW w:w="2311" w:type="dxa"/>
          </w:tcPr>
          <w:p w:rsidR="006A0E4E" w:rsidRPr="004E3A00" w:rsidRDefault="006A0E4E" w:rsidP="006A0E4E">
            <w:pPr>
              <w:rPr>
                <w:rFonts w:ascii="Calibri" w:hAnsi="Calibri"/>
                <w:color w:val="000000"/>
              </w:rPr>
            </w:pPr>
            <w:r w:rsidRPr="004E3A00">
              <w:rPr>
                <w:rFonts w:ascii="Calibri" w:hAnsi="Calibri"/>
                <w:color w:val="000000"/>
              </w:rPr>
              <w:t>Mean of number of seedlings present after a mast year divided by the number of mature beech trees in the woodland.</w:t>
            </w:r>
          </w:p>
        </w:tc>
        <w:tc>
          <w:tcPr>
            <w:tcW w:w="2311" w:type="dxa"/>
          </w:tcPr>
          <w:p w:rsidR="006A0E4E" w:rsidRPr="004E3A00" w:rsidRDefault="006A0E4E" w:rsidP="00F11B0B">
            <w:pPr>
              <w:spacing w:line="360" w:lineRule="auto"/>
              <w:contextualSpacing/>
            </w:pPr>
            <w:r w:rsidRPr="004E3A00">
              <w:t>82 (26)</w:t>
            </w:r>
          </w:p>
        </w:tc>
      </w:tr>
      <w:tr w:rsidR="006A0E4E" w:rsidRPr="004E3A00" w:rsidTr="006A0E4E">
        <w:tc>
          <w:tcPr>
            <w:tcW w:w="2310" w:type="dxa"/>
          </w:tcPr>
          <w:p w:rsidR="006A0E4E" w:rsidRPr="004E3A00" w:rsidRDefault="006A0E4E" w:rsidP="00F11B0B">
            <w:pPr>
              <w:spacing w:line="360" w:lineRule="auto"/>
              <w:contextualSpacing/>
            </w:pPr>
            <w:r w:rsidRPr="004E3A00">
              <w:t>Juvenile height growth rate in gaps</w:t>
            </w:r>
          </w:p>
        </w:tc>
        <w:tc>
          <w:tcPr>
            <w:tcW w:w="2310" w:type="dxa"/>
          </w:tcPr>
          <w:p w:rsidR="006A0E4E" w:rsidRPr="004E3A00" w:rsidRDefault="006A0E4E" w:rsidP="008B2F2E">
            <w:pPr>
              <w:spacing w:line="360" w:lineRule="auto"/>
              <w:contextualSpacing/>
            </w:pPr>
            <w:r w:rsidRPr="004E3A00">
              <w:fldChar w:fldCharType="begin" w:fldLock="1"/>
            </w:r>
            <w:r w:rsidR="008B2F2E" w:rsidRPr="004E3A00">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&lt;i&gt;et al.&lt;/i&gt; 2001)", "plainTextFormattedCitation" : "(Collet et al. 2001)", "previouslyFormattedCitation" : "(Collet &lt;i&gt;et al.&lt;/i&gt; 2001)" }, "properties" : { "noteIndex" : 0 }, "schema" : "https://github.com/citation-style-language/schema/raw/master/csl-citation.json" }</w:instrText>
            </w:r>
            <w:r w:rsidRPr="004E3A00">
              <w:fldChar w:fldCharType="separate"/>
            </w:r>
            <w:r w:rsidR="008B2F2E" w:rsidRPr="004E3A00">
              <w:rPr>
                <w:noProof/>
              </w:rPr>
              <w:t xml:space="preserve">(Collet </w:t>
            </w:r>
            <w:r w:rsidR="008B2F2E" w:rsidRPr="004E3A00">
              <w:rPr>
                <w:i/>
                <w:noProof/>
              </w:rPr>
              <w:t>et al.</w:t>
            </w:r>
            <w:r w:rsidR="008B2F2E" w:rsidRPr="004E3A00">
              <w:rPr>
                <w:noProof/>
              </w:rPr>
              <w:t xml:space="preserve"> 2001)</w:t>
            </w:r>
            <w:r w:rsidRPr="004E3A00">
              <w:fldChar w:fldCharType="end"/>
            </w:r>
          </w:p>
        </w:tc>
        <w:tc>
          <w:tcPr>
            <w:tcW w:w="2311" w:type="dxa"/>
          </w:tcPr>
          <w:p w:rsidR="006A0E4E" w:rsidRPr="004E3A00" w:rsidRDefault="006A0E4E" w:rsidP="00F11B0B">
            <w:pPr>
              <w:spacing w:line="360" w:lineRule="auto"/>
              <w:contextualSpacing/>
            </w:pPr>
            <w:r w:rsidRPr="004E3A00">
              <w:t>Used values from reference</w:t>
            </w:r>
          </w:p>
        </w:tc>
        <w:tc>
          <w:tcPr>
            <w:tcW w:w="2311" w:type="dxa"/>
          </w:tcPr>
          <w:p w:rsidR="006A0E4E" w:rsidRPr="004E3A00" w:rsidRDefault="006A0E4E" w:rsidP="00F11B0B">
            <w:pPr>
              <w:spacing w:line="360" w:lineRule="auto"/>
              <w:contextualSpacing/>
            </w:pPr>
            <w:r w:rsidRPr="004E3A00">
              <w:t>9.5 cm year</w:t>
            </w:r>
            <w:r w:rsidRPr="004E3A00">
              <w:rPr>
                <w:vertAlign w:val="superscript"/>
              </w:rPr>
              <w:t>-1</w:t>
            </w:r>
          </w:p>
        </w:tc>
      </w:tr>
      <w:tr w:rsidR="006A0E4E" w:rsidRPr="004E3A00" w:rsidTr="006A0E4E">
        <w:tc>
          <w:tcPr>
            <w:tcW w:w="2310" w:type="dxa"/>
          </w:tcPr>
          <w:p w:rsidR="006A0E4E" w:rsidRPr="004E3A00" w:rsidRDefault="006A0E4E" w:rsidP="006A0E4E">
            <w:pPr>
              <w:spacing w:line="360" w:lineRule="auto"/>
              <w:contextualSpacing/>
            </w:pPr>
            <w:r w:rsidRPr="004E3A00">
              <w:t>Juvenile height growth rate</w:t>
            </w:r>
            <w:r w:rsidR="000F7021" w:rsidRPr="004E3A00">
              <w:t xml:space="preserve"> under</w:t>
            </w:r>
            <w:r w:rsidRPr="004E3A00">
              <w:t xml:space="preserve"> closed canopy</w:t>
            </w:r>
          </w:p>
        </w:tc>
        <w:tc>
          <w:tcPr>
            <w:tcW w:w="2310" w:type="dxa"/>
          </w:tcPr>
          <w:p w:rsidR="006A0E4E" w:rsidRPr="004E3A00" w:rsidRDefault="006A0E4E" w:rsidP="00732C7B">
            <w:pPr>
              <w:spacing w:line="360" w:lineRule="auto"/>
              <w:contextualSpacing/>
            </w:pPr>
            <w:r w:rsidRPr="004E3A00">
              <w:fldChar w:fldCharType="begin" w:fldLock="1"/>
            </w:r>
            <w:r w:rsidR="00EC6C08" w:rsidRPr="004E3A00">
              <w:instrText>ADDIN CSL_CITATION { "citationItems" : [ { "id" : "ITEM-1",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"ITEM-1", "issued" : { "date-parts" : [ [ "2001" ] ] }, "page" : "127-134", "title" : "Effects of canopy opening on height and diameter growth", "type" : "article-journal", "volume" : "58" }, "uris" : [ "http://www.mendeley.com/documents/?uuid=245f974d-94e1-46d4-bc1b-b7d95755f6f1" ] } ], "mendeley" : { "formattedCitation" : "(Collet &lt;i&gt;et al.&lt;/i&gt; 2001)", "plainTextFormattedCitation" : "(Collet et al. 2001)", "previouslyFormattedCitation" : "(Collet &lt;i&gt;et al.&lt;/i&gt; 2001)" }, "properties" : { "noteIndex" : 0 }, "schema" : "https://github.com/citation-style-language/schema/raw/master/csl-citation.json" }</w:instrText>
            </w:r>
            <w:r w:rsidRPr="004E3A00">
              <w:fldChar w:fldCharType="separate"/>
            </w:r>
            <w:r w:rsidR="00732C7B" w:rsidRPr="004E3A00">
              <w:rPr>
                <w:noProof/>
              </w:rPr>
              <w:t xml:space="preserve">(Collet </w:t>
            </w:r>
            <w:r w:rsidR="00732C7B" w:rsidRPr="004E3A00">
              <w:rPr>
                <w:i/>
                <w:noProof/>
              </w:rPr>
              <w:t>et al.</w:t>
            </w:r>
            <w:r w:rsidR="00732C7B" w:rsidRPr="004E3A00">
              <w:rPr>
                <w:noProof/>
              </w:rPr>
              <w:t xml:space="preserve"> 2001)</w:t>
            </w:r>
            <w:r w:rsidRPr="004E3A00">
              <w:fldChar w:fldCharType="end"/>
            </w:r>
          </w:p>
        </w:tc>
        <w:tc>
          <w:tcPr>
            <w:tcW w:w="2311" w:type="dxa"/>
          </w:tcPr>
          <w:p w:rsidR="006A0E4E" w:rsidRPr="004E3A00" w:rsidRDefault="006A0E4E" w:rsidP="00BA763D">
            <w:pPr>
              <w:spacing w:line="360" w:lineRule="auto"/>
              <w:contextualSpacing/>
            </w:pPr>
            <w:r w:rsidRPr="004E3A00">
              <w:t>Used values from reference</w:t>
            </w:r>
          </w:p>
        </w:tc>
        <w:tc>
          <w:tcPr>
            <w:tcW w:w="2311" w:type="dxa"/>
          </w:tcPr>
          <w:p w:rsidR="006A0E4E" w:rsidRPr="004E3A00" w:rsidRDefault="006A0E4E" w:rsidP="00F11B0B">
            <w:pPr>
              <w:spacing w:line="360" w:lineRule="auto"/>
              <w:contextualSpacing/>
            </w:pPr>
            <w:r w:rsidRPr="004E3A00">
              <w:t>1.2 cm year</w:t>
            </w:r>
            <w:r w:rsidRPr="004E3A00">
              <w:rPr>
                <w:vertAlign w:val="superscript"/>
              </w:rPr>
              <w:t>-1</w:t>
            </w:r>
          </w:p>
        </w:tc>
      </w:tr>
      <w:tr w:rsidR="006A0E4E" w:rsidRPr="004E3A00" w:rsidTr="006A0E4E">
        <w:tc>
          <w:tcPr>
            <w:tcW w:w="2310" w:type="dxa"/>
          </w:tcPr>
          <w:p w:rsidR="006A0E4E" w:rsidRPr="004E3A00" w:rsidRDefault="000F7021" w:rsidP="00F11B0B">
            <w:pPr>
              <w:spacing w:line="360" w:lineRule="auto"/>
              <w:contextualSpacing/>
            </w:pPr>
            <w:r w:rsidRPr="004E3A00">
              <w:lastRenderedPageBreak/>
              <w:t>Maximum juvenile density</w:t>
            </w:r>
          </w:p>
        </w:tc>
        <w:tc>
          <w:tcPr>
            <w:tcW w:w="2310" w:type="dxa"/>
          </w:tcPr>
          <w:p w:rsidR="006A0E4E" w:rsidRPr="004E3A00" w:rsidRDefault="000F7021" w:rsidP="00F11B0B">
            <w:pPr>
              <w:spacing w:line="360" w:lineRule="auto"/>
              <w:contextualSpacing/>
            </w:pPr>
            <w:r w:rsidRPr="004E3A00">
              <w:fldChar w:fldCharType="begin" w:fldLock="1"/>
            </w:r>
            <w:r w:rsidR="00EC6C08" w:rsidRPr="004E3A00">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4E3A00">
              <w:fldChar w:fldCharType="separate"/>
            </w:r>
            <w:r w:rsidR="00732C7B" w:rsidRPr="004E3A00">
              <w:rPr>
                <w:noProof/>
              </w:rPr>
              <w:t>(Olesen &amp; Madsen 2008)</w:t>
            </w:r>
            <w:r w:rsidRPr="004E3A00">
              <w:fldChar w:fldCharType="end"/>
            </w:r>
          </w:p>
        </w:tc>
        <w:tc>
          <w:tcPr>
            <w:tcW w:w="2311" w:type="dxa"/>
          </w:tcPr>
          <w:p w:rsidR="006A0E4E" w:rsidRPr="004E3A00" w:rsidRDefault="00376928" w:rsidP="00F11B0B">
            <w:pPr>
              <w:spacing w:line="360" w:lineRule="auto"/>
              <w:contextualSpacing/>
            </w:pPr>
            <w:r w:rsidRPr="004E3A00">
              <w:t xml:space="preserve">Used values from fenced, </w:t>
            </w:r>
            <w:proofErr w:type="spellStart"/>
            <w:r w:rsidRPr="004E3A00">
              <w:t>ungrazed</w:t>
            </w:r>
            <w:proofErr w:type="spellEnd"/>
            <w:r w:rsidRPr="004E3A00">
              <w:t xml:space="preserve"> plots</w:t>
            </w:r>
          </w:p>
        </w:tc>
        <w:tc>
          <w:tcPr>
            <w:tcW w:w="2311" w:type="dxa"/>
          </w:tcPr>
          <w:p w:rsidR="006A0E4E" w:rsidRPr="004E3A00" w:rsidRDefault="00B15A2F" w:rsidP="00F11B0B">
            <w:pPr>
              <w:spacing w:line="360" w:lineRule="auto"/>
              <w:contextualSpacing/>
            </w:pPr>
            <w:r>
              <w:t>3</w:t>
            </w:r>
            <w:r w:rsidR="000F7021" w:rsidRPr="004E3A00">
              <w:t xml:space="preserve"> seedlings m</w:t>
            </w:r>
            <w:r w:rsidR="000F7021" w:rsidRPr="004E3A00">
              <w:rPr>
                <w:vertAlign w:val="superscript"/>
              </w:rPr>
              <w:t>-2</w:t>
            </w:r>
          </w:p>
        </w:tc>
      </w:tr>
      <w:tr w:rsidR="006A0E4E" w:rsidRPr="004E3A00" w:rsidTr="006A0E4E">
        <w:tc>
          <w:tcPr>
            <w:tcW w:w="2310" w:type="dxa"/>
          </w:tcPr>
          <w:p w:rsidR="006A0E4E" w:rsidRPr="004E3A00" w:rsidRDefault="000F7021" w:rsidP="00F11B0B">
            <w:pPr>
              <w:spacing w:line="360" w:lineRule="auto"/>
              <w:contextualSpacing/>
            </w:pPr>
            <w:r w:rsidRPr="004E3A00">
              <w:t>Juvenile mortality in gaps</w:t>
            </w:r>
          </w:p>
        </w:tc>
        <w:tc>
          <w:tcPr>
            <w:tcW w:w="2310" w:type="dxa"/>
          </w:tcPr>
          <w:p w:rsidR="006A0E4E" w:rsidRPr="004E3A00" w:rsidRDefault="000F7021" w:rsidP="00F11B0B">
            <w:pPr>
              <w:spacing w:line="360" w:lineRule="auto"/>
              <w:contextualSpacing/>
            </w:pPr>
            <w:r w:rsidRPr="004E3A00">
              <w:t>This study</w:t>
            </w:r>
          </w:p>
        </w:tc>
        <w:tc>
          <w:tcPr>
            <w:tcW w:w="2311" w:type="dxa"/>
          </w:tcPr>
          <w:p w:rsidR="006A0E4E" w:rsidRPr="004E3A00" w:rsidRDefault="000F7021" w:rsidP="000F7021">
            <w:pPr>
              <w:spacing w:line="360" w:lineRule="auto"/>
              <w:contextualSpacing/>
            </w:pPr>
            <w:r w:rsidRPr="004E3A00">
              <w:t>Derived from statistical analyses</w:t>
            </w:r>
          </w:p>
        </w:tc>
        <w:tc>
          <w:tcPr>
            <w:tcW w:w="2311" w:type="dxa"/>
          </w:tcPr>
          <w:p w:rsidR="006A0E4E" w:rsidRPr="004E3A00" w:rsidRDefault="006A0E4E" w:rsidP="00F11B0B">
            <w:pPr>
              <w:spacing w:line="360" w:lineRule="auto"/>
              <w:contextualSpacing/>
            </w:pPr>
          </w:p>
        </w:tc>
      </w:tr>
      <w:tr w:rsidR="006A0E4E" w:rsidRPr="004E3A00" w:rsidTr="006A0E4E">
        <w:tc>
          <w:tcPr>
            <w:tcW w:w="2310" w:type="dxa"/>
          </w:tcPr>
          <w:p w:rsidR="006A0E4E" w:rsidRPr="004E3A00" w:rsidRDefault="00376928" w:rsidP="00F11B0B">
            <w:pPr>
              <w:spacing w:line="360" w:lineRule="auto"/>
              <w:contextualSpacing/>
            </w:pPr>
            <w:r w:rsidRPr="004E3A00">
              <w:t>Juvenile mortality under closed canopy</w:t>
            </w:r>
          </w:p>
        </w:tc>
        <w:tc>
          <w:tcPr>
            <w:tcW w:w="2310" w:type="dxa"/>
          </w:tcPr>
          <w:p w:rsidR="006A0E4E" w:rsidRPr="004E3A00" w:rsidRDefault="00EC6C08" w:rsidP="00F11B0B">
            <w:pPr>
              <w:spacing w:line="360" w:lineRule="auto"/>
              <w:contextualSpacing/>
            </w:pPr>
            <w:r w:rsidRPr="004E3A00">
              <w:t>This study</w:t>
            </w:r>
          </w:p>
        </w:tc>
        <w:tc>
          <w:tcPr>
            <w:tcW w:w="2311" w:type="dxa"/>
          </w:tcPr>
          <w:p w:rsidR="006A0E4E" w:rsidRPr="004E3A00" w:rsidRDefault="00EC6C08" w:rsidP="00F11B0B">
            <w:pPr>
              <w:spacing w:line="360" w:lineRule="auto"/>
              <w:contextualSpacing/>
            </w:pPr>
            <w:r w:rsidRPr="004E3A00">
              <w:t>Derived from statistical analyses</w:t>
            </w:r>
          </w:p>
        </w:tc>
        <w:tc>
          <w:tcPr>
            <w:tcW w:w="2311" w:type="dxa"/>
          </w:tcPr>
          <w:p w:rsidR="006A0E4E" w:rsidRPr="004E3A00" w:rsidRDefault="006A0E4E" w:rsidP="00F11B0B">
            <w:pPr>
              <w:spacing w:line="360" w:lineRule="auto"/>
              <w:contextualSpacing/>
            </w:pPr>
          </w:p>
        </w:tc>
      </w:tr>
      <w:tr w:rsidR="00376928" w:rsidRPr="004E3A00" w:rsidTr="006A0E4E">
        <w:tc>
          <w:tcPr>
            <w:tcW w:w="2310" w:type="dxa"/>
          </w:tcPr>
          <w:p w:rsidR="00376928" w:rsidRPr="004E3A00" w:rsidRDefault="00376928" w:rsidP="00F11B0B">
            <w:pPr>
              <w:spacing w:line="360" w:lineRule="auto"/>
              <w:contextualSpacing/>
            </w:pPr>
            <w:r w:rsidRPr="004E3A00">
              <w:t>Mature tree mortality</w:t>
            </w:r>
          </w:p>
        </w:tc>
        <w:tc>
          <w:tcPr>
            <w:tcW w:w="2310" w:type="dxa"/>
          </w:tcPr>
          <w:p w:rsidR="00376928" w:rsidRPr="004E3A00" w:rsidRDefault="00376928" w:rsidP="00F11B0B">
            <w:pPr>
              <w:spacing w:line="360" w:lineRule="auto"/>
              <w:contextualSpacing/>
            </w:pPr>
            <w:r w:rsidRPr="004E3A00">
              <w:t>This study</w:t>
            </w:r>
          </w:p>
        </w:tc>
        <w:tc>
          <w:tcPr>
            <w:tcW w:w="2311" w:type="dxa"/>
          </w:tcPr>
          <w:p w:rsidR="00376928" w:rsidRPr="004E3A00" w:rsidRDefault="00376928" w:rsidP="00F11B0B">
            <w:pPr>
              <w:spacing w:line="360" w:lineRule="auto"/>
              <w:contextualSpacing/>
            </w:pPr>
            <w:r w:rsidRPr="004E3A00">
              <w:t>Derived from statistical analyses</w:t>
            </w:r>
          </w:p>
        </w:tc>
        <w:tc>
          <w:tcPr>
            <w:tcW w:w="2311" w:type="dxa"/>
          </w:tcPr>
          <w:p w:rsidR="00376928" w:rsidRPr="004E3A00" w:rsidRDefault="00376928" w:rsidP="00F11B0B">
            <w:pPr>
              <w:spacing w:line="360" w:lineRule="auto"/>
              <w:contextualSpacing/>
            </w:pPr>
          </w:p>
        </w:tc>
      </w:tr>
      <w:tr w:rsidR="00376928" w:rsidRPr="004E3A00" w:rsidTr="006A0E4E">
        <w:tc>
          <w:tcPr>
            <w:tcW w:w="2310" w:type="dxa"/>
          </w:tcPr>
          <w:p w:rsidR="00376928" w:rsidRPr="004E3A00" w:rsidRDefault="00376928" w:rsidP="00EC6C08">
            <w:pPr>
              <w:spacing w:line="360" w:lineRule="auto"/>
              <w:contextualSpacing/>
            </w:pPr>
            <w:r w:rsidRPr="004E3A00">
              <w:t xml:space="preserve">Annual </w:t>
            </w:r>
            <w:r w:rsidR="00EC6C08" w:rsidRPr="004E3A00">
              <w:t>mature tree growth rate &lt;100years old</w:t>
            </w:r>
          </w:p>
        </w:tc>
        <w:tc>
          <w:tcPr>
            <w:tcW w:w="2310" w:type="dxa"/>
          </w:tcPr>
          <w:p w:rsidR="00376928" w:rsidRPr="004E3A00" w:rsidRDefault="00EC6C08" w:rsidP="00EC6C08">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376928" w:rsidRPr="004E3A00" w:rsidRDefault="00376928" w:rsidP="00F11B0B">
            <w:pPr>
              <w:spacing w:line="360" w:lineRule="auto"/>
              <w:contextualSpacing/>
            </w:pPr>
          </w:p>
        </w:tc>
        <w:tc>
          <w:tcPr>
            <w:tcW w:w="2311" w:type="dxa"/>
          </w:tcPr>
          <w:p w:rsidR="00376928" w:rsidRPr="004E3A00" w:rsidRDefault="00EC6C08" w:rsidP="00F11B0B">
            <w:pPr>
              <w:spacing w:line="360" w:lineRule="auto"/>
              <w:contextualSpacing/>
            </w:pPr>
            <w:r w:rsidRPr="004E3A00">
              <w:t>0.4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mature tree growth rate &lt;100years old</w:t>
            </w:r>
          </w:p>
        </w:tc>
        <w:tc>
          <w:tcPr>
            <w:tcW w:w="2310" w:type="dxa"/>
          </w:tcPr>
          <w:p w:rsidR="00EC6C08" w:rsidRPr="004E3A00" w:rsidRDefault="00EC6C08" w:rsidP="00BA763D">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EC6C08" w:rsidRPr="004E3A00" w:rsidRDefault="00EC6C08" w:rsidP="00BA763D">
            <w:pPr>
              <w:spacing w:line="360" w:lineRule="auto"/>
              <w:contextualSpacing/>
            </w:pPr>
          </w:p>
        </w:tc>
        <w:tc>
          <w:tcPr>
            <w:tcW w:w="2311" w:type="dxa"/>
          </w:tcPr>
          <w:p w:rsidR="00EC6C08" w:rsidRPr="004E3A00" w:rsidRDefault="00EC6C08" w:rsidP="00BA763D">
            <w:pPr>
              <w:spacing w:line="360" w:lineRule="auto"/>
              <w:contextualSpacing/>
            </w:pPr>
            <w:r w:rsidRPr="004E3A00">
              <w:t>0.35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mature tree growth rate &lt;100years old</w:t>
            </w:r>
          </w:p>
        </w:tc>
        <w:tc>
          <w:tcPr>
            <w:tcW w:w="2310" w:type="dxa"/>
          </w:tcPr>
          <w:p w:rsidR="00EC6C08" w:rsidRPr="004E3A00" w:rsidRDefault="00EC6C08" w:rsidP="00BA763D">
            <w:pPr>
              <w:spacing w:line="360" w:lineRule="auto"/>
              <w:contextualSpacing/>
            </w:pPr>
            <w:r w:rsidRPr="004E3A00">
              <w:fldChar w:fldCharType="begin" w:fldLock="1"/>
            </w:r>
            <w:r w:rsidR="00BA763D" w:rsidRPr="004E3A00">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Pr="004E3A00">
              <w:fldChar w:fldCharType="separate"/>
            </w:r>
            <w:r w:rsidRPr="004E3A00">
              <w:rPr>
                <w:noProof/>
              </w:rPr>
              <w:t xml:space="preserve">(Holzwarth </w:t>
            </w:r>
            <w:r w:rsidRPr="004E3A00">
              <w:rPr>
                <w:i/>
                <w:noProof/>
              </w:rPr>
              <w:t>et al.</w:t>
            </w:r>
            <w:r w:rsidRPr="004E3A00">
              <w:rPr>
                <w:noProof/>
              </w:rPr>
              <w:t xml:space="preserve"> 2013)</w:t>
            </w:r>
            <w:r w:rsidRPr="004E3A00">
              <w:fldChar w:fldCharType="end"/>
            </w:r>
          </w:p>
        </w:tc>
        <w:tc>
          <w:tcPr>
            <w:tcW w:w="2311" w:type="dxa"/>
          </w:tcPr>
          <w:p w:rsidR="00EC6C08" w:rsidRPr="004E3A00" w:rsidRDefault="00EC6C08" w:rsidP="00BA763D">
            <w:pPr>
              <w:spacing w:line="360" w:lineRule="auto"/>
              <w:contextualSpacing/>
            </w:pPr>
          </w:p>
        </w:tc>
        <w:tc>
          <w:tcPr>
            <w:tcW w:w="2311" w:type="dxa"/>
          </w:tcPr>
          <w:p w:rsidR="00EC6C08" w:rsidRPr="004E3A00" w:rsidRDefault="00EC6C08" w:rsidP="00BA763D">
            <w:pPr>
              <w:spacing w:line="360" w:lineRule="auto"/>
              <w:contextualSpacing/>
            </w:pPr>
            <w:r w:rsidRPr="004E3A00">
              <w:t>0.25 cm year</w:t>
            </w:r>
            <w:r w:rsidRPr="004E3A00">
              <w:rPr>
                <w:vertAlign w:val="superscript"/>
              </w:rPr>
              <w:t>-1</w:t>
            </w:r>
          </w:p>
        </w:tc>
      </w:tr>
      <w:tr w:rsidR="00EC6C08" w:rsidRPr="004E3A00" w:rsidTr="006A0E4E">
        <w:tc>
          <w:tcPr>
            <w:tcW w:w="2310" w:type="dxa"/>
          </w:tcPr>
          <w:p w:rsidR="00EC6C08" w:rsidRPr="004E3A00" w:rsidRDefault="00EC6C08" w:rsidP="00BA763D">
            <w:pPr>
              <w:spacing w:line="360" w:lineRule="auto"/>
              <w:contextualSpacing/>
            </w:pPr>
            <w:r w:rsidRPr="004E3A00">
              <w:t>Annual chance of mast year</w:t>
            </w:r>
          </w:p>
        </w:tc>
        <w:tc>
          <w:tcPr>
            <w:tcW w:w="2310" w:type="dxa"/>
          </w:tcPr>
          <w:p w:rsidR="00EC6C08" w:rsidRPr="004E3A00" w:rsidRDefault="00EC6C08" w:rsidP="00BA763D">
            <w:pPr>
              <w:spacing w:line="360" w:lineRule="auto"/>
              <w:contextualSpacing/>
            </w:pPr>
            <w:r w:rsidRPr="004E3A00">
              <w:fldChar w:fldCharType="begin" w:fldLock="1"/>
            </w:r>
            <w:r w:rsidRPr="004E3A00">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4E3A00">
              <w:fldChar w:fldCharType="separate"/>
            </w:r>
            <w:r w:rsidRPr="004E3A00">
              <w:rPr>
                <w:noProof/>
              </w:rPr>
              <w:t xml:space="preserve">(Packham </w:t>
            </w:r>
            <w:r w:rsidRPr="004E3A00">
              <w:rPr>
                <w:i/>
                <w:noProof/>
              </w:rPr>
              <w:t>et al.</w:t>
            </w:r>
            <w:r w:rsidRPr="004E3A00">
              <w:rPr>
                <w:noProof/>
              </w:rPr>
              <w:t xml:space="preserve"> 2012)</w:t>
            </w:r>
            <w:r w:rsidRPr="004E3A00">
              <w:fldChar w:fldCharType="end"/>
            </w:r>
          </w:p>
        </w:tc>
        <w:tc>
          <w:tcPr>
            <w:tcW w:w="2311" w:type="dxa"/>
          </w:tcPr>
          <w:p w:rsidR="00EC6C08" w:rsidRPr="004E3A00" w:rsidRDefault="00EC6C08" w:rsidP="00BA763D">
            <w:pPr>
              <w:spacing w:line="360" w:lineRule="auto"/>
              <w:contextualSpacing/>
            </w:pPr>
            <w:r w:rsidRPr="004E3A00">
              <w:t>In the UK beech trees mast once every three years on average</w:t>
            </w:r>
          </w:p>
        </w:tc>
        <w:tc>
          <w:tcPr>
            <w:tcW w:w="2311" w:type="dxa"/>
          </w:tcPr>
          <w:p w:rsidR="00EC6C08" w:rsidRPr="004E3A00" w:rsidRDefault="00EC6C08" w:rsidP="00BA763D">
            <w:pPr>
              <w:spacing w:line="360" w:lineRule="auto"/>
              <w:contextualSpacing/>
            </w:pPr>
            <w:r w:rsidRPr="004E3A00">
              <w:t>0.3</w:t>
            </w:r>
          </w:p>
        </w:tc>
      </w:tr>
    </w:tbl>
    <w:p w:rsidR="006A0E4E" w:rsidRPr="004E3A00" w:rsidRDefault="006A0E4E" w:rsidP="00F11B0B">
      <w:pPr>
        <w:spacing w:line="360" w:lineRule="auto"/>
        <w:contextualSpacing/>
      </w:pPr>
    </w:p>
    <w:sectPr w:rsidR="006A0E4E" w:rsidRPr="004E3A0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 Martin" w:date="2015-09-06T21:26:00Z" w:initials="PM">
    <w:p w:rsidR="00B6284F" w:rsidRDefault="00B6284F">
      <w:pPr>
        <w:pStyle w:val="CommentText"/>
      </w:pPr>
      <w:r>
        <w:rPr>
          <w:rStyle w:val="CommentReference"/>
        </w:rPr>
        <w:annotationRef/>
      </w:r>
      <w:r>
        <w:t xml:space="preserve">I think that this introduction now might have gone too far in the direction of talking </w:t>
      </w:r>
      <w:r w:rsidRPr="00C16F43">
        <w:rPr>
          <w:u w:val="single"/>
        </w:rPr>
        <w:t>only</w:t>
      </w:r>
      <w:r>
        <w:t xml:space="preserve"> about feedbacks. Maybe we should think about putting a bit more stuff about recruitment and death in there, because that is what a lot of the meat of the paper is really about. Any thoughts?</w:t>
      </w:r>
    </w:p>
  </w:comment>
  <w:comment w:id="1" w:author="Phil Martin" w:date="2015-11-26T10:44:00Z" w:initials="PM">
    <w:p w:rsidR="00B06D6E" w:rsidRDefault="00B06D6E">
      <w:pPr>
        <w:pStyle w:val="CommentText"/>
      </w:pPr>
      <w:r>
        <w:rPr>
          <w:rStyle w:val="CommentReference"/>
        </w:rPr>
        <w:annotationRef/>
      </w:r>
      <w:r>
        <w:t>Put in a citation for this.</w:t>
      </w:r>
    </w:p>
  </w:comment>
  <w:comment w:id="3" w:author="Phil Martin" w:date="2015-09-07T09:29:00Z" w:initials="PM">
    <w:p w:rsidR="00B6284F" w:rsidRDefault="00B6284F">
      <w:pPr>
        <w:pStyle w:val="CommentText"/>
      </w:pPr>
      <w:r>
        <w:rPr>
          <w:rStyle w:val="CommentReference"/>
        </w:rPr>
        <w:annotationRef/>
      </w:r>
      <w:r>
        <w:t>I’m not 100% happy with how the model is described as I think from the writing it appears more complex than it really is. We need to work at simplifying this.</w:t>
      </w:r>
    </w:p>
  </w:comment>
  <w:comment w:id="4" w:author="Phil Martin" w:date="2015-11-26T12:06:00Z" w:initials="PM">
    <w:p w:rsidR="00B67877" w:rsidRDefault="00B67877">
      <w:pPr>
        <w:pStyle w:val="CommentText"/>
      </w:pPr>
      <w:r>
        <w:rPr>
          <w:rStyle w:val="CommentReference"/>
        </w:rPr>
        <w:annotationRef/>
      </w:r>
      <w:r>
        <w:t>I need to tidy up this analysis, reporting standard errors of slopes where needed.</w:t>
      </w:r>
    </w:p>
  </w:comment>
  <w:comment w:id="5" w:author="Phil Martin" w:date="2015-11-26T12:06:00Z" w:initials="PM">
    <w:p w:rsidR="001A30FD" w:rsidRDefault="001A30FD">
      <w:pPr>
        <w:pStyle w:val="CommentText"/>
      </w:pPr>
      <w:r>
        <w:rPr>
          <w:rStyle w:val="CommentReference"/>
        </w:rPr>
        <w:annotationRef/>
      </w:r>
      <w:r>
        <w:t>This part of the analysis needs tidying up as well. It is the basis for the IBM so it needs to be high quality.</w:t>
      </w:r>
    </w:p>
  </w:comment>
  <w:comment w:id="6" w:author="Phil Martin" w:date="2015-09-07T09:27:00Z" w:initials="PM">
    <w:p w:rsidR="00B6284F" w:rsidRDefault="00B6284F">
      <w:pPr>
        <w:pStyle w:val="CommentText"/>
      </w:pPr>
      <w:r>
        <w:rPr>
          <w:rStyle w:val="CommentReference"/>
        </w:rPr>
        <w:annotationRef/>
      </w:r>
      <w:r>
        <w:t>This needs reworking when I run the new model. These results are based on a previous model run.</w:t>
      </w:r>
    </w:p>
  </w:comment>
  <w:comment w:id="7" w:author="Phil Martin" w:date="2015-10-13T11:12:00Z" w:initials="PM">
    <w:p w:rsidR="00B6284F" w:rsidRDefault="00B6284F">
      <w:pPr>
        <w:pStyle w:val="CommentText"/>
      </w:pPr>
      <w:r>
        <w:rPr>
          <w:rStyle w:val="CommentReference"/>
        </w:rPr>
        <w:annotationRef/>
      </w:r>
      <w:r>
        <w:t>Alter these figures to make them more convincing. Present the figure legends with statistics. Miss off line from (b).</w:t>
      </w:r>
    </w:p>
  </w:comment>
  <w:comment w:id="8" w:author="Phil Martin" w:date="2015-10-13T11:13:00Z" w:initials="PM">
    <w:p w:rsidR="00B6284F" w:rsidRDefault="00B6284F">
      <w:pPr>
        <w:pStyle w:val="CommentText"/>
      </w:pPr>
      <w:r>
        <w:rPr>
          <w:rStyle w:val="CommentReference"/>
        </w:rPr>
        <w:annotationRef/>
      </w:r>
      <w:r>
        <w:t>Stick confidence intervals on this. Stick something about statistics in legend.</w:t>
      </w:r>
    </w:p>
  </w:comment>
  <w:comment w:id="9" w:author="Phil Martin" w:date="2015-10-13T10:21:00Z" w:initials="PM">
    <w:p w:rsidR="00B6284F" w:rsidRDefault="00B6284F">
      <w:pPr>
        <w:pStyle w:val="CommentText"/>
      </w:pPr>
      <w:r>
        <w:rPr>
          <w:rStyle w:val="CommentReference"/>
        </w:rPr>
        <w:annotationRef/>
      </w:r>
      <w:r>
        <w:t>I need to reduce the number of mortality rates as this figure is too confusing. I also need to check to see what is causing the lag in basal area increases when no juveniles die.</w:t>
      </w:r>
    </w:p>
  </w:comment>
  <w:comment w:id="10" w:author="Phil Martin" w:date="2015-10-13T11:15:00Z" w:initials="PM">
    <w:p w:rsidR="00B6284F" w:rsidRDefault="00B6284F">
      <w:pPr>
        <w:pStyle w:val="CommentText"/>
      </w:pPr>
      <w:r>
        <w:rPr>
          <w:rStyle w:val="CommentReference"/>
        </w:rPr>
        <w:annotationRef/>
      </w:r>
      <w:r>
        <w:t>Remove panels and show (a), (b), (c) etc.</w:t>
      </w:r>
    </w:p>
  </w:comment>
  <w:comment w:id="11" w:author="Phil Martin" w:date="2015-11-26T10:42:00Z" w:initials="PM">
    <w:p w:rsidR="00B06D6E" w:rsidRDefault="00B06D6E">
      <w:pPr>
        <w:pStyle w:val="CommentText"/>
      </w:pPr>
      <w:r>
        <w:rPr>
          <w:rStyle w:val="CommentReference"/>
        </w:rPr>
        <w:annotationRef/>
      </w:r>
      <w:r>
        <w:t>Re-do this so that the proportion of saplings that increased is expressed as an annual rate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3B8"/>
    <w:multiLevelType w:val="multilevel"/>
    <w:tmpl w:val="3AFE9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4E2387"/>
    <w:multiLevelType w:val="multilevel"/>
    <w:tmpl w:val="72AA7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C43334"/>
    <w:multiLevelType w:val="multilevel"/>
    <w:tmpl w:val="18B2CC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1A64FD"/>
    <w:multiLevelType w:val="multilevel"/>
    <w:tmpl w:val="069C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0415A1"/>
    <w:multiLevelType w:val="multilevel"/>
    <w:tmpl w:val="10B0A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BA32B3"/>
    <w:multiLevelType w:val="multilevel"/>
    <w:tmpl w:val="66EA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194299"/>
    <w:multiLevelType w:val="multilevel"/>
    <w:tmpl w:val="325E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4C3C67"/>
    <w:multiLevelType w:val="multilevel"/>
    <w:tmpl w:val="49D8427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DD02A8"/>
    <w:multiLevelType w:val="hybridMultilevel"/>
    <w:tmpl w:val="EACA0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0CA7C2A"/>
    <w:multiLevelType w:val="hybridMultilevel"/>
    <w:tmpl w:val="50A64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14A692A"/>
    <w:multiLevelType w:val="multilevel"/>
    <w:tmpl w:val="5CF46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0"/>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
    <w:lvlOverride w:ilvl="0">
      <w:lvl w:ilvl="0">
        <w:numFmt w:val="decimal"/>
        <w:lvlText w:val="%1."/>
        <w:lvlJc w:val="left"/>
      </w:lvl>
    </w:lvlOverride>
  </w:num>
  <w:num w:numId="6">
    <w:abstractNumId w:val="2"/>
    <w:lvlOverride w:ilvl="0">
      <w:lvl w:ilvl="0">
        <w:numFmt w:val="decimal"/>
        <w:lvlText w:val="%1."/>
        <w:lvlJc w:val="left"/>
      </w:lvl>
    </w:lvlOverride>
  </w:num>
  <w:num w:numId="7">
    <w:abstractNumId w:val="5"/>
  </w:num>
  <w:num w:numId="8">
    <w:abstractNumId w:val="3"/>
  </w:num>
  <w:num w:numId="9">
    <w:abstractNumId w:val="11"/>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0F"/>
    <w:rsid w:val="00075D5E"/>
    <w:rsid w:val="0009127F"/>
    <w:rsid w:val="000B1AD5"/>
    <w:rsid w:val="000B620B"/>
    <w:rsid w:val="000E25C9"/>
    <w:rsid w:val="000F7021"/>
    <w:rsid w:val="0011596D"/>
    <w:rsid w:val="0013294B"/>
    <w:rsid w:val="00174EF6"/>
    <w:rsid w:val="001A30FD"/>
    <w:rsid w:val="001D619D"/>
    <w:rsid w:val="002324D1"/>
    <w:rsid w:val="002B700A"/>
    <w:rsid w:val="002D258C"/>
    <w:rsid w:val="00310344"/>
    <w:rsid w:val="003348F5"/>
    <w:rsid w:val="003446FA"/>
    <w:rsid w:val="003722C5"/>
    <w:rsid w:val="00376928"/>
    <w:rsid w:val="003D0FCF"/>
    <w:rsid w:val="003D61E5"/>
    <w:rsid w:val="003E727E"/>
    <w:rsid w:val="004166E0"/>
    <w:rsid w:val="004618A6"/>
    <w:rsid w:val="004C4BD3"/>
    <w:rsid w:val="004C5D56"/>
    <w:rsid w:val="004D78CA"/>
    <w:rsid w:val="004E3A00"/>
    <w:rsid w:val="004E7D34"/>
    <w:rsid w:val="004F6967"/>
    <w:rsid w:val="00512270"/>
    <w:rsid w:val="00527DD8"/>
    <w:rsid w:val="00550523"/>
    <w:rsid w:val="00560962"/>
    <w:rsid w:val="0056725C"/>
    <w:rsid w:val="005B3436"/>
    <w:rsid w:val="005C455F"/>
    <w:rsid w:val="005D2262"/>
    <w:rsid w:val="005D5F34"/>
    <w:rsid w:val="005E23F2"/>
    <w:rsid w:val="00602857"/>
    <w:rsid w:val="00620A02"/>
    <w:rsid w:val="00655D51"/>
    <w:rsid w:val="00695472"/>
    <w:rsid w:val="006A0E4E"/>
    <w:rsid w:val="006B5377"/>
    <w:rsid w:val="006D6CD3"/>
    <w:rsid w:val="006F0C2D"/>
    <w:rsid w:val="006F3166"/>
    <w:rsid w:val="00732C7B"/>
    <w:rsid w:val="00741B3C"/>
    <w:rsid w:val="00772722"/>
    <w:rsid w:val="00780DF1"/>
    <w:rsid w:val="007D4DA1"/>
    <w:rsid w:val="007D6626"/>
    <w:rsid w:val="00812C49"/>
    <w:rsid w:val="008513D6"/>
    <w:rsid w:val="008B0D23"/>
    <w:rsid w:val="008B2F2E"/>
    <w:rsid w:val="008B348E"/>
    <w:rsid w:val="008C51BD"/>
    <w:rsid w:val="008D6CB8"/>
    <w:rsid w:val="008E1B37"/>
    <w:rsid w:val="00937D98"/>
    <w:rsid w:val="00952854"/>
    <w:rsid w:val="00997F8B"/>
    <w:rsid w:val="009A7386"/>
    <w:rsid w:val="009B692C"/>
    <w:rsid w:val="009C65E1"/>
    <w:rsid w:val="00A05E5E"/>
    <w:rsid w:val="00A33D3E"/>
    <w:rsid w:val="00A55BA5"/>
    <w:rsid w:val="00A824A1"/>
    <w:rsid w:val="00A87DA1"/>
    <w:rsid w:val="00A9613B"/>
    <w:rsid w:val="00B06D6E"/>
    <w:rsid w:val="00B15A2F"/>
    <w:rsid w:val="00B45B79"/>
    <w:rsid w:val="00B6284F"/>
    <w:rsid w:val="00B67877"/>
    <w:rsid w:val="00BA763D"/>
    <w:rsid w:val="00BB3023"/>
    <w:rsid w:val="00BC7DA4"/>
    <w:rsid w:val="00BE09E1"/>
    <w:rsid w:val="00BE1DE1"/>
    <w:rsid w:val="00C049AF"/>
    <w:rsid w:val="00C16F43"/>
    <w:rsid w:val="00C3566F"/>
    <w:rsid w:val="00C531D5"/>
    <w:rsid w:val="00C725D2"/>
    <w:rsid w:val="00C82816"/>
    <w:rsid w:val="00C9060F"/>
    <w:rsid w:val="00C94329"/>
    <w:rsid w:val="00C94F83"/>
    <w:rsid w:val="00CB7AA1"/>
    <w:rsid w:val="00D05602"/>
    <w:rsid w:val="00D2111C"/>
    <w:rsid w:val="00D405AE"/>
    <w:rsid w:val="00D415C3"/>
    <w:rsid w:val="00DD6D42"/>
    <w:rsid w:val="00DE0691"/>
    <w:rsid w:val="00E177C4"/>
    <w:rsid w:val="00E32A5A"/>
    <w:rsid w:val="00E64C63"/>
    <w:rsid w:val="00EC6C08"/>
    <w:rsid w:val="00F112FE"/>
    <w:rsid w:val="00F11B0B"/>
    <w:rsid w:val="00F20584"/>
    <w:rsid w:val="00F23BD8"/>
    <w:rsid w:val="00FC3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3512">
      <w:bodyDiv w:val="1"/>
      <w:marLeft w:val="0"/>
      <w:marRight w:val="0"/>
      <w:marTop w:val="0"/>
      <w:marBottom w:val="0"/>
      <w:divBdr>
        <w:top w:val="none" w:sz="0" w:space="0" w:color="auto"/>
        <w:left w:val="none" w:sz="0" w:space="0" w:color="auto"/>
        <w:bottom w:val="none" w:sz="0" w:space="0" w:color="auto"/>
        <w:right w:val="none" w:sz="0" w:space="0" w:color="auto"/>
      </w:divBdr>
      <w:divsChild>
        <w:div w:id="1041898004">
          <w:marLeft w:val="0"/>
          <w:marRight w:val="0"/>
          <w:marTop w:val="0"/>
          <w:marBottom w:val="0"/>
          <w:divBdr>
            <w:top w:val="none" w:sz="0" w:space="0" w:color="auto"/>
            <w:left w:val="none" w:sz="0" w:space="0" w:color="auto"/>
            <w:bottom w:val="none" w:sz="0" w:space="0" w:color="auto"/>
            <w:right w:val="none" w:sz="0" w:space="0" w:color="auto"/>
          </w:divBdr>
          <w:divsChild>
            <w:div w:id="1124805885">
              <w:marLeft w:val="0"/>
              <w:marRight w:val="0"/>
              <w:marTop w:val="0"/>
              <w:marBottom w:val="0"/>
              <w:divBdr>
                <w:top w:val="none" w:sz="0" w:space="0" w:color="auto"/>
                <w:left w:val="none" w:sz="0" w:space="0" w:color="auto"/>
                <w:bottom w:val="none" w:sz="0" w:space="0" w:color="auto"/>
                <w:right w:val="none" w:sz="0" w:space="0" w:color="auto"/>
              </w:divBdr>
              <w:divsChild>
                <w:div w:id="1754473905">
                  <w:marLeft w:val="0"/>
                  <w:marRight w:val="0"/>
                  <w:marTop w:val="0"/>
                  <w:marBottom w:val="0"/>
                  <w:divBdr>
                    <w:top w:val="none" w:sz="0" w:space="0" w:color="auto"/>
                    <w:left w:val="none" w:sz="0" w:space="0" w:color="auto"/>
                    <w:bottom w:val="none" w:sz="0" w:space="0" w:color="auto"/>
                    <w:right w:val="none" w:sz="0" w:space="0" w:color="auto"/>
                  </w:divBdr>
                  <w:divsChild>
                    <w:div w:id="2048873457">
                      <w:marLeft w:val="0"/>
                      <w:marRight w:val="0"/>
                      <w:marTop w:val="0"/>
                      <w:marBottom w:val="0"/>
                      <w:divBdr>
                        <w:top w:val="none" w:sz="0" w:space="0" w:color="auto"/>
                        <w:left w:val="none" w:sz="0" w:space="0" w:color="auto"/>
                        <w:bottom w:val="none" w:sz="0" w:space="0" w:color="auto"/>
                        <w:right w:val="none" w:sz="0" w:space="0" w:color="auto"/>
                      </w:divBdr>
                      <w:divsChild>
                        <w:div w:id="649676098">
                          <w:marLeft w:val="0"/>
                          <w:marRight w:val="0"/>
                          <w:marTop w:val="0"/>
                          <w:marBottom w:val="0"/>
                          <w:divBdr>
                            <w:top w:val="none" w:sz="0" w:space="0" w:color="auto"/>
                            <w:left w:val="none" w:sz="0" w:space="0" w:color="auto"/>
                            <w:bottom w:val="none" w:sz="0" w:space="0" w:color="auto"/>
                            <w:right w:val="none" w:sz="0" w:space="0" w:color="auto"/>
                          </w:divBdr>
                          <w:divsChild>
                            <w:div w:id="330763404">
                              <w:marLeft w:val="0"/>
                              <w:marRight w:val="0"/>
                              <w:marTop w:val="0"/>
                              <w:marBottom w:val="0"/>
                              <w:divBdr>
                                <w:top w:val="none" w:sz="0" w:space="0" w:color="auto"/>
                                <w:left w:val="none" w:sz="0" w:space="0" w:color="auto"/>
                                <w:bottom w:val="none" w:sz="0" w:space="0" w:color="auto"/>
                                <w:right w:val="none" w:sz="0" w:space="0" w:color="auto"/>
                              </w:divBdr>
                              <w:divsChild>
                                <w:div w:id="1299259310">
                                  <w:marLeft w:val="0"/>
                                  <w:marRight w:val="0"/>
                                  <w:marTop w:val="0"/>
                                  <w:marBottom w:val="0"/>
                                  <w:divBdr>
                                    <w:top w:val="none" w:sz="0" w:space="0" w:color="auto"/>
                                    <w:left w:val="none" w:sz="0" w:space="0" w:color="auto"/>
                                    <w:bottom w:val="none" w:sz="0" w:space="0" w:color="auto"/>
                                    <w:right w:val="none" w:sz="0" w:space="0" w:color="auto"/>
                                  </w:divBdr>
                                  <w:divsChild>
                                    <w:div w:id="220794559">
                                      <w:marLeft w:val="0"/>
                                      <w:marRight w:val="0"/>
                                      <w:marTop w:val="0"/>
                                      <w:marBottom w:val="0"/>
                                      <w:divBdr>
                                        <w:top w:val="none" w:sz="0" w:space="0" w:color="auto"/>
                                        <w:left w:val="none" w:sz="0" w:space="0" w:color="auto"/>
                                        <w:bottom w:val="none" w:sz="0" w:space="0" w:color="auto"/>
                                        <w:right w:val="none" w:sz="0" w:space="0" w:color="auto"/>
                                      </w:divBdr>
                                      <w:divsChild>
                                        <w:div w:id="601960183">
                                          <w:marLeft w:val="0"/>
                                          <w:marRight w:val="0"/>
                                          <w:marTop w:val="0"/>
                                          <w:marBottom w:val="0"/>
                                          <w:divBdr>
                                            <w:top w:val="none" w:sz="0" w:space="0" w:color="auto"/>
                                            <w:left w:val="none" w:sz="0" w:space="0" w:color="auto"/>
                                            <w:bottom w:val="none" w:sz="0" w:space="0" w:color="auto"/>
                                            <w:right w:val="none" w:sz="0" w:space="0" w:color="auto"/>
                                          </w:divBdr>
                                          <w:divsChild>
                                            <w:div w:id="1727096923">
                                              <w:marLeft w:val="0"/>
                                              <w:marRight w:val="0"/>
                                              <w:marTop w:val="0"/>
                                              <w:marBottom w:val="0"/>
                                              <w:divBdr>
                                                <w:top w:val="none" w:sz="0" w:space="0" w:color="auto"/>
                                                <w:left w:val="none" w:sz="0" w:space="0" w:color="auto"/>
                                                <w:bottom w:val="none" w:sz="0" w:space="0" w:color="auto"/>
                                                <w:right w:val="none" w:sz="0" w:space="0" w:color="auto"/>
                                              </w:divBdr>
                                              <w:divsChild>
                                                <w:div w:id="1363550193">
                                                  <w:marLeft w:val="0"/>
                                                  <w:marRight w:val="0"/>
                                                  <w:marTop w:val="0"/>
                                                  <w:marBottom w:val="0"/>
                                                  <w:divBdr>
                                                    <w:top w:val="none" w:sz="0" w:space="0" w:color="auto"/>
                                                    <w:left w:val="none" w:sz="0" w:space="0" w:color="auto"/>
                                                    <w:bottom w:val="none" w:sz="0" w:space="0" w:color="auto"/>
                                                    <w:right w:val="none" w:sz="0" w:space="0" w:color="auto"/>
                                                  </w:divBdr>
                                                  <w:divsChild>
                                                    <w:div w:id="1662587958">
                                                      <w:marLeft w:val="0"/>
                                                      <w:marRight w:val="0"/>
                                                      <w:marTop w:val="0"/>
                                                      <w:marBottom w:val="0"/>
                                                      <w:divBdr>
                                                        <w:top w:val="none" w:sz="0" w:space="0" w:color="auto"/>
                                                        <w:left w:val="none" w:sz="0" w:space="0" w:color="auto"/>
                                                        <w:bottom w:val="none" w:sz="0" w:space="0" w:color="auto"/>
                                                        <w:right w:val="none" w:sz="0" w:space="0" w:color="auto"/>
                                                      </w:divBdr>
                                                      <w:divsChild>
                                                        <w:div w:id="655567844">
                                                          <w:marLeft w:val="0"/>
                                                          <w:marRight w:val="0"/>
                                                          <w:marTop w:val="0"/>
                                                          <w:marBottom w:val="0"/>
                                                          <w:divBdr>
                                                            <w:top w:val="none" w:sz="0" w:space="0" w:color="auto"/>
                                                            <w:left w:val="none" w:sz="0" w:space="0" w:color="auto"/>
                                                            <w:bottom w:val="none" w:sz="0" w:space="0" w:color="auto"/>
                                                            <w:right w:val="none" w:sz="0" w:space="0" w:color="auto"/>
                                                          </w:divBdr>
                                                          <w:divsChild>
                                                            <w:div w:id="123356551">
                                                              <w:marLeft w:val="0"/>
                                                              <w:marRight w:val="0"/>
                                                              <w:marTop w:val="0"/>
                                                              <w:marBottom w:val="0"/>
                                                              <w:divBdr>
                                                                <w:top w:val="none" w:sz="0" w:space="0" w:color="auto"/>
                                                                <w:left w:val="none" w:sz="0" w:space="0" w:color="auto"/>
                                                                <w:bottom w:val="none" w:sz="0" w:space="0" w:color="auto"/>
                                                                <w:right w:val="none" w:sz="0" w:space="0" w:color="auto"/>
                                                              </w:divBdr>
                                                              <w:divsChild>
                                                                <w:div w:id="848060395">
                                                                  <w:marLeft w:val="0"/>
                                                                  <w:marRight w:val="0"/>
                                                                  <w:marTop w:val="0"/>
                                                                  <w:marBottom w:val="0"/>
                                                                  <w:divBdr>
                                                                    <w:top w:val="none" w:sz="0" w:space="0" w:color="auto"/>
                                                                    <w:left w:val="none" w:sz="0" w:space="0" w:color="auto"/>
                                                                    <w:bottom w:val="none" w:sz="0" w:space="0" w:color="auto"/>
                                                                    <w:right w:val="none" w:sz="0" w:space="0" w:color="auto"/>
                                                                  </w:divBdr>
                                                                </w:div>
                                                                <w:div w:id="1195115031">
                                                                  <w:marLeft w:val="0"/>
                                                                  <w:marRight w:val="0"/>
                                                                  <w:marTop w:val="0"/>
                                                                  <w:marBottom w:val="0"/>
                                                                  <w:divBdr>
                                                                    <w:top w:val="none" w:sz="0" w:space="0" w:color="auto"/>
                                                                    <w:left w:val="none" w:sz="0" w:space="0" w:color="auto"/>
                                                                    <w:bottom w:val="none" w:sz="0" w:space="0" w:color="auto"/>
                                                                    <w:right w:val="none" w:sz="0" w:space="0" w:color="auto"/>
                                                                  </w:divBdr>
                                                                  <w:divsChild>
                                                                    <w:div w:id="1161965948">
                                                                      <w:marLeft w:val="0"/>
                                                                      <w:marRight w:val="0"/>
                                                                      <w:marTop w:val="0"/>
                                                                      <w:marBottom w:val="0"/>
                                                                      <w:divBdr>
                                                                        <w:top w:val="none" w:sz="0" w:space="0" w:color="auto"/>
                                                                        <w:left w:val="none" w:sz="0" w:space="0" w:color="auto"/>
                                                                        <w:bottom w:val="none" w:sz="0" w:space="0" w:color="auto"/>
                                                                        <w:right w:val="none" w:sz="0" w:space="0" w:color="auto"/>
                                                                      </w:divBdr>
                                                                      <w:divsChild>
                                                                        <w:div w:id="71396908">
                                                                          <w:marLeft w:val="0"/>
                                                                          <w:marRight w:val="0"/>
                                                                          <w:marTop w:val="0"/>
                                                                          <w:marBottom w:val="0"/>
                                                                          <w:divBdr>
                                                                            <w:top w:val="none" w:sz="0" w:space="0" w:color="auto"/>
                                                                            <w:left w:val="none" w:sz="0" w:space="0" w:color="auto"/>
                                                                            <w:bottom w:val="none" w:sz="0" w:space="0" w:color="auto"/>
                                                                            <w:right w:val="none" w:sz="0" w:space="0" w:color="auto"/>
                                                                          </w:divBdr>
                                                                          <w:divsChild>
                                                                            <w:div w:id="2083217211">
                                                                              <w:marLeft w:val="0"/>
                                                                              <w:marRight w:val="0"/>
                                                                              <w:marTop w:val="0"/>
                                                                              <w:marBottom w:val="0"/>
                                                                              <w:divBdr>
                                                                                <w:top w:val="none" w:sz="0" w:space="0" w:color="auto"/>
                                                                                <w:left w:val="none" w:sz="0" w:space="0" w:color="auto"/>
                                                                                <w:bottom w:val="none" w:sz="0" w:space="0" w:color="auto"/>
                                                                                <w:right w:val="none" w:sz="0" w:space="0" w:color="auto"/>
                                                                              </w:divBdr>
                                                                              <w:divsChild>
                                                                                <w:div w:id="1636329436">
                                                                                  <w:marLeft w:val="0"/>
                                                                                  <w:marRight w:val="0"/>
                                                                                  <w:marTop w:val="0"/>
                                                                                  <w:marBottom w:val="0"/>
                                                                                  <w:divBdr>
                                                                                    <w:top w:val="none" w:sz="0" w:space="0" w:color="auto"/>
                                                                                    <w:left w:val="none" w:sz="0" w:space="0" w:color="auto"/>
                                                                                    <w:bottom w:val="none" w:sz="0" w:space="0" w:color="auto"/>
                                                                                    <w:right w:val="none" w:sz="0" w:space="0" w:color="auto"/>
                                                                                  </w:divBdr>
                                                                                  <w:divsChild>
                                                                                    <w:div w:id="452748896">
                                                                                      <w:marLeft w:val="0"/>
                                                                                      <w:marRight w:val="0"/>
                                                                                      <w:marTop w:val="0"/>
                                                                                      <w:marBottom w:val="0"/>
                                                                                      <w:divBdr>
                                                                                        <w:top w:val="none" w:sz="0" w:space="0" w:color="auto"/>
                                                                                        <w:left w:val="none" w:sz="0" w:space="0" w:color="auto"/>
                                                                                        <w:bottom w:val="none" w:sz="0" w:space="0" w:color="auto"/>
                                                                                        <w:right w:val="none" w:sz="0" w:space="0" w:color="auto"/>
                                                                                      </w:divBdr>
                                                                                      <w:divsChild>
                                                                                        <w:div w:id="724988384">
                                                                                          <w:marLeft w:val="0"/>
                                                                                          <w:marRight w:val="0"/>
                                                                                          <w:marTop w:val="0"/>
                                                                                          <w:marBottom w:val="0"/>
                                                                                          <w:divBdr>
                                                                                            <w:top w:val="none" w:sz="0" w:space="0" w:color="auto"/>
                                                                                            <w:left w:val="none" w:sz="0" w:space="0" w:color="auto"/>
                                                                                            <w:bottom w:val="none" w:sz="0" w:space="0" w:color="auto"/>
                                                                                            <w:right w:val="none" w:sz="0" w:space="0" w:color="auto"/>
                                                                                          </w:divBdr>
                                                                                          <w:divsChild>
                                                                                            <w:div w:id="531842120">
                                                                                              <w:marLeft w:val="0"/>
                                                                                              <w:marRight w:val="0"/>
                                                                                              <w:marTop w:val="0"/>
                                                                                              <w:marBottom w:val="0"/>
                                                                                              <w:divBdr>
                                                                                                <w:top w:val="none" w:sz="0" w:space="0" w:color="auto"/>
                                                                                                <w:left w:val="none" w:sz="0" w:space="0" w:color="auto"/>
                                                                                                <w:bottom w:val="none" w:sz="0" w:space="0" w:color="auto"/>
                                                                                                <w:right w:val="none" w:sz="0" w:space="0" w:color="auto"/>
                                                                                              </w:divBdr>
                                                                                              <w:divsChild>
                                                                                                <w:div w:id="304436339">
                                                                                                  <w:marLeft w:val="0"/>
                                                                                                  <w:marRight w:val="0"/>
                                                                                                  <w:marTop w:val="0"/>
                                                                                                  <w:marBottom w:val="0"/>
                                                                                                  <w:divBdr>
                                                                                                    <w:top w:val="none" w:sz="0" w:space="0" w:color="auto"/>
                                                                                                    <w:left w:val="none" w:sz="0" w:space="0" w:color="auto"/>
                                                                                                    <w:bottom w:val="none" w:sz="0" w:space="0" w:color="auto"/>
                                                                                                    <w:right w:val="none" w:sz="0" w:space="0" w:color="auto"/>
                                                                                                  </w:divBdr>
                                                                                                  <w:divsChild>
                                                                                                    <w:div w:id="1331367614">
                                                                                                      <w:marLeft w:val="0"/>
                                                                                                      <w:marRight w:val="0"/>
                                                                                                      <w:marTop w:val="0"/>
                                                                                                      <w:marBottom w:val="0"/>
                                                                                                      <w:divBdr>
                                                                                                        <w:top w:val="none" w:sz="0" w:space="0" w:color="auto"/>
                                                                                                        <w:left w:val="none" w:sz="0" w:space="0" w:color="auto"/>
                                                                                                        <w:bottom w:val="none" w:sz="0" w:space="0" w:color="auto"/>
                                                                                                        <w:right w:val="none" w:sz="0" w:space="0" w:color="auto"/>
                                                                                                      </w:divBdr>
                                                                                                      <w:divsChild>
                                                                                                        <w:div w:id="1978607586">
                                                                                                          <w:marLeft w:val="0"/>
                                                                                                          <w:marRight w:val="0"/>
                                                                                                          <w:marTop w:val="0"/>
                                                                                                          <w:marBottom w:val="0"/>
                                                                                                          <w:divBdr>
                                                                                                            <w:top w:val="none" w:sz="0" w:space="0" w:color="auto"/>
                                                                                                            <w:left w:val="none" w:sz="0" w:space="0" w:color="auto"/>
                                                                                                            <w:bottom w:val="none" w:sz="0" w:space="0" w:color="auto"/>
                                                                                                            <w:right w:val="none" w:sz="0" w:space="0" w:color="auto"/>
                                                                                                          </w:divBdr>
                                                                                                          <w:divsChild>
                                                                                                            <w:div w:id="177619365">
                                                                                                              <w:marLeft w:val="0"/>
                                                                                                              <w:marRight w:val="0"/>
                                                                                                              <w:marTop w:val="0"/>
                                                                                                              <w:marBottom w:val="0"/>
                                                                                                              <w:divBdr>
                                                                                                                <w:top w:val="none" w:sz="0" w:space="0" w:color="auto"/>
                                                                                                                <w:left w:val="none" w:sz="0" w:space="0" w:color="auto"/>
                                                                                                                <w:bottom w:val="none" w:sz="0" w:space="0" w:color="auto"/>
                                                                                                                <w:right w:val="none" w:sz="0" w:space="0" w:color="auto"/>
                                                                                                              </w:divBdr>
                                                                                                              <w:divsChild>
                                                                                                                <w:div w:id="1648314864">
                                                                                                                  <w:marLeft w:val="0"/>
                                                                                                                  <w:marRight w:val="0"/>
                                                                                                                  <w:marTop w:val="0"/>
                                                                                                                  <w:marBottom w:val="0"/>
                                                                                                                  <w:divBdr>
                                                                                                                    <w:top w:val="none" w:sz="0" w:space="0" w:color="auto"/>
                                                                                                                    <w:left w:val="none" w:sz="0" w:space="0" w:color="auto"/>
                                                                                                                    <w:bottom w:val="none" w:sz="0" w:space="0" w:color="auto"/>
                                                                                                                    <w:right w:val="none" w:sz="0" w:space="0" w:color="auto"/>
                                                                                                                  </w:divBdr>
                                                                                                                  <w:divsChild>
                                                                                                                    <w:div w:id="175120430">
                                                                                                                      <w:marLeft w:val="0"/>
                                                                                                                      <w:marRight w:val="0"/>
                                                                                                                      <w:marTop w:val="0"/>
                                                                                                                      <w:marBottom w:val="0"/>
                                                                                                                      <w:divBdr>
                                                                                                                        <w:top w:val="none" w:sz="0" w:space="0" w:color="auto"/>
                                                                                                                        <w:left w:val="none" w:sz="0" w:space="0" w:color="auto"/>
                                                                                                                        <w:bottom w:val="none" w:sz="0" w:space="0" w:color="auto"/>
                                                                                                                        <w:right w:val="none" w:sz="0" w:space="0" w:color="auto"/>
                                                                                                                      </w:divBdr>
                                                                                                                      <w:divsChild>
                                                                                                                        <w:div w:id="2054110524">
                                                                                                                          <w:marLeft w:val="0"/>
                                                                                                                          <w:marRight w:val="0"/>
                                                                                                                          <w:marTop w:val="0"/>
                                                                                                                          <w:marBottom w:val="0"/>
                                                                                                                          <w:divBdr>
                                                                                                                            <w:top w:val="none" w:sz="0" w:space="0" w:color="auto"/>
                                                                                                                            <w:left w:val="none" w:sz="0" w:space="0" w:color="auto"/>
                                                                                                                            <w:bottom w:val="none" w:sz="0" w:space="0" w:color="auto"/>
                                                                                                                            <w:right w:val="none" w:sz="0" w:space="0" w:color="auto"/>
                                                                                                                          </w:divBdr>
                                                                                                                          <w:divsChild>
                                                                                                                            <w:div w:id="1271741624">
                                                                                                                              <w:marLeft w:val="0"/>
                                                                                                                              <w:marRight w:val="0"/>
                                                                                                                              <w:marTop w:val="0"/>
                                                                                                                              <w:marBottom w:val="0"/>
                                                                                                                              <w:divBdr>
                                                                                                                                <w:top w:val="none" w:sz="0" w:space="0" w:color="auto"/>
                                                                                                                                <w:left w:val="none" w:sz="0" w:space="0" w:color="auto"/>
                                                                                                                                <w:bottom w:val="none" w:sz="0" w:space="0" w:color="auto"/>
                                                                                                                                <w:right w:val="none" w:sz="0" w:space="0" w:color="auto"/>
                                                                                                                              </w:divBdr>
                                                                                                                              <w:divsChild>
                                                                                                                                <w:div w:id="886649703">
                                                                                                                                  <w:marLeft w:val="0"/>
                                                                                                                                  <w:marRight w:val="0"/>
                                                                                                                                  <w:marTop w:val="0"/>
                                                                                                                                  <w:marBottom w:val="0"/>
                                                                                                                                  <w:divBdr>
                                                                                                                                    <w:top w:val="none" w:sz="0" w:space="0" w:color="auto"/>
                                                                                                                                    <w:left w:val="none" w:sz="0" w:space="0" w:color="auto"/>
                                                                                                                                    <w:bottom w:val="none" w:sz="0" w:space="0" w:color="auto"/>
                                                                                                                                    <w:right w:val="none" w:sz="0" w:space="0" w:color="auto"/>
                                                                                                                                  </w:divBdr>
                                                                                                                                  <w:divsChild>
                                                                                                                                    <w:div w:id="1705865147">
                                                                                                                                      <w:marLeft w:val="0"/>
                                                                                                                                      <w:marRight w:val="0"/>
                                                                                                                                      <w:marTop w:val="0"/>
                                                                                                                                      <w:marBottom w:val="0"/>
                                                                                                                                      <w:divBdr>
                                                                                                                                        <w:top w:val="none" w:sz="0" w:space="0" w:color="auto"/>
                                                                                                                                        <w:left w:val="none" w:sz="0" w:space="0" w:color="auto"/>
                                                                                                                                        <w:bottom w:val="none" w:sz="0" w:space="0" w:color="auto"/>
                                                                                                                                        <w:right w:val="none" w:sz="0" w:space="0" w:color="auto"/>
                                                                                                                                      </w:divBdr>
                                                                                                                                      <w:divsChild>
                                                                                                                                        <w:div w:id="7213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1840931">
      <w:bodyDiv w:val="1"/>
      <w:marLeft w:val="0"/>
      <w:marRight w:val="0"/>
      <w:marTop w:val="0"/>
      <w:marBottom w:val="0"/>
      <w:divBdr>
        <w:top w:val="none" w:sz="0" w:space="0" w:color="auto"/>
        <w:left w:val="none" w:sz="0" w:space="0" w:color="auto"/>
        <w:bottom w:val="none" w:sz="0" w:space="0" w:color="auto"/>
        <w:right w:val="none" w:sz="0" w:space="0" w:color="auto"/>
      </w:divBdr>
    </w:div>
    <w:div w:id="162700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4E29C-46C7-4257-932B-E50F40C95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Pages>
  <Words>33012</Words>
  <Characters>188173</Characters>
  <Application>Microsoft Office Word</Application>
  <DocSecurity>0</DocSecurity>
  <Lines>1568</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4</cp:revision>
  <dcterms:created xsi:type="dcterms:W3CDTF">2015-11-26T10:38:00Z</dcterms:created>
  <dcterms:modified xsi:type="dcterms:W3CDTF">2015-11-26T16:00:00Z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