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xml:space="preserve">: Transition to non-forest state </w:t>
      </w:r>
      <w:r w:rsidR="00E031F8">
        <w:rPr>
          <w:rFonts w:ascii="Arial" w:eastAsia="Times New Roman" w:hAnsi="Arial" w:cs="Arial"/>
          <w:color w:val="000000"/>
          <w:u w:val="single"/>
          <w:lang w:eastAsia="en-GB"/>
        </w:rPr>
        <w:t xml:space="preserve">may </w:t>
      </w:r>
      <w:r w:rsidRPr="004E3A00">
        <w:rPr>
          <w:rFonts w:ascii="Arial" w:eastAsia="Times New Roman" w:hAnsi="Arial" w:cs="Arial"/>
          <w:color w:val="000000"/>
          <w:u w:val="single"/>
          <w:lang w:eastAsia="en-GB"/>
        </w:rPr>
        <w:t>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result </w:t>
      </w:r>
      <w:r w:rsidR="004C5D56" w:rsidRPr="004E3A00">
        <w:rPr>
          <w:rFonts w:ascii="Arial" w:eastAsia="Times New Roman" w:hAnsi="Arial" w:cs="Arial"/>
          <w:color w:val="000000"/>
          <w:lang w:eastAsia="en-GB"/>
        </w:rPr>
        <w:t xml:space="preserve">in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1"/>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1"/>
      <w:r w:rsidR="00B06D6E">
        <w:rPr>
          <w:rStyle w:val="CommentReference"/>
        </w:rPr>
        <w:commentReference w:id="1"/>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2"/>
      <w:r w:rsidRPr="004E3A00">
        <w:rPr>
          <w:rFonts w:ascii="Arial" w:hAnsi="Arial" w:cs="Arial"/>
          <w:b/>
        </w:rPr>
        <w:t xml:space="preserve">Individual based model </w:t>
      </w:r>
      <w:commentRangeEnd w:id="2"/>
      <w:r w:rsidR="004166E0" w:rsidRPr="004E3A00">
        <w:rPr>
          <w:rStyle w:val="CommentReference"/>
        </w:rPr>
        <w:commentReference w:id="2"/>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w:t>
      </w:r>
      <w:r w:rsidR="007578E3">
        <w:rPr>
          <w:rFonts w:ascii="Arial" w:hAnsi="Arial" w:cs="Arial"/>
        </w:rPr>
        <w:lastRenderedPageBreak/>
        <w:t>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increase 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t>
      </w:r>
      <w:commentRangeStart w:id="3"/>
      <w:r w:rsidRPr="004E3A00">
        <w:rPr>
          <w:rFonts w:ascii="Arial" w:hAnsi="Arial" w:cs="Arial"/>
        </w:rPr>
        <w:t>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w:t>
      </w:r>
      <w:commentRangeEnd w:id="3"/>
      <w:r w:rsidR="00263A1D">
        <w:rPr>
          <w:rStyle w:val="CommentReference"/>
        </w:rPr>
        <w:commentReference w:id="3"/>
      </w:r>
      <w:r w:rsidR="005E23F2" w:rsidRPr="004E3A00">
        <w:rPr>
          <w:rFonts w:ascii="Arial" w:hAnsi="Arial" w:cs="Arial"/>
        </w:rPr>
        <w:t xml:space="preserve">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xml:space="preserve">. The parameter </w:t>
      </w:r>
      <w:r w:rsidR="008513D6" w:rsidRPr="004E3A00">
        <w:rPr>
          <w:rFonts w:ascii="Arial" w:hAnsi="Arial" w:cs="Arial"/>
        </w:rPr>
        <w:lastRenderedPageBreak/>
        <w:t>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4E15D2">
        <w:rPr>
          <w:rFonts w:ascii="Arial" w:hAnsi="Arial" w:cs="Arial"/>
        </w:rPr>
        <w:t xml:space="preserve"> In addition, the chance of </w:t>
      </w:r>
      <w:proofErr w:type="spellStart"/>
      <w:r w:rsidR="004E15D2">
        <w:rPr>
          <w:rFonts w:ascii="Arial" w:hAnsi="Arial" w:cs="Arial"/>
        </w:rPr>
        <w:t>masting</w:t>
      </w:r>
      <w:proofErr w:type="spellEnd"/>
      <w:r w:rsidR="004E15D2">
        <w:rPr>
          <w:rFonts w:ascii="Arial" w:hAnsi="Arial" w:cs="Arial"/>
        </w:rPr>
        <w:t xml:space="preserve"> in a year following a mast year was set to zero since it is very rare for simultaneous </w:t>
      </w:r>
      <w:proofErr w:type="spellStart"/>
      <w:r w:rsidR="004E15D2">
        <w:rPr>
          <w:rFonts w:ascii="Arial" w:hAnsi="Arial" w:cs="Arial"/>
        </w:rPr>
        <w:t>masting</w:t>
      </w:r>
      <w:proofErr w:type="spellEnd"/>
      <w:r w:rsidR="004E15D2">
        <w:rPr>
          <w:rFonts w:ascii="Arial" w:hAnsi="Arial" w:cs="Arial"/>
        </w:rPr>
        <w:t xml:space="preserve"> years to occur in the UK </w:t>
      </w:r>
      <w:r w:rsidR="004E15D2">
        <w:rPr>
          <w:rFonts w:ascii="Arial" w:hAnsi="Arial" w:cs="Arial"/>
        </w:rPr>
        <w:fldChar w:fldCharType="begin" w:fldLock="1"/>
      </w:r>
      <w:r w:rsidR="004E15D2">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 "properties" : { "noteIndex" : 0 }, "schema" : "https://github.com/citation-style-language/schema/raw/master/csl-citation.json" }</w:instrText>
      </w:r>
      <w:r w:rsidR="004E15D2">
        <w:rPr>
          <w:rFonts w:ascii="Arial" w:hAnsi="Arial" w:cs="Arial"/>
        </w:rPr>
        <w:fldChar w:fldCharType="separate"/>
      </w:r>
      <w:r w:rsidR="004E15D2" w:rsidRPr="004E15D2">
        <w:rPr>
          <w:rFonts w:ascii="Arial" w:hAnsi="Arial" w:cs="Arial"/>
          <w:noProof/>
        </w:rPr>
        <w:t xml:space="preserve">(Packham </w:t>
      </w:r>
      <w:r w:rsidR="004E15D2" w:rsidRPr="004E15D2">
        <w:rPr>
          <w:rFonts w:ascii="Arial" w:hAnsi="Arial" w:cs="Arial"/>
          <w:i/>
          <w:noProof/>
        </w:rPr>
        <w:t>et al.</w:t>
      </w:r>
      <w:r w:rsidR="004E15D2" w:rsidRPr="004E15D2">
        <w:rPr>
          <w:rFonts w:ascii="Arial" w:hAnsi="Arial" w:cs="Arial"/>
          <w:noProof/>
        </w:rPr>
        <w:t xml:space="preserve"> 2008, 2012)</w:t>
      </w:r>
      <w:r w:rsidR="004E15D2">
        <w:rPr>
          <w:rFonts w:ascii="Arial" w:hAnsi="Arial" w:cs="Arial"/>
        </w:rPr>
        <w:fldChar w:fldCharType="end"/>
      </w:r>
      <w:r w:rsidR="004E15D2">
        <w:rPr>
          <w:rFonts w:ascii="Arial" w:hAnsi="Arial" w:cs="Arial"/>
        </w:rPr>
        <w:t>.</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DB2CE2">
        <w:rPr>
          <w:rFonts w:ascii="Arial" w:hAnsi="Arial" w:cs="Arial"/>
        </w:rPr>
        <w:t xml:space="preserve">temperate </w:t>
      </w:r>
      <w:r w:rsidR="00B15A2F">
        <w:rPr>
          <w:rFonts w:ascii="Arial" w:hAnsi="Arial" w:cs="Arial"/>
        </w:rPr>
        <w:t>forest disturbance</w:t>
      </w:r>
      <w:r w:rsidR="00DB2CE2">
        <w:rPr>
          <w:rFonts w:ascii="Arial" w:hAnsi="Arial" w:cs="Arial"/>
        </w:rPr>
        <w:t>s</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r w:rsidR="00DB2CE2">
        <w:rPr>
          <w:rFonts w:ascii="Arial" w:hAnsi="Arial" w:cs="Arial"/>
        </w:rPr>
        <w:t xml:space="preserve"> We examined the impact of these changes to the coefficients on BA and tree cover 100 years in the future.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4"/>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4"/>
      <w:r w:rsidR="00B67877">
        <w:rPr>
          <w:rStyle w:val="CommentReference"/>
        </w:rPr>
        <w:commentReference w:id="4"/>
      </w:r>
    </w:p>
    <w:p w:rsidR="00A87DA1" w:rsidRPr="004E3A00" w:rsidRDefault="00A87DA1" w:rsidP="00A87DA1">
      <w:pPr>
        <w:spacing w:line="360" w:lineRule="auto"/>
        <w:ind w:firstLine="360"/>
        <w:contextualSpacing/>
        <w:rPr>
          <w:rFonts w:ascii="Arial" w:hAnsi="Arial" w:cs="Arial"/>
        </w:rPr>
      </w:pPr>
      <w:commentRangeStart w:id="5"/>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w:t>
      </w:r>
      <w:r w:rsidRPr="004E3A00">
        <w:rPr>
          <w:rFonts w:ascii="Arial" w:hAnsi="Arial" w:cs="Arial"/>
        </w:rPr>
        <w:lastRenderedPageBreak/>
        <w:t>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5"/>
      <w:r w:rsidR="001A30FD">
        <w:rPr>
          <w:rStyle w:val="CommentReference"/>
        </w:rPr>
        <w:commentReference w:id="5"/>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6"/>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6"/>
      <w:r w:rsidR="00C049AF" w:rsidRPr="004E3A00">
        <w:rPr>
          <w:rStyle w:val="CommentReference"/>
        </w:rPr>
        <w:commentReference w:id="6"/>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w:t>
      </w:r>
      <w:r w:rsidRPr="004E3A00">
        <w:rPr>
          <w:rFonts w:ascii="Arial" w:eastAsia="Times New Roman" w:hAnsi="Arial" w:cs="Arial"/>
          <w:color w:val="000000"/>
          <w:lang w:eastAsia="en-GB"/>
        </w:rPr>
        <w:lastRenderedPageBreak/>
        <w:t>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 xml:space="preserve">and has been </w:t>
      </w:r>
      <w:r w:rsidR="007D6626" w:rsidRPr="004E3A00">
        <w:rPr>
          <w:rFonts w:ascii="Arial" w:eastAsia="Times New Roman" w:hAnsi="Arial" w:cs="Arial"/>
          <w:color w:val="000000"/>
          <w:lang w:eastAsia="en-GB"/>
        </w:rPr>
        <w:lastRenderedPageBreak/>
        <w:t>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Our analyses indicate that positive feedbacks are potentially important for structuring the forest system</w:t>
      </w:r>
      <w:r w:rsidR="00AA207E">
        <w:rPr>
          <w:rFonts w:ascii="Arial" w:eastAsia="Times New Roman" w:hAnsi="Arial" w:cs="Arial"/>
          <w:color w:val="000000"/>
          <w:lang w:eastAsia="en-GB"/>
        </w:rPr>
        <w:t xml:space="preserve"> since</w:t>
      </w:r>
      <w:r w:rsidRPr="004E3A00">
        <w:rPr>
          <w:rFonts w:ascii="Arial" w:eastAsia="Times New Roman" w:hAnsi="Arial" w:cs="Arial"/>
          <w:color w:val="000000"/>
          <w:lang w:eastAsia="en-GB"/>
        </w:rPr>
        <w:t xml:space="preserve"> seedling density was highest in areas with low canopy cover but sapling density was highest in areas with high canopy cover.</w:t>
      </w:r>
      <w:r w:rsidR="00F112FE" w:rsidRPr="004E3A00">
        <w:rPr>
          <w:rFonts w:ascii="Arial" w:eastAsia="Times New Roman" w:hAnsi="Arial" w:cs="Arial"/>
          <w:color w:val="000000"/>
          <w:lang w:eastAsia="en-GB"/>
        </w:rPr>
        <w:t xml:space="preserve"> This obse</w:t>
      </w:r>
      <w:r w:rsidR="00AA207E">
        <w:rPr>
          <w:rFonts w:ascii="Arial" w:eastAsia="Times New Roman" w:hAnsi="Arial" w:cs="Arial"/>
          <w:color w:val="000000"/>
          <w:lang w:eastAsia="en-GB"/>
        </w:rPr>
        <w:t>rvation suggests that the causes of mortality</w:t>
      </w:r>
      <w:r w:rsidR="00F112FE" w:rsidRPr="004E3A00">
        <w:rPr>
          <w:rFonts w:ascii="Arial" w:eastAsia="Times New Roman" w:hAnsi="Arial" w:cs="Arial"/>
          <w:color w:val="000000"/>
          <w:lang w:eastAsia="en-GB"/>
        </w:rPr>
        <w:t xml:space="preserve"> for seedlings and saplings may differ resulting in clusters of treeless areas. This has the potential to result in </w:t>
      </w:r>
      <w:r w:rsidR="00AA207E">
        <w:rPr>
          <w:rFonts w:ascii="Arial" w:eastAsia="Times New Roman" w:hAnsi="Arial" w:cs="Arial"/>
          <w:color w:val="000000"/>
          <w:lang w:eastAsia="en-GB"/>
        </w:rPr>
        <w:t xml:space="preserve">transition to </w:t>
      </w:r>
      <w:proofErr w:type="gramStart"/>
      <w:r w:rsidR="00AA207E">
        <w:rPr>
          <w:rFonts w:ascii="Arial" w:eastAsia="Times New Roman" w:hAnsi="Arial" w:cs="Arial"/>
          <w:color w:val="000000"/>
          <w:lang w:eastAsia="en-GB"/>
        </w:rPr>
        <w:t>a</w:t>
      </w:r>
      <w:r w:rsidR="00F112FE" w:rsidRPr="004E3A00">
        <w:rPr>
          <w:rFonts w:ascii="Arial" w:eastAsia="Times New Roman" w:hAnsi="Arial" w:cs="Arial"/>
          <w:color w:val="000000"/>
          <w:lang w:eastAsia="en-GB"/>
        </w:rPr>
        <w:t xml:space="preserve"> more</w:t>
      </w:r>
      <w:proofErr w:type="gramEnd"/>
      <w:r w:rsidR="00F112FE" w:rsidRPr="004E3A00">
        <w:rPr>
          <w:rFonts w:ascii="Arial" w:eastAsia="Times New Roman" w:hAnsi="Arial" w:cs="Arial"/>
          <w:color w:val="000000"/>
          <w:lang w:eastAsia="en-GB"/>
        </w:rPr>
        <w:t xml:space="preserve"> open woodl</w:t>
      </w:r>
      <w:r w:rsidR="00AA207E">
        <w:rPr>
          <w:rFonts w:ascii="Arial" w:eastAsia="Times New Roman" w:hAnsi="Arial" w:cs="Arial"/>
          <w:color w:val="000000"/>
          <w:lang w:eastAsia="en-GB"/>
        </w:rPr>
        <w:t>and than that found at present</w:t>
      </w:r>
      <w:r w:rsidR="00F112FE" w:rsidRPr="004E3A00">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This suggests that ‘the Vera hypothesis’ </w:t>
      </w:r>
      <w:r w:rsidR="003819C1">
        <w:rPr>
          <w:rFonts w:ascii="Arial" w:eastAsia="Times New Roman" w:hAnsi="Arial" w:cs="Arial"/>
          <w:color w:val="000000"/>
          <w:lang w:eastAsia="en-GB"/>
        </w:rPr>
        <w:fldChar w:fldCharType="begin" w:fldLock="1"/>
      </w:r>
      <w:r w:rsidR="004E15D2">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Pr>
          <w:rFonts w:ascii="Arial" w:eastAsia="Times New Roman" w:hAnsi="Arial" w:cs="Arial"/>
          <w:color w:val="000000"/>
          <w:lang w:eastAsia="en-GB"/>
        </w:rPr>
        <w:fldChar w:fldCharType="separate"/>
      </w:r>
      <w:r w:rsidR="003819C1" w:rsidRPr="003819C1">
        <w:rPr>
          <w:rFonts w:ascii="Arial" w:eastAsia="Times New Roman" w:hAnsi="Arial" w:cs="Arial"/>
          <w:noProof/>
          <w:color w:val="000000"/>
          <w:lang w:eastAsia="en-GB"/>
        </w:rPr>
        <w:t>(Vera 2000)</w:t>
      </w:r>
      <w:r w:rsidR="003819C1">
        <w:rPr>
          <w:rFonts w:ascii="Arial" w:eastAsia="Times New Roman" w:hAnsi="Arial" w:cs="Arial"/>
          <w:color w:val="000000"/>
          <w:lang w:eastAsia="en-GB"/>
        </w:rPr>
        <w:fldChar w:fldCharType="end"/>
      </w:r>
      <w:r w:rsidR="003819C1">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that grazing can lead to more open forests, may be partially supported by our case study. </w:t>
      </w:r>
      <w:commentRangeStart w:id="7"/>
      <w:r w:rsidR="00F112FE" w:rsidRPr="004E3A00">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7"/>
      <w:r w:rsidR="003819C1">
        <w:rPr>
          <w:rStyle w:val="CommentReference"/>
        </w:rPr>
        <w:commentReference w:id="7"/>
      </w:r>
    </w:p>
    <w:p w:rsidR="003819C1" w:rsidRPr="004E3A00"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w:t>
      </w:r>
      <w:r w:rsidR="000E22CA">
        <w:rPr>
          <w:rFonts w:ascii="Arial" w:eastAsia="Times New Roman" w:hAnsi="Arial" w:cs="Arial"/>
          <w:color w:val="000000"/>
          <w:lang w:eastAsia="en-GB"/>
        </w:rPr>
        <w:t xml:space="preserve">using an individual based model </w:t>
      </w:r>
      <w:r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lastRenderedPageBreak/>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4E15D2" w:rsidRPr="004E15D2"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4E15D2" w:rsidRPr="004E15D2">
        <w:rPr>
          <w:rFonts w:ascii="Calibri" w:hAnsi="Calibri" w:cs="Times New Roman"/>
          <w:noProof/>
          <w:szCs w:val="24"/>
        </w:rPr>
        <w:t xml:space="preserve">Acácio, V., Holmgren, M., Jansen, P.A. &amp; Schrotter, O. (2007) Multiple Recruitment Limitation Causes Arrested Succession in Mediterranean Cork Oak Systems. </w:t>
      </w:r>
      <w:r w:rsidR="004E15D2" w:rsidRPr="004E15D2">
        <w:rPr>
          <w:rFonts w:ascii="Calibri" w:hAnsi="Calibri" w:cs="Times New Roman"/>
          <w:i/>
          <w:iCs/>
          <w:noProof/>
          <w:szCs w:val="24"/>
        </w:rPr>
        <w:t>Ecosystems</w:t>
      </w:r>
      <w:r w:rsidR="004E15D2" w:rsidRPr="004E15D2">
        <w:rPr>
          <w:rFonts w:ascii="Calibri" w:hAnsi="Calibri" w:cs="Times New Roman"/>
          <w:noProof/>
          <w:szCs w:val="24"/>
        </w:rPr>
        <w:t xml:space="preserve">, </w:t>
      </w:r>
      <w:r w:rsidR="004E15D2" w:rsidRPr="004E15D2">
        <w:rPr>
          <w:rFonts w:ascii="Calibri" w:hAnsi="Calibri" w:cs="Times New Roman"/>
          <w:b/>
          <w:bCs/>
          <w:noProof/>
          <w:szCs w:val="24"/>
        </w:rPr>
        <w:t>10</w:t>
      </w:r>
      <w:r w:rsidR="004E15D2" w:rsidRPr="004E15D2">
        <w:rPr>
          <w:rFonts w:ascii="Calibri" w:hAnsi="Calibri" w:cs="Times New Roman"/>
          <w:noProof/>
          <w:szCs w:val="24"/>
        </w:rPr>
        <w:t>, 1220–1230.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Barlow, J. &amp; Peres, C.A. (2008) Fire-mediated dieback and compositional cascade in an Amazonian forest. </w:t>
      </w:r>
      <w:r w:rsidRPr="004E15D2">
        <w:rPr>
          <w:rFonts w:ascii="Calibri" w:hAnsi="Calibri" w:cs="Times New Roman"/>
          <w:i/>
          <w:iCs/>
          <w:noProof/>
          <w:szCs w:val="24"/>
        </w:rPr>
        <w:t>Philosophical Transactions of the Royal Society B: Biological Sciences</w:t>
      </w:r>
      <w:r w:rsidRPr="004E15D2">
        <w:rPr>
          <w:rFonts w:ascii="Calibri" w:hAnsi="Calibri" w:cs="Times New Roman"/>
          <w:noProof/>
          <w:szCs w:val="24"/>
        </w:rPr>
        <w:t xml:space="preserve">, </w:t>
      </w:r>
      <w:r w:rsidRPr="004E15D2">
        <w:rPr>
          <w:rFonts w:ascii="Calibri" w:hAnsi="Calibri" w:cs="Times New Roman"/>
          <w:b/>
          <w:bCs/>
          <w:noProof/>
          <w:szCs w:val="24"/>
        </w:rPr>
        <w:t>363</w:t>
      </w:r>
      <w:r w:rsidRPr="004E15D2">
        <w:rPr>
          <w:rFonts w:ascii="Calibri" w:hAnsi="Calibri" w:cs="Times New Roman"/>
          <w:noProof/>
          <w:szCs w:val="24"/>
        </w:rPr>
        <w:t>, 1787–1794.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Barton, K. (2014) MuMIn: Multi-model inference.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Bates, D., Maechler, M., Bolker, B. &amp; Walker, S. (2014) lme4: Linear mixed-effects models using Eigen and S4. </w:t>
      </w:r>
      <w:r w:rsidRPr="004E15D2">
        <w:rPr>
          <w:rFonts w:ascii="Calibri" w:hAnsi="Calibri" w:cs="Times New Roman"/>
          <w:i/>
          <w:iCs/>
          <w:noProof/>
          <w:szCs w:val="24"/>
        </w:rPr>
        <w:t>ArXiv</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Bender, E.A., Case, T.J. &amp; Gilpin, M.E. (1984) Perturbation Experiments in Community Ecology: Theory and Practice. </w:t>
      </w:r>
      <w:r w:rsidRPr="004E15D2">
        <w:rPr>
          <w:rFonts w:ascii="Calibri" w:hAnsi="Calibri" w:cs="Times New Roman"/>
          <w:i/>
          <w:iCs/>
          <w:noProof/>
          <w:szCs w:val="24"/>
        </w:rPr>
        <w:t>Ecology</w:t>
      </w:r>
      <w:r w:rsidRPr="004E15D2">
        <w:rPr>
          <w:rFonts w:ascii="Calibri" w:hAnsi="Calibri" w:cs="Times New Roman"/>
          <w:noProof/>
          <w:szCs w:val="24"/>
        </w:rPr>
        <w:t xml:space="preserve">, </w:t>
      </w:r>
      <w:r w:rsidRPr="004E15D2">
        <w:rPr>
          <w:rFonts w:ascii="Calibri" w:hAnsi="Calibri" w:cs="Times New Roman"/>
          <w:b/>
          <w:bCs/>
          <w:noProof/>
          <w:szCs w:val="24"/>
        </w:rPr>
        <w:t>65</w:t>
      </w:r>
      <w:r w:rsidRPr="004E15D2">
        <w:rPr>
          <w:rFonts w:ascii="Calibri" w:hAnsi="Calibri" w:cs="Times New Roman"/>
          <w:noProof/>
          <w:szCs w:val="24"/>
        </w:rPr>
        <w:t>, 1.</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Burnham, K.P. &amp; Anderson, D.R. (2002) </w:t>
      </w:r>
      <w:r w:rsidRPr="004E15D2">
        <w:rPr>
          <w:rFonts w:ascii="Calibri" w:hAnsi="Calibri" w:cs="Times New Roman"/>
          <w:i/>
          <w:iCs/>
          <w:noProof/>
          <w:szCs w:val="24"/>
        </w:rPr>
        <w:t>Model Selection and Multimodel Inference: A Practical Information-Theoretic Approach</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652–655.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Chao, K.J., Phillips, O.L., Gloor, E., Monteagudo, A., Torres-Lezama, A. &amp; Martínez, R.V. (2008) Growth and wood density predict tree mortality in Amazon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96</w:t>
      </w:r>
      <w:r w:rsidRPr="004E15D2">
        <w:rPr>
          <w:rFonts w:ascii="Calibri" w:hAnsi="Calibri" w:cs="Times New Roman"/>
          <w:noProof/>
          <w:szCs w:val="24"/>
        </w:rPr>
        <w:t>, 281–292.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Collet, C., Lantera, O. &amp; Pardos, M. (2001) Effects of canopy opening on height and diameter growth. </w:t>
      </w:r>
      <w:r w:rsidRPr="004E15D2">
        <w:rPr>
          <w:rFonts w:ascii="Calibri" w:hAnsi="Calibri" w:cs="Times New Roman"/>
          <w:i/>
          <w:iCs/>
          <w:noProof/>
          <w:szCs w:val="24"/>
        </w:rPr>
        <w:t>Annuals of forest science</w:t>
      </w:r>
      <w:r w:rsidRPr="004E15D2">
        <w:rPr>
          <w:rFonts w:ascii="Calibri" w:hAnsi="Calibri" w:cs="Times New Roman"/>
          <w:noProof/>
          <w:szCs w:val="24"/>
        </w:rPr>
        <w:t xml:space="preserve">, </w:t>
      </w:r>
      <w:r w:rsidRPr="004E15D2">
        <w:rPr>
          <w:rFonts w:ascii="Calibri" w:hAnsi="Calibri" w:cs="Times New Roman"/>
          <w:b/>
          <w:bCs/>
          <w:noProof/>
          <w:szCs w:val="24"/>
        </w:rPr>
        <w:t>58</w:t>
      </w:r>
      <w:r w:rsidRPr="004E15D2">
        <w:rPr>
          <w:rFonts w:ascii="Calibri" w:hAnsi="Calibri" w:cs="Times New Roman"/>
          <w:noProof/>
          <w:szCs w:val="24"/>
        </w:rPr>
        <w:t>, 127–134.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&amp; Allen, R.B. (2007) Mortality and tree-size distributions in natural mixed-age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95</w:t>
      </w:r>
      <w:r w:rsidRPr="004E15D2">
        <w:rPr>
          <w:rFonts w:ascii="Calibri" w:hAnsi="Calibri" w:cs="Times New Roman"/>
          <w:noProof/>
          <w:szCs w:val="24"/>
        </w:rPr>
        <w:t>, 27–40.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4E15D2">
        <w:rPr>
          <w:rFonts w:ascii="Calibri" w:hAnsi="Calibri" w:cs="Times New Roman"/>
          <w:i/>
          <w:iCs/>
          <w:noProof/>
          <w:szCs w:val="24"/>
        </w:rPr>
        <w:t>Ecology Letters</w:t>
      </w:r>
      <w:r w:rsidRPr="004E15D2">
        <w:rPr>
          <w:rFonts w:ascii="Calibri" w:hAnsi="Calibri" w:cs="Times New Roman"/>
          <w:noProof/>
          <w:szCs w:val="24"/>
        </w:rPr>
        <w:t xml:space="preserve">, </w:t>
      </w:r>
      <w:r w:rsidRPr="004E15D2">
        <w:rPr>
          <w:rFonts w:ascii="Calibri" w:hAnsi="Calibri" w:cs="Times New Roman"/>
          <w:b/>
          <w:bCs/>
          <w:noProof/>
          <w:szCs w:val="24"/>
        </w:rPr>
        <w:t>6</w:t>
      </w:r>
      <w:r w:rsidRPr="004E15D2">
        <w:rPr>
          <w:rFonts w:ascii="Calibri" w:hAnsi="Calibri" w:cs="Times New Roman"/>
          <w:noProof/>
          <w:szCs w:val="24"/>
        </w:rPr>
        <w:t>, 980–989.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Davidson, C. (2000) Economic Growth and the Environment:Alternatives to the Limits Paradigm. </w:t>
      </w:r>
      <w:r w:rsidRPr="004E15D2">
        <w:rPr>
          <w:rFonts w:ascii="Calibri" w:hAnsi="Calibri" w:cs="Times New Roman"/>
          <w:i/>
          <w:iCs/>
          <w:noProof/>
          <w:szCs w:val="24"/>
        </w:rPr>
        <w:t>BioScience</w:t>
      </w:r>
      <w:r w:rsidRPr="004E15D2">
        <w:rPr>
          <w:rFonts w:ascii="Calibri" w:hAnsi="Calibri" w:cs="Times New Roman"/>
          <w:noProof/>
          <w:szCs w:val="24"/>
        </w:rPr>
        <w:t xml:space="preserve">, </w:t>
      </w:r>
      <w:r w:rsidRPr="004E15D2">
        <w:rPr>
          <w:rFonts w:ascii="Calibri" w:hAnsi="Calibri" w:cs="Times New Roman"/>
          <w:b/>
          <w:bCs/>
          <w:noProof/>
          <w:szCs w:val="24"/>
        </w:rPr>
        <w:t>50</w:t>
      </w:r>
      <w:r w:rsidRPr="004E15D2">
        <w:rPr>
          <w:rFonts w:ascii="Calibri" w:hAnsi="Calibri" w:cs="Times New Roman"/>
          <w:noProof/>
          <w:szCs w:val="24"/>
        </w:rPr>
        <w:t>, 433.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Duwyn, A. &amp; MacDougall, A.S. (2015) When anthropogenic-related disturbances overwhelm demographic persistence mechanisms. </w:t>
      </w:r>
      <w:r w:rsidRPr="004E15D2">
        <w:rPr>
          <w:rFonts w:ascii="Calibri" w:hAnsi="Calibri" w:cs="Times New Roman"/>
          <w:i/>
          <w:iCs/>
          <w:noProof/>
          <w:szCs w:val="24"/>
        </w:rPr>
        <w:t>Journal of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4E15D2">
        <w:rPr>
          <w:rFonts w:ascii="Calibri" w:hAnsi="Calibri" w:cs="Times New Roman"/>
          <w:i/>
          <w:iCs/>
          <w:noProof/>
          <w:szCs w:val="24"/>
        </w:rPr>
        <w:t>Journal of Applied Ecology</w:t>
      </w:r>
      <w:r w:rsidRPr="004E15D2">
        <w:rPr>
          <w:rFonts w:ascii="Calibri" w:hAnsi="Calibri" w:cs="Times New Roman"/>
          <w:noProof/>
          <w:szCs w:val="24"/>
        </w:rPr>
        <w:t xml:space="preserve">, </w:t>
      </w:r>
      <w:r w:rsidRPr="004E15D2">
        <w:rPr>
          <w:rFonts w:ascii="Calibri" w:hAnsi="Calibri" w:cs="Times New Roman"/>
          <w:b/>
          <w:bCs/>
          <w:noProof/>
          <w:szCs w:val="24"/>
        </w:rPr>
        <w:t>52</w:t>
      </w:r>
      <w:r w:rsidRPr="004E15D2">
        <w:rPr>
          <w:rFonts w:ascii="Calibri" w:hAnsi="Calibri" w:cs="Times New Roman"/>
          <w:noProof/>
          <w:szCs w:val="24"/>
        </w:rPr>
        <w:t>, 992–1000.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Folke, C., Carpenter, S.R., Walker, B., Scheffer, M., Chapin, T. &amp; Rockström, J. (2010) Resilience thinking: Integrating resilience, adaptability and transformability. </w:t>
      </w:r>
      <w:r w:rsidRPr="004E15D2">
        <w:rPr>
          <w:rFonts w:ascii="Calibri" w:hAnsi="Calibri" w:cs="Times New Roman"/>
          <w:i/>
          <w:iCs/>
          <w:noProof/>
          <w:szCs w:val="24"/>
        </w:rPr>
        <w:t>Ecology and Society</w:t>
      </w:r>
      <w:r w:rsidRPr="004E15D2">
        <w:rPr>
          <w:rFonts w:ascii="Calibri" w:hAnsi="Calibri" w:cs="Times New Roman"/>
          <w:noProof/>
          <w:szCs w:val="24"/>
        </w:rPr>
        <w:t xml:space="preserve">, </w:t>
      </w:r>
      <w:r w:rsidRPr="004E15D2">
        <w:rPr>
          <w:rFonts w:ascii="Calibri" w:hAnsi="Calibri" w:cs="Times New Roman"/>
          <w:b/>
          <w:bCs/>
          <w:noProof/>
          <w:szCs w:val="24"/>
        </w:rPr>
        <w:t>15</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Forestry Commission England. (2015) Phytophthora ramorum. URL http://www.forestry.gov.uk/forestry/infd-8elbrv [accessed 12 May 2015]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15D2">
        <w:rPr>
          <w:rFonts w:ascii="Calibri" w:hAnsi="Calibri" w:cs="Times New Roman"/>
          <w:i/>
          <w:iCs/>
          <w:noProof/>
          <w:szCs w:val="24"/>
        </w:rPr>
        <w:t>Ecological Modelling</w:t>
      </w:r>
      <w:r w:rsidRPr="004E15D2">
        <w:rPr>
          <w:rFonts w:ascii="Calibri" w:hAnsi="Calibri" w:cs="Times New Roman"/>
          <w:noProof/>
          <w:szCs w:val="24"/>
        </w:rPr>
        <w:t xml:space="preserve">, </w:t>
      </w:r>
      <w:r w:rsidRPr="004E15D2">
        <w:rPr>
          <w:rFonts w:ascii="Calibri" w:hAnsi="Calibri" w:cs="Times New Roman"/>
          <w:b/>
          <w:bCs/>
          <w:noProof/>
          <w:szCs w:val="24"/>
        </w:rPr>
        <w:t>198</w:t>
      </w:r>
      <w:r w:rsidRPr="004E15D2">
        <w:rPr>
          <w:rFonts w:ascii="Calibri" w:hAnsi="Calibri" w:cs="Times New Roman"/>
          <w:noProof/>
          <w:szCs w:val="24"/>
        </w:rPr>
        <w:t>, 115–126.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4E15D2">
        <w:rPr>
          <w:rFonts w:ascii="Calibri" w:hAnsi="Calibri" w:cs="Times New Roman"/>
          <w:i/>
          <w:iCs/>
          <w:noProof/>
          <w:szCs w:val="24"/>
        </w:rPr>
        <w:t>European Journal of Forest Research</w:t>
      </w:r>
      <w:r w:rsidRPr="004E15D2">
        <w:rPr>
          <w:rFonts w:ascii="Calibri" w:hAnsi="Calibri" w:cs="Times New Roman"/>
          <w:noProof/>
          <w:szCs w:val="24"/>
        </w:rPr>
        <w:t xml:space="preserve">, </w:t>
      </w:r>
      <w:r w:rsidRPr="004E15D2">
        <w:rPr>
          <w:rFonts w:ascii="Calibri" w:hAnsi="Calibri" w:cs="Times New Roman"/>
          <w:b/>
          <w:bCs/>
          <w:noProof/>
          <w:szCs w:val="24"/>
        </w:rPr>
        <w:t>130</w:t>
      </w:r>
      <w:r w:rsidRPr="004E15D2">
        <w:rPr>
          <w:rFonts w:ascii="Calibri" w:hAnsi="Calibri" w:cs="Times New Roman"/>
          <w:noProof/>
          <w:szCs w:val="24"/>
        </w:rPr>
        <w:t>, 513–519.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Hirota, M., Holmgren, M., Van Nes, E.H. &amp; Scheffer, M. (2011) Global resilience of tropical forest and savanna to critical transitions.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232–235.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Holzwarth, F., Kahl, A., Bauhus, J. &amp; Wirth, C. (2013) Many ways to die - partitioning tree mortality dynamics in a near-natural mixed deciduous forest (ed P Zuidema).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101</w:t>
      </w:r>
      <w:r w:rsidRPr="004E15D2">
        <w:rPr>
          <w:rFonts w:ascii="Calibri" w:hAnsi="Calibri" w:cs="Times New Roman"/>
          <w:noProof/>
          <w:szCs w:val="24"/>
        </w:rPr>
        <w:t>, 220–230.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4E15D2">
        <w:rPr>
          <w:rFonts w:ascii="Calibri" w:hAnsi="Calibri" w:cs="Times New Roman"/>
          <w:i/>
          <w:iCs/>
          <w:noProof/>
          <w:szCs w:val="24"/>
        </w:rPr>
        <w:t>Mycologist</w:t>
      </w:r>
      <w:r w:rsidRPr="004E15D2">
        <w:rPr>
          <w:rFonts w:ascii="Calibri" w:hAnsi="Calibri" w:cs="Times New Roman"/>
          <w:noProof/>
          <w:szCs w:val="24"/>
        </w:rPr>
        <w:t xml:space="preserve">, </w:t>
      </w:r>
      <w:r w:rsidRPr="004E15D2">
        <w:rPr>
          <w:rFonts w:ascii="Calibri" w:hAnsi="Calibri" w:cs="Times New Roman"/>
          <w:b/>
          <w:bCs/>
          <w:noProof/>
          <w:szCs w:val="24"/>
        </w:rPr>
        <w:t>19</w:t>
      </w:r>
      <w:r w:rsidRPr="004E15D2">
        <w:rPr>
          <w:rFonts w:ascii="Calibri" w:hAnsi="Calibri" w:cs="Times New Roman"/>
          <w:noProof/>
          <w:szCs w:val="24"/>
        </w:rPr>
        <w:t>, 159.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Kuijper, D.P.J., Cromsigt, J.P.G.M., Jędrzejewska, B., Miścicki, S., Churski, M., Jędrzejewski, W. &amp; </w:t>
      </w:r>
      <w:r w:rsidRPr="004E15D2">
        <w:rPr>
          <w:rFonts w:ascii="Calibri" w:hAnsi="Calibri" w:cs="Times New Roman"/>
          <w:noProof/>
          <w:szCs w:val="24"/>
        </w:rPr>
        <w:lastRenderedPageBreak/>
        <w:t xml:space="preserve">Kweczlich, I. (2010) Bottom-up versus top-down control of tree regeneration in the Białowieża Primeval Forest, Poland.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98</w:t>
      </w:r>
      <w:r w:rsidRPr="004E15D2">
        <w:rPr>
          <w:rFonts w:ascii="Calibri" w:hAnsi="Calibri" w:cs="Times New Roman"/>
          <w:noProof/>
          <w:szCs w:val="24"/>
        </w:rPr>
        <w:t>, 888–899.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4E15D2">
        <w:rPr>
          <w:rFonts w:ascii="Calibri" w:hAnsi="Calibri" w:cs="Times New Roman"/>
          <w:i/>
          <w:iCs/>
          <w:noProof/>
          <w:szCs w:val="24"/>
        </w:rPr>
        <w:t>Science (New York, N.Y.)</w:t>
      </w:r>
      <w:r w:rsidRPr="004E15D2">
        <w:rPr>
          <w:rFonts w:ascii="Calibri" w:hAnsi="Calibri" w:cs="Times New Roman"/>
          <w:noProof/>
          <w:szCs w:val="24"/>
        </w:rPr>
        <w:t xml:space="preserve">, </w:t>
      </w:r>
      <w:r w:rsidRPr="004E15D2">
        <w:rPr>
          <w:rFonts w:ascii="Calibri" w:hAnsi="Calibri" w:cs="Times New Roman"/>
          <w:b/>
          <w:bCs/>
          <w:noProof/>
          <w:szCs w:val="24"/>
        </w:rPr>
        <w:t>323</w:t>
      </w:r>
      <w:r w:rsidRPr="004E15D2">
        <w:rPr>
          <w:rFonts w:ascii="Calibri" w:hAnsi="Calibri" w:cs="Times New Roman"/>
          <w:noProof/>
          <w:szCs w:val="24"/>
        </w:rPr>
        <w:t>, 521–524.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Martin, P.A., Newton, A.C., Cantarello, E. &amp; Evans, P. (2015) Stand dieback and collapse in a temperate forest and its impact on forest structure and biodiversity.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358</w:t>
      </w:r>
      <w:r w:rsidRPr="004E15D2">
        <w:rPr>
          <w:rFonts w:ascii="Calibri" w:hAnsi="Calibri" w:cs="Times New Roman"/>
          <w:noProof/>
          <w:szCs w:val="24"/>
        </w:rPr>
        <w:t>, 130–138.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4E15D2">
        <w:rPr>
          <w:rFonts w:ascii="Calibri" w:hAnsi="Calibri" w:cs="Times New Roman"/>
          <w:i/>
          <w:iCs/>
          <w:noProof/>
          <w:szCs w:val="24"/>
        </w:rPr>
        <w:t>Forestry</w:t>
      </w:r>
      <w:r w:rsidRPr="004E15D2">
        <w:rPr>
          <w:rFonts w:ascii="Calibri" w:hAnsi="Calibri" w:cs="Times New Roman"/>
          <w:noProof/>
          <w:szCs w:val="24"/>
        </w:rPr>
        <w:t xml:space="preserve">, </w:t>
      </w:r>
      <w:r w:rsidRPr="004E15D2">
        <w:rPr>
          <w:rFonts w:ascii="Calibri" w:hAnsi="Calibri" w:cs="Times New Roman"/>
          <w:b/>
          <w:bCs/>
          <w:noProof/>
          <w:szCs w:val="24"/>
        </w:rPr>
        <w:t>76</w:t>
      </w:r>
      <w:r w:rsidRPr="004E15D2">
        <w:rPr>
          <w:rFonts w:ascii="Calibri" w:hAnsi="Calibri" w:cs="Times New Roman"/>
          <w:noProof/>
          <w:szCs w:val="24"/>
        </w:rPr>
        <w:t>, 19–43.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4E15D2">
        <w:rPr>
          <w:rFonts w:ascii="Calibri" w:hAnsi="Calibri" w:cs="Times New Roman"/>
          <w:i/>
          <w:iCs/>
          <w:noProof/>
          <w:szCs w:val="24"/>
        </w:rPr>
        <w:t>Perspectives in Plant Ecology, Evolution and Systematics</w:t>
      </w:r>
      <w:r w:rsidRPr="004E15D2">
        <w:rPr>
          <w:rFonts w:ascii="Calibri" w:hAnsi="Calibri" w:cs="Times New Roman"/>
          <w:noProof/>
          <w:szCs w:val="24"/>
        </w:rPr>
        <w:t xml:space="preserve">, </w:t>
      </w:r>
      <w:r w:rsidRPr="004E15D2">
        <w:rPr>
          <w:rFonts w:ascii="Calibri" w:hAnsi="Calibri" w:cs="Times New Roman"/>
          <w:b/>
          <w:bCs/>
          <w:noProof/>
          <w:szCs w:val="24"/>
        </w:rPr>
        <w:t>2</w:t>
      </w:r>
      <w:r w:rsidRPr="004E15D2">
        <w:rPr>
          <w:rFonts w:ascii="Calibri" w:hAnsi="Calibri" w:cs="Times New Roman"/>
          <w:noProof/>
          <w:szCs w:val="24"/>
        </w:rPr>
        <w:t>, 223–272.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398</w:t>
      </w:r>
      <w:r w:rsidRPr="004E15D2">
        <w:rPr>
          <w:rFonts w:ascii="Calibri" w:hAnsi="Calibri" w:cs="Times New Roman"/>
          <w:noProof/>
          <w:szCs w:val="24"/>
        </w:rPr>
        <w:t>, 505–508.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Nimmo, D.G., Mac Nally, R., Cunningham, S.C., Haslem,  a. &amp; Bennett,  a. F. (2015) Vive la résistance: reviving resistance for 21st century conservation. </w:t>
      </w:r>
      <w:r w:rsidRPr="004E15D2">
        <w:rPr>
          <w:rFonts w:ascii="Calibri" w:hAnsi="Calibri" w:cs="Times New Roman"/>
          <w:i/>
          <w:iCs/>
          <w:noProof/>
          <w:szCs w:val="24"/>
        </w:rPr>
        <w:t>Trends in Ecology &amp; Evolution</w:t>
      </w:r>
      <w:r w:rsidRPr="004E15D2">
        <w:rPr>
          <w:rFonts w:ascii="Calibri" w:hAnsi="Calibri" w:cs="Times New Roman"/>
          <w:noProof/>
          <w:szCs w:val="24"/>
        </w:rPr>
        <w:t>, 1–8.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Olesen, C.R. &amp; Madsen, P. (2008) The impact of roe deer (Capreolus capreolus), seedbed, light and seed fall on natural beech (Fagus sylvatica) regeneration.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255</w:t>
      </w:r>
      <w:r w:rsidRPr="004E15D2">
        <w:rPr>
          <w:rFonts w:ascii="Calibri" w:hAnsi="Calibri" w:cs="Times New Roman"/>
          <w:noProof/>
          <w:szCs w:val="24"/>
        </w:rPr>
        <w:t>, 3962–3972.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 a., Atkinson, M.D. &amp; Degen, T. (2012) Biological Flora of the British Isles: Fagus sylvatica.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100</w:t>
      </w:r>
      <w:r w:rsidRPr="004E15D2">
        <w:rPr>
          <w:rFonts w:ascii="Calibri" w:hAnsi="Calibri" w:cs="Times New Roman"/>
          <w:noProof/>
          <w:szCs w:val="24"/>
        </w:rPr>
        <w:t>, 1557–1608.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4E15D2">
        <w:rPr>
          <w:rFonts w:ascii="Calibri" w:hAnsi="Calibri" w:cs="Times New Roman"/>
          <w:i/>
          <w:iCs/>
          <w:noProof/>
          <w:szCs w:val="24"/>
        </w:rPr>
        <w:t>Arboricultural Journal</w:t>
      </w:r>
      <w:r w:rsidRPr="004E15D2">
        <w:rPr>
          <w:rFonts w:ascii="Calibri" w:hAnsi="Calibri" w:cs="Times New Roman"/>
          <w:noProof/>
          <w:szCs w:val="24"/>
        </w:rPr>
        <w:t xml:space="preserve">, </w:t>
      </w:r>
      <w:r w:rsidRPr="004E15D2">
        <w:rPr>
          <w:rFonts w:ascii="Calibri" w:hAnsi="Calibri" w:cs="Times New Roman"/>
          <w:b/>
          <w:bCs/>
          <w:noProof/>
          <w:szCs w:val="24"/>
        </w:rPr>
        <w:t>31</w:t>
      </w:r>
      <w:r w:rsidRPr="004E15D2">
        <w:rPr>
          <w:rFonts w:ascii="Calibri" w:hAnsi="Calibri" w:cs="Times New Roman"/>
          <w:noProof/>
          <w:szCs w:val="24"/>
        </w:rPr>
        <w:t>, 189–214.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 (2013) </w:t>
      </w:r>
      <w:r w:rsidRPr="004E15D2">
        <w:rPr>
          <w:rFonts w:ascii="Calibri" w:hAnsi="Calibri" w:cs="Times New Roman"/>
          <w:i/>
          <w:iCs/>
          <w:noProof/>
          <w:szCs w:val="24"/>
        </w:rPr>
        <w:t>Multiple Stable States in Natural Ecosystems</w:t>
      </w:r>
      <w:r w:rsidRPr="004E15D2">
        <w:rPr>
          <w:rFonts w:ascii="Calibri" w:hAnsi="Calibri" w:cs="Times New Roman"/>
          <w:noProof/>
          <w:szCs w:val="24"/>
        </w:rPr>
        <w:t>. Oxford University Press.</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P.S. &amp; Hoffman, C. (2010) Multiple stable states and relationship between thresholds in processes and states. </w:t>
      </w:r>
      <w:r w:rsidRPr="004E15D2">
        <w:rPr>
          <w:rFonts w:ascii="Calibri" w:hAnsi="Calibri" w:cs="Times New Roman"/>
          <w:i/>
          <w:iCs/>
          <w:noProof/>
          <w:szCs w:val="24"/>
        </w:rPr>
        <w:t>Marine Ecology Progress Series</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189–200.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 Development Core Team. (2011) </w:t>
      </w:r>
      <w:r w:rsidRPr="004E15D2">
        <w:rPr>
          <w:rFonts w:ascii="Calibri" w:hAnsi="Calibri" w:cs="Times New Roman"/>
          <w:i/>
          <w:iCs/>
          <w:noProof/>
          <w:szCs w:val="24"/>
        </w:rPr>
        <w:t>R: A Language and Environment for Statistical Computing</w:t>
      </w:r>
      <w:r w:rsidRPr="004E15D2">
        <w:rPr>
          <w:rFonts w:ascii="Calibri" w:hAnsi="Calibri" w:cs="Times New Roman"/>
          <w:noProof/>
          <w:szCs w:val="24"/>
        </w:rPr>
        <w:t>. R Foundation for Statistical Computing, Vienna, Austria.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103</w:t>
      </w:r>
      <w:r w:rsidRPr="004E15D2">
        <w:rPr>
          <w:rFonts w:ascii="Calibri" w:hAnsi="Calibri" w:cs="Times New Roman"/>
          <w:noProof/>
          <w:szCs w:val="24"/>
        </w:rPr>
        <w:t>, 5–15.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Scheffer, M., Carpenter, S., Foley, J.A., Folke, C. &amp; Walker, B. (2001) Catastrophic shifts in ecosystems.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591–6.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Scheffer, M., Hirota, M., Holmgren, M., Van Nes, E.H. &amp; Chapin, F.S. (2012) Thresholds for boreal biome transitions. </w:t>
      </w:r>
      <w:r w:rsidRPr="004E15D2">
        <w:rPr>
          <w:rFonts w:ascii="Calibri" w:hAnsi="Calibri" w:cs="Times New Roman"/>
          <w:i/>
          <w:iCs/>
          <w:noProof/>
          <w:szCs w:val="24"/>
        </w:rPr>
        <w:t>Proceedings of the National Academy of Sciences of the United States of America</w:t>
      </w:r>
      <w:r w:rsidRPr="004E15D2">
        <w:rPr>
          <w:rFonts w:ascii="Calibri" w:hAnsi="Calibri" w:cs="Times New Roman"/>
          <w:noProof/>
          <w:szCs w:val="24"/>
        </w:rPr>
        <w:t xml:space="preserve">, </w:t>
      </w:r>
      <w:r w:rsidRPr="004E15D2">
        <w:rPr>
          <w:rFonts w:ascii="Calibri" w:hAnsi="Calibri" w:cs="Times New Roman"/>
          <w:b/>
          <w:bCs/>
          <w:noProof/>
          <w:szCs w:val="24"/>
        </w:rPr>
        <w:t>109</w:t>
      </w:r>
      <w:r w:rsidRPr="004E15D2">
        <w:rPr>
          <w:rFonts w:ascii="Calibri" w:hAnsi="Calibri" w:cs="Times New Roman"/>
          <w:noProof/>
          <w:szCs w:val="24"/>
        </w:rPr>
        <w:t>, 21384–9.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Schielzeth, H. (2010) Simple means to improve the interpretability of regression coefficients. </w:t>
      </w:r>
      <w:r w:rsidRPr="004E15D2">
        <w:rPr>
          <w:rFonts w:ascii="Calibri" w:hAnsi="Calibri" w:cs="Times New Roman"/>
          <w:i/>
          <w:iCs/>
          <w:noProof/>
          <w:szCs w:val="24"/>
        </w:rPr>
        <w:t>Methods in Ecology and Evolution</w:t>
      </w:r>
      <w:r w:rsidRPr="004E15D2">
        <w:rPr>
          <w:rFonts w:ascii="Calibri" w:hAnsi="Calibri" w:cs="Times New Roman"/>
          <w:noProof/>
          <w:szCs w:val="24"/>
        </w:rPr>
        <w:t xml:space="preserve">, </w:t>
      </w:r>
      <w:r w:rsidRPr="004E15D2">
        <w:rPr>
          <w:rFonts w:ascii="Calibri" w:hAnsi="Calibri" w:cs="Times New Roman"/>
          <w:b/>
          <w:bCs/>
          <w:noProof/>
          <w:szCs w:val="24"/>
        </w:rPr>
        <w:t>1</w:t>
      </w:r>
      <w:r w:rsidRPr="004E15D2">
        <w:rPr>
          <w:rFonts w:ascii="Calibri" w:hAnsi="Calibri" w:cs="Times New Roman"/>
          <w:noProof/>
          <w:szCs w:val="24"/>
        </w:rPr>
        <w:t>, 103–113.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Scholes, R., Settele, J., Betts, R., Bunn, S., Leadley, P., Nepstad, D., Overpeck, J. &amp; Taboada, M.G. (2014) Terrestrial and inland water systems. </w:t>
      </w:r>
      <w:r w:rsidRPr="004E15D2">
        <w:rPr>
          <w:rFonts w:ascii="Calibri" w:hAnsi="Calibri" w:cs="Times New Roman"/>
          <w:i/>
          <w:iCs/>
          <w:noProof/>
          <w:szCs w:val="24"/>
        </w:rPr>
        <w:t>Climate Change 2014: Impacts, Adaptation, and Vulnerability</w:t>
      </w:r>
      <w:r w:rsidRPr="004E15D2">
        <w:rPr>
          <w:rFonts w:ascii="Calibri" w:hAnsi="Calibri" w:cs="Times New Roman"/>
          <w:noProof/>
          <w:szCs w:val="24"/>
        </w:rPr>
        <w:t xml:space="preserve"> (eds C. Field),, V. Barros),, K. Mach), &amp; M. Mastrandrea), pp. 271–360. Cambridge University Press, Cambridge.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Schelhaas, M., Rammer, W. &amp; Verkerk, P.J. (2014) Increasing forest disturbances in Europe and their impact on carbon storage. </w:t>
      </w:r>
      <w:r w:rsidRPr="004E15D2">
        <w:rPr>
          <w:rFonts w:ascii="Calibri" w:hAnsi="Calibri" w:cs="Times New Roman"/>
          <w:i/>
          <w:iCs/>
          <w:noProof/>
          <w:szCs w:val="24"/>
        </w:rPr>
        <w:t>Nature Climate Change</w:t>
      </w:r>
      <w:r w:rsidRPr="004E15D2">
        <w:rPr>
          <w:rFonts w:ascii="Calibri" w:hAnsi="Calibri" w:cs="Times New Roman"/>
          <w:noProof/>
          <w:szCs w:val="24"/>
        </w:rPr>
        <w:t>, 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4E15D2">
        <w:rPr>
          <w:rFonts w:ascii="Calibri" w:hAnsi="Calibri" w:cs="Times New Roman"/>
          <w:i/>
          <w:iCs/>
          <w:noProof/>
          <w:szCs w:val="24"/>
        </w:rPr>
        <w:t>Journal of Applied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4E15D2">
        <w:rPr>
          <w:rFonts w:ascii="Calibri" w:hAnsi="Calibri" w:cs="Times New Roman"/>
          <w:i/>
          <w:iCs/>
          <w:noProof/>
          <w:szCs w:val="24"/>
        </w:rPr>
        <w:t>Frontiers in Microbiology</w:t>
      </w:r>
      <w:r w:rsidRPr="004E15D2">
        <w:rPr>
          <w:rFonts w:ascii="Calibri" w:hAnsi="Calibri" w:cs="Times New Roman"/>
          <w:noProof/>
          <w:szCs w:val="24"/>
        </w:rPr>
        <w:t xml:space="preserve">, </w:t>
      </w:r>
      <w:r w:rsidRPr="004E15D2">
        <w:rPr>
          <w:rFonts w:ascii="Calibri" w:hAnsi="Calibri" w:cs="Times New Roman"/>
          <w:b/>
          <w:bCs/>
          <w:noProof/>
          <w:szCs w:val="24"/>
        </w:rPr>
        <w:t>3</w:t>
      </w:r>
      <w:r w:rsidRPr="004E15D2">
        <w:rPr>
          <w:rFonts w:ascii="Calibri" w:hAnsi="Calibri" w:cs="Times New Roman"/>
          <w:noProof/>
          <w:szCs w:val="24"/>
        </w:rPr>
        <w:t>, 1–19.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Sheil, D., Burslem, D.F.R.P. &amp; Alder, D. (1995) The Interpretation and misinterpretation of mortality rate measures.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83</w:t>
      </w:r>
      <w:r w:rsidRPr="004E15D2">
        <w:rPr>
          <w:rFonts w:ascii="Calibri" w:hAnsi="Calibri" w:cs="Times New Roman"/>
          <w:noProof/>
          <w:szCs w:val="24"/>
        </w:rPr>
        <w:t>, 331–333.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Sousa, W.. (2001) Natural disturbance and the dynamics of marine benthic communities. </w:t>
      </w:r>
      <w:r w:rsidRPr="004E15D2">
        <w:rPr>
          <w:rFonts w:ascii="Calibri" w:hAnsi="Calibri" w:cs="Times New Roman"/>
          <w:i/>
          <w:iCs/>
          <w:noProof/>
          <w:szCs w:val="24"/>
        </w:rPr>
        <w:t>Marine Community Ecology</w:t>
      </w:r>
      <w:r w:rsidRPr="004E15D2">
        <w:rPr>
          <w:rFonts w:ascii="Calibri" w:hAnsi="Calibri" w:cs="Times New Roman"/>
          <w:noProof/>
          <w:szCs w:val="24"/>
        </w:rPr>
        <w:t xml:space="preserve"> (eds M.D. Bertness),, S. Gaines), &amp; M.E. Hay), pp. 85–130. Sinauer Associates Inc., Sunderland , MA.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Vera, F.W.M. (2000) </w:t>
      </w:r>
      <w:r w:rsidRPr="004E15D2">
        <w:rPr>
          <w:rFonts w:ascii="Calibri" w:hAnsi="Calibri" w:cs="Times New Roman"/>
          <w:i/>
          <w:iCs/>
          <w:noProof/>
          <w:szCs w:val="24"/>
        </w:rPr>
        <w:t>Grazing Ecology and Forest History</w:t>
      </w:r>
      <w:r w:rsidRPr="004E15D2">
        <w:rPr>
          <w:rFonts w:ascii="Calibri" w:hAnsi="Calibri" w:cs="Times New Roman"/>
          <w:noProof/>
          <w:szCs w:val="24"/>
        </w:rPr>
        <w:t>. CABI.</w:t>
      </w:r>
    </w:p>
    <w:p w:rsidR="004E15D2" w:rsidRPr="004E15D2" w:rsidRDefault="004E15D2">
      <w:pPr>
        <w:widowControl w:val="0"/>
        <w:autoSpaceDE w:val="0"/>
        <w:autoSpaceDN w:val="0"/>
        <w:adjustRightInd w:val="0"/>
        <w:spacing w:after="140" w:line="288" w:lineRule="auto"/>
        <w:ind w:left="480" w:hanging="480"/>
        <w:rPr>
          <w:rFonts w:ascii="Calibri" w:hAnsi="Calibri"/>
          <w:noProof/>
        </w:rPr>
      </w:pPr>
      <w:r w:rsidRPr="004E15D2">
        <w:rPr>
          <w:rFonts w:ascii="Calibri" w:hAnsi="Calibri" w:cs="Times New Roman"/>
          <w:noProof/>
          <w:szCs w:val="24"/>
        </w:rPr>
        <w:t>Wilensky, U. (1999) Netlogo.</w:t>
      </w:r>
    </w:p>
    <w:p w:rsidR="00F11B0B" w:rsidRPr="004E3A00" w:rsidRDefault="00F11B0B" w:rsidP="004E15D2">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bookmarkStart w:id="8" w:name="_GoBack"/>
      <w:bookmarkEnd w:id="8"/>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7629A1D" wp14:editId="2CBF192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commentRangeStart w:id="9"/>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9"/>
      <w:r w:rsidR="00305F4F">
        <w:rPr>
          <w:rStyle w:val="CommentReference"/>
          <w:rFonts w:asciiTheme="minorHAnsi" w:eastAsiaTheme="minorHAnsi" w:hAnsiTheme="minorHAnsi" w:cstheme="minorBidi"/>
          <w:lang w:eastAsia="en-US"/>
        </w:rPr>
        <w:commentReference w:id="9"/>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3A3432F3" wp14:editId="7F9368F1">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10"/>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10"/>
      <w:r w:rsidR="00A824A1">
        <w:rPr>
          <w:rStyle w:val="CommentReference"/>
        </w:rPr>
        <w:commentReference w:id="10"/>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52DEF7E" wp14:editId="5E499E0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11"/>
      <w:commentRangeStart w:id="12"/>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1"/>
      <w:r w:rsidR="002B700A" w:rsidRPr="004E3A00">
        <w:rPr>
          <w:rStyle w:val="CommentReference"/>
        </w:rPr>
        <w:commentReference w:id="11"/>
      </w:r>
      <w:commentRangeEnd w:id="12"/>
      <w:r w:rsidR="00A824A1">
        <w:rPr>
          <w:rStyle w:val="CommentReference"/>
        </w:rPr>
        <w:commentReference w:id="12"/>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commentRangeStart w:id="13"/>
      <w:proofErr w:type="gramStart"/>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commentRangeEnd w:id="13"/>
      <w:proofErr w:type="gramEnd"/>
      <w:r w:rsidR="00B06D6E">
        <w:rPr>
          <w:rStyle w:val="CommentReference"/>
        </w:rPr>
        <w:commentReference w:id="1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RPr="004E3A00" w:rsidTr="00BA763D">
        <w:tc>
          <w:tcPr>
            <w:tcW w:w="2310" w:type="dxa"/>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Annual mortality rate of saplings</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1964-1984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0.56</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0"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0.78</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1.00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0.04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4.07%</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7.20%</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1984-1988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2.79%</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5.91%</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1988-1996</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0.32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3.53%</w:t>
            </w:r>
          </w:p>
        </w:tc>
      </w:tr>
      <w:tr w:rsidR="00A87DA1" w:rsidRPr="004E3A00" w:rsidTr="00BA763D">
        <w:tc>
          <w:tcPr>
            <w:tcW w:w="2310" w:type="dxa"/>
            <w:tcBorders>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1996-2014</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0.09</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0.62</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0.61</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0.16</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0.50%</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5.22%</w:t>
            </w:r>
          </w:p>
        </w:tc>
      </w:tr>
    </w:tbl>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1D43DA" w:rsidRDefault="001D43DA">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11-26T10:44:00Z" w:initials="PM">
    <w:p w:rsidR="001D43DA" w:rsidRDefault="001D43DA">
      <w:pPr>
        <w:pStyle w:val="CommentText"/>
      </w:pPr>
      <w:r>
        <w:rPr>
          <w:rStyle w:val="CommentReference"/>
        </w:rPr>
        <w:annotationRef/>
      </w:r>
      <w:r>
        <w:t>Put in a citation for this.</w:t>
      </w:r>
    </w:p>
  </w:comment>
  <w:comment w:id="2" w:author="Phil Martin" w:date="2015-09-07T09:29:00Z" w:initials="PM">
    <w:p w:rsidR="001D43DA" w:rsidRDefault="001D43DA">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3" w:author="Phil Martin" w:date="2015-11-30T10:59:00Z" w:initials="PM">
    <w:p w:rsidR="001D43DA" w:rsidRDefault="001D43DA">
      <w:pPr>
        <w:pStyle w:val="CommentText"/>
      </w:pPr>
      <w:r>
        <w:rPr>
          <w:rStyle w:val="CommentReference"/>
        </w:rPr>
        <w:annotationRef/>
      </w:r>
      <w:r>
        <w:t>Check to see how I have defined this.</w:t>
      </w:r>
    </w:p>
  </w:comment>
  <w:comment w:id="4" w:author="Phil Martin" w:date="2015-11-26T12:06:00Z" w:initials="PM">
    <w:p w:rsidR="001D43DA" w:rsidRDefault="001D43DA">
      <w:pPr>
        <w:pStyle w:val="CommentText"/>
      </w:pPr>
      <w:r>
        <w:rPr>
          <w:rStyle w:val="CommentReference"/>
        </w:rPr>
        <w:annotationRef/>
      </w:r>
      <w:r>
        <w:t>I need to tidy up this analysis, reporting standard errors of slopes where needed.</w:t>
      </w:r>
    </w:p>
  </w:comment>
  <w:comment w:id="5" w:author="Phil Martin" w:date="2015-11-26T12:06:00Z" w:initials="PM">
    <w:p w:rsidR="001D43DA" w:rsidRDefault="001D43DA">
      <w:pPr>
        <w:pStyle w:val="CommentText"/>
      </w:pPr>
      <w:r>
        <w:rPr>
          <w:rStyle w:val="CommentReference"/>
        </w:rPr>
        <w:annotationRef/>
      </w:r>
      <w:r>
        <w:t>This part of the analysis needs tidying up as well. It is the basis for the IBM so it needs to be high quality.</w:t>
      </w:r>
    </w:p>
  </w:comment>
  <w:comment w:id="6" w:author="Phil Martin" w:date="2015-09-07T09:27:00Z" w:initials="PM">
    <w:p w:rsidR="001D43DA" w:rsidRDefault="001D43DA">
      <w:pPr>
        <w:pStyle w:val="CommentText"/>
      </w:pPr>
      <w:r>
        <w:rPr>
          <w:rStyle w:val="CommentReference"/>
        </w:rPr>
        <w:annotationRef/>
      </w:r>
      <w:r>
        <w:t>This needs reworking when I run the new model. These results are based on a previous model run.</w:t>
      </w:r>
    </w:p>
  </w:comment>
  <w:comment w:id="7" w:author="Phil Martin" w:date="2015-11-30T12:00:00Z" w:initials="PM">
    <w:p w:rsidR="001D43DA" w:rsidRDefault="001D43DA">
      <w:pPr>
        <w:pStyle w:val="CommentText"/>
      </w:pPr>
      <w:r>
        <w:rPr>
          <w:rStyle w:val="CommentReference"/>
        </w:rPr>
        <w:annotationRef/>
      </w:r>
      <w:r>
        <w:t>At present this is poorly explained. I need to work out a better way of saying this.</w:t>
      </w:r>
    </w:p>
  </w:comment>
  <w:comment w:id="9" w:author="Phil Martin" w:date="2015-11-30T15:59:00Z" w:initials="PM">
    <w:p w:rsidR="001D43DA" w:rsidRDefault="001D43DA">
      <w:pPr>
        <w:pStyle w:val="CommentText"/>
      </w:pPr>
      <w:r>
        <w:rPr>
          <w:rStyle w:val="CommentReference"/>
        </w:rPr>
        <w:annotationRef/>
      </w:r>
      <w:r>
        <w:t>Change this so that there are more ticks on both axes</w:t>
      </w:r>
    </w:p>
  </w:comment>
  <w:comment w:id="10" w:author="Phil Martin" w:date="2015-10-13T11:13:00Z" w:initials="PM">
    <w:p w:rsidR="001D43DA" w:rsidRDefault="001D43DA">
      <w:pPr>
        <w:pStyle w:val="CommentText"/>
      </w:pPr>
      <w:r>
        <w:rPr>
          <w:rStyle w:val="CommentReference"/>
        </w:rPr>
        <w:annotationRef/>
      </w:r>
      <w:r>
        <w:t>Stick confidence intervals on this. Stick something about statistics in legend.</w:t>
      </w:r>
    </w:p>
  </w:comment>
  <w:comment w:id="11" w:author="Phil Martin" w:date="2015-10-13T10:21:00Z" w:initials="PM">
    <w:p w:rsidR="001D43DA" w:rsidRDefault="001D43DA">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2" w:author="Phil Martin" w:date="2015-10-13T11:15:00Z" w:initials="PM">
    <w:p w:rsidR="001D43DA" w:rsidRDefault="001D43DA">
      <w:pPr>
        <w:pStyle w:val="CommentText"/>
      </w:pPr>
      <w:r>
        <w:rPr>
          <w:rStyle w:val="CommentReference"/>
        </w:rPr>
        <w:annotationRef/>
      </w:r>
      <w:r>
        <w:t>Remove panels and show (a), (b), (c) etc.</w:t>
      </w:r>
    </w:p>
  </w:comment>
  <w:comment w:id="13" w:author="Phil Martin" w:date="2015-11-26T10:42:00Z" w:initials="PM">
    <w:p w:rsidR="001D43DA" w:rsidRDefault="001D43DA">
      <w:pPr>
        <w:pStyle w:val="CommentText"/>
      </w:pPr>
      <w:r>
        <w:rPr>
          <w:rStyle w:val="CommentReference"/>
        </w:rPr>
        <w:annotationRef/>
      </w:r>
      <w:r>
        <w:t>Re-do this so that the proportion of saplings that increased is expressed as an annual rate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2"/>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75D5E"/>
    <w:rsid w:val="0009127F"/>
    <w:rsid w:val="000B1AD5"/>
    <w:rsid w:val="000B620B"/>
    <w:rsid w:val="000E22CA"/>
    <w:rsid w:val="000E25C9"/>
    <w:rsid w:val="000E6E1D"/>
    <w:rsid w:val="000F7021"/>
    <w:rsid w:val="0011596D"/>
    <w:rsid w:val="0013294B"/>
    <w:rsid w:val="00174EF6"/>
    <w:rsid w:val="001A30FD"/>
    <w:rsid w:val="001D43DA"/>
    <w:rsid w:val="001D619D"/>
    <w:rsid w:val="002324D1"/>
    <w:rsid w:val="00263A1D"/>
    <w:rsid w:val="002B700A"/>
    <w:rsid w:val="002D258C"/>
    <w:rsid w:val="002D37F9"/>
    <w:rsid w:val="00305F4F"/>
    <w:rsid w:val="00310344"/>
    <w:rsid w:val="003348F5"/>
    <w:rsid w:val="003446FA"/>
    <w:rsid w:val="003722C5"/>
    <w:rsid w:val="00376928"/>
    <w:rsid w:val="003819C1"/>
    <w:rsid w:val="003D0FCF"/>
    <w:rsid w:val="003D61E5"/>
    <w:rsid w:val="003E727E"/>
    <w:rsid w:val="004166E0"/>
    <w:rsid w:val="004618A6"/>
    <w:rsid w:val="004C4BD3"/>
    <w:rsid w:val="004C5D56"/>
    <w:rsid w:val="004D78CA"/>
    <w:rsid w:val="004E15D2"/>
    <w:rsid w:val="004E3A00"/>
    <w:rsid w:val="004E7D34"/>
    <w:rsid w:val="004F6967"/>
    <w:rsid w:val="00512270"/>
    <w:rsid w:val="00527DD8"/>
    <w:rsid w:val="00550523"/>
    <w:rsid w:val="00560962"/>
    <w:rsid w:val="0056725C"/>
    <w:rsid w:val="0059280B"/>
    <w:rsid w:val="005B3436"/>
    <w:rsid w:val="005C455F"/>
    <w:rsid w:val="005D2262"/>
    <w:rsid w:val="005D5F34"/>
    <w:rsid w:val="005E23F2"/>
    <w:rsid w:val="00602857"/>
    <w:rsid w:val="00620A02"/>
    <w:rsid w:val="00627E68"/>
    <w:rsid w:val="00655D51"/>
    <w:rsid w:val="00695472"/>
    <w:rsid w:val="006A0E4E"/>
    <w:rsid w:val="006B5377"/>
    <w:rsid w:val="006D6CD3"/>
    <w:rsid w:val="006F0C2D"/>
    <w:rsid w:val="006F3166"/>
    <w:rsid w:val="00732C7B"/>
    <w:rsid w:val="00741B3C"/>
    <w:rsid w:val="007578E3"/>
    <w:rsid w:val="00772722"/>
    <w:rsid w:val="00780DF1"/>
    <w:rsid w:val="00787860"/>
    <w:rsid w:val="007D4DA1"/>
    <w:rsid w:val="007D6626"/>
    <w:rsid w:val="00812C49"/>
    <w:rsid w:val="008513D6"/>
    <w:rsid w:val="00883BE4"/>
    <w:rsid w:val="008B0D23"/>
    <w:rsid w:val="008B2F2E"/>
    <w:rsid w:val="008B348E"/>
    <w:rsid w:val="008C51BD"/>
    <w:rsid w:val="008D6CB8"/>
    <w:rsid w:val="008E1B37"/>
    <w:rsid w:val="00937D98"/>
    <w:rsid w:val="00952854"/>
    <w:rsid w:val="009534FF"/>
    <w:rsid w:val="00997F8B"/>
    <w:rsid w:val="009A7386"/>
    <w:rsid w:val="009B3945"/>
    <w:rsid w:val="009B692C"/>
    <w:rsid w:val="009C65E1"/>
    <w:rsid w:val="00A05E5E"/>
    <w:rsid w:val="00A33D3E"/>
    <w:rsid w:val="00A55BA5"/>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3FA"/>
    <w:rsid w:val="00C9060F"/>
    <w:rsid w:val="00C94329"/>
    <w:rsid w:val="00C94F83"/>
    <w:rsid w:val="00CB7AA1"/>
    <w:rsid w:val="00D05602"/>
    <w:rsid w:val="00D2111C"/>
    <w:rsid w:val="00D405AE"/>
    <w:rsid w:val="00D415C3"/>
    <w:rsid w:val="00DB2CE2"/>
    <w:rsid w:val="00DD6D42"/>
    <w:rsid w:val="00DE0691"/>
    <w:rsid w:val="00E031F8"/>
    <w:rsid w:val="00E177C4"/>
    <w:rsid w:val="00E32A5A"/>
    <w:rsid w:val="00E64C63"/>
    <w:rsid w:val="00EC6C08"/>
    <w:rsid w:val="00F112FE"/>
    <w:rsid w:val="00F11B0B"/>
    <w:rsid w:val="00F20584"/>
    <w:rsid w:val="00F23BD8"/>
    <w:rsid w:val="00FC38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8E190-8291-4735-9E7C-A55117E9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35568</Words>
  <Characters>202742</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14</cp:revision>
  <dcterms:created xsi:type="dcterms:W3CDTF">2015-11-30T10:23:00Z</dcterms:created>
  <dcterms:modified xsi:type="dcterms:W3CDTF">2015-12-01T12:42:00Z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