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Pr="004E3A00">
        <w:rPr>
          <w:rFonts w:ascii="Arial" w:eastAsia="Times New Roman" w:hAnsi="Arial" w:cs="Arial"/>
          <w:color w:val="000000"/>
          <w:u w:val="single"/>
          <w:lang w:eastAsia="en-GB"/>
        </w:rPr>
        <w:t>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1"/>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1"/>
      <w:r w:rsidR="00B06D6E">
        <w:rPr>
          <w:rStyle w:val="CommentReference"/>
        </w:rPr>
        <w:commentReference w:id="1"/>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3"/>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3"/>
      <w:r w:rsidR="00263A1D">
        <w:rPr>
          <w:rStyle w:val="CommentReference"/>
        </w:rPr>
        <w:commentReference w:id="3"/>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4"/>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4"/>
      <w:r w:rsidR="00B67877">
        <w:rPr>
          <w:rStyle w:val="CommentReference"/>
        </w:rPr>
        <w:commentReference w:id="4"/>
      </w:r>
    </w:p>
    <w:p w:rsidR="00A87DA1" w:rsidRPr="004E3A00" w:rsidRDefault="00A87DA1" w:rsidP="00A87DA1">
      <w:pPr>
        <w:spacing w:line="360" w:lineRule="auto"/>
        <w:ind w:firstLine="360"/>
        <w:contextualSpacing/>
        <w:rPr>
          <w:rFonts w:ascii="Arial" w:hAnsi="Arial" w:cs="Arial"/>
        </w:rPr>
      </w:pPr>
      <w:commentRangeStart w:id="5"/>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5"/>
      <w:r w:rsidR="001A30FD">
        <w:rPr>
          <w:rStyle w:val="CommentReference"/>
        </w:rPr>
        <w:commentReference w:id="5"/>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6"/>
      <w:r w:rsidR="00C049AF" w:rsidRPr="004E3A00">
        <w:rPr>
          <w:rStyle w:val="CommentReference"/>
        </w:rPr>
        <w:commentReference w:id="6"/>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7"/>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7"/>
      <w:r w:rsidR="003819C1">
        <w:rPr>
          <w:rStyle w:val="CommentReference"/>
        </w:rPr>
        <w:commentReference w:id="7"/>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8"/>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8"/>
      <w:r w:rsidR="00305F4F">
        <w:rPr>
          <w:rStyle w:val="CommentReference"/>
          <w:rFonts w:asciiTheme="minorHAnsi" w:eastAsiaTheme="minorHAnsi" w:hAnsiTheme="minorHAnsi" w:cstheme="minorBidi"/>
          <w:lang w:eastAsia="en-US"/>
        </w:rPr>
        <w:commentReference w:id="8"/>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9"/>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9"/>
      <w:r w:rsidR="00A824A1">
        <w:rPr>
          <w:rStyle w:val="CommentReference"/>
        </w:rPr>
        <w:commentReference w:id="9"/>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0"/>
      <w:commentRangeStart w:id="11"/>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0"/>
      <w:r w:rsidR="002B700A" w:rsidRPr="004E3A00">
        <w:rPr>
          <w:rStyle w:val="CommentReference"/>
        </w:rPr>
        <w:commentReference w:id="10"/>
      </w:r>
      <w:commentRangeEnd w:id="11"/>
      <w:r w:rsidR="00A824A1">
        <w:rPr>
          <w:rStyle w:val="CommentReference"/>
        </w:rPr>
        <w:commentReference w:id="11"/>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bookmarkStart w:id="12" w:name="_GoBack"/>
            <w:bookmarkEnd w:id="12"/>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F157A0" w:rsidRDefault="00F157A0">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11-26T10:44:00Z" w:initials="PM">
    <w:p w:rsidR="00F157A0" w:rsidRDefault="00F157A0">
      <w:pPr>
        <w:pStyle w:val="CommentText"/>
      </w:pPr>
      <w:r>
        <w:rPr>
          <w:rStyle w:val="CommentReference"/>
        </w:rPr>
        <w:annotationRef/>
      </w:r>
      <w:r>
        <w:t>Put in a citation for this.</w:t>
      </w:r>
    </w:p>
  </w:comment>
  <w:comment w:id="2" w:author="Phil Martin" w:date="2015-09-07T09:29:00Z" w:initials="PM">
    <w:p w:rsidR="00F157A0" w:rsidRDefault="00F157A0">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3" w:author="Phil Martin" w:date="2015-11-30T10:59:00Z" w:initials="PM">
    <w:p w:rsidR="00F157A0" w:rsidRDefault="00F157A0">
      <w:pPr>
        <w:pStyle w:val="CommentText"/>
      </w:pPr>
      <w:r>
        <w:rPr>
          <w:rStyle w:val="CommentReference"/>
        </w:rPr>
        <w:annotationRef/>
      </w:r>
      <w:r>
        <w:t>Check to see how I have defined this.</w:t>
      </w:r>
    </w:p>
  </w:comment>
  <w:comment w:id="4" w:author="Phil Martin" w:date="2015-11-26T12:06:00Z" w:initials="PM">
    <w:p w:rsidR="00F157A0" w:rsidRDefault="00F157A0">
      <w:pPr>
        <w:pStyle w:val="CommentText"/>
      </w:pPr>
      <w:r>
        <w:rPr>
          <w:rStyle w:val="CommentReference"/>
        </w:rPr>
        <w:annotationRef/>
      </w:r>
      <w:r>
        <w:t>I need to tidy up this analysis, reporting standard errors of slopes where needed.</w:t>
      </w:r>
    </w:p>
  </w:comment>
  <w:comment w:id="5" w:author="Phil Martin" w:date="2015-11-26T12:06:00Z" w:initials="PM">
    <w:p w:rsidR="00F157A0" w:rsidRDefault="00F157A0">
      <w:pPr>
        <w:pStyle w:val="CommentText"/>
      </w:pPr>
      <w:r>
        <w:rPr>
          <w:rStyle w:val="CommentReference"/>
        </w:rPr>
        <w:annotationRef/>
      </w:r>
      <w:r>
        <w:t>This part of the analysis needs tidying up as well. It is the basis for the IBM so it needs to be high quality.</w:t>
      </w:r>
    </w:p>
  </w:comment>
  <w:comment w:id="6" w:author="Phil Martin" w:date="2015-09-07T09:27:00Z" w:initials="PM">
    <w:p w:rsidR="00F157A0" w:rsidRDefault="00F157A0">
      <w:pPr>
        <w:pStyle w:val="CommentText"/>
      </w:pPr>
      <w:r>
        <w:rPr>
          <w:rStyle w:val="CommentReference"/>
        </w:rPr>
        <w:annotationRef/>
      </w:r>
      <w:r>
        <w:t>This needs reworking when I run the new model. These results are based on a previous model run.</w:t>
      </w:r>
    </w:p>
  </w:comment>
  <w:comment w:id="7" w:author="Phil Martin" w:date="2015-11-30T12:00:00Z" w:initials="PM">
    <w:p w:rsidR="00F157A0" w:rsidRDefault="00F157A0">
      <w:pPr>
        <w:pStyle w:val="CommentText"/>
      </w:pPr>
      <w:r>
        <w:rPr>
          <w:rStyle w:val="CommentReference"/>
        </w:rPr>
        <w:annotationRef/>
      </w:r>
      <w:r>
        <w:t>At present this is poorly explained. I need to work out a better way of saying this.</w:t>
      </w:r>
    </w:p>
  </w:comment>
  <w:comment w:id="8" w:author="Phil Martin" w:date="2015-11-30T15:59:00Z" w:initials="PM">
    <w:p w:rsidR="00F157A0" w:rsidRDefault="00F157A0">
      <w:pPr>
        <w:pStyle w:val="CommentText"/>
      </w:pPr>
      <w:r>
        <w:rPr>
          <w:rStyle w:val="CommentReference"/>
        </w:rPr>
        <w:annotationRef/>
      </w:r>
      <w:r>
        <w:t>Change this so that there are more ticks on both axes</w:t>
      </w:r>
    </w:p>
  </w:comment>
  <w:comment w:id="9" w:author="Phil Martin" w:date="2015-10-13T11:13:00Z" w:initials="PM">
    <w:p w:rsidR="00F157A0" w:rsidRDefault="00F157A0">
      <w:pPr>
        <w:pStyle w:val="CommentText"/>
      </w:pPr>
      <w:r>
        <w:rPr>
          <w:rStyle w:val="CommentReference"/>
        </w:rPr>
        <w:annotationRef/>
      </w:r>
      <w:r>
        <w:t>Stick confidence intervals on this. Stick something about statistics in legend.</w:t>
      </w:r>
    </w:p>
  </w:comment>
  <w:comment w:id="10" w:author="Phil Martin" w:date="2015-10-13T10:21:00Z" w:initials="PM">
    <w:p w:rsidR="00F157A0" w:rsidRDefault="00F157A0">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1" w:author="Phil Martin" w:date="2015-10-13T11:15:00Z" w:initials="PM">
    <w:p w:rsidR="00F157A0" w:rsidRDefault="00F157A0">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2"/>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67E66"/>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63A1D"/>
    <w:rsid w:val="002B700A"/>
    <w:rsid w:val="002D258C"/>
    <w:rsid w:val="002D37F9"/>
    <w:rsid w:val="00305F4F"/>
    <w:rsid w:val="00310344"/>
    <w:rsid w:val="003348F5"/>
    <w:rsid w:val="003446FA"/>
    <w:rsid w:val="003722C5"/>
    <w:rsid w:val="00376928"/>
    <w:rsid w:val="003819C1"/>
    <w:rsid w:val="003D0FCF"/>
    <w:rsid w:val="003D61E5"/>
    <w:rsid w:val="003E727E"/>
    <w:rsid w:val="004166E0"/>
    <w:rsid w:val="00446BF9"/>
    <w:rsid w:val="004618A6"/>
    <w:rsid w:val="004C4BD3"/>
    <w:rsid w:val="004C5D56"/>
    <w:rsid w:val="004D78CA"/>
    <w:rsid w:val="004E15D2"/>
    <w:rsid w:val="004E3A00"/>
    <w:rsid w:val="004E7D34"/>
    <w:rsid w:val="004F6967"/>
    <w:rsid w:val="00512270"/>
    <w:rsid w:val="00527DD8"/>
    <w:rsid w:val="00550523"/>
    <w:rsid w:val="00560962"/>
    <w:rsid w:val="0056725C"/>
    <w:rsid w:val="0059280B"/>
    <w:rsid w:val="005B3436"/>
    <w:rsid w:val="005C455F"/>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3945"/>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405AE"/>
    <w:rsid w:val="00D415C3"/>
    <w:rsid w:val="00DB2CE2"/>
    <w:rsid w:val="00DD6D42"/>
    <w:rsid w:val="00DE0691"/>
    <w:rsid w:val="00E031F8"/>
    <w:rsid w:val="00E177C4"/>
    <w:rsid w:val="00E32A5A"/>
    <w:rsid w:val="00E64C63"/>
    <w:rsid w:val="00EC6C08"/>
    <w:rsid w:val="00F112FE"/>
    <w:rsid w:val="00F11B0B"/>
    <w:rsid w:val="00F157A0"/>
    <w:rsid w:val="00F20584"/>
    <w:rsid w:val="00F23BD8"/>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A01A9-A71E-46ED-87B3-B080B50C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35567</Words>
  <Characters>202738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2015-12-01T14:29:00Z</dcterms:created>
  <dcterms:modified xsi:type="dcterms:W3CDTF">2015-12-01T15:07:00Z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