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Default="00C9060F" w:rsidP="00F11B0B">
      <w:pPr>
        <w:spacing w:after="0" w:line="360" w:lineRule="auto"/>
        <w:contextualSpacing/>
        <w:rPr>
          <w:rFonts w:ascii="Arial" w:eastAsia="Times New Roman" w:hAnsi="Arial" w:cs="Arial"/>
          <w:b/>
          <w:bCs/>
          <w:color w:val="000000"/>
          <w:lang w:eastAsia="en-GB"/>
        </w:rPr>
      </w:pPr>
      <w:r w:rsidRPr="004E3A00">
        <w:rPr>
          <w:rFonts w:ascii="Arial" w:eastAsia="Times New Roman" w:hAnsi="Arial" w:cs="Arial"/>
          <w:b/>
          <w:bCs/>
          <w:color w:val="000000"/>
          <w:lang w:eastAsia="en-GB"/>
        </w:rPr>
        <w:t>Working title</w:t>
      </w:r>
      <w:r w:rsidR="00DF6F7C">
        <w:rPr>
          <w:rFonts w:ascii="Arial" w:eastAsia="Times New Roman" w:hAnsi="Arial" w:cs="Arial"/>
          <w:b/>
          <w:bCs/>
          <w:color w:val="000000"/>
          <w:lang w:eastAsia="en-GB"/>
        </w:rPr>
        <w:t>s</w:t>
      </w:r>
      <w:r w:rsidRPr="004E3A00">
        <w:rPr>
          <w:rFonts w:ascii="Arial" w:eastAsia="Times New Roman" w:hAnsi="Arial" w:cs="Arial"/>
          <w:b/>
          <w:bCs/>
          <w:color w:val="000000"/>
          <w:lang w:eastAsia="en-GB"/>
        </w:rPr>
        <w:t xml:space="preserve">: </w:t>
      </w:r>
      <w:r w:rsidR="00DF6F7C">
        <w:rPr>
          <w:rFonts w:ascii="Arial" w:eastAsia="Times New Roman" w:hAnsi="Arial" w:cs="Arial"/>
          <w:b/>
          <w:bCs/>
          <w:color w:val="000000"/>
          <w:lang w:eastAsia="en-GB"/>
        </w:rPr>
        <w:t>Loss of t</w:t>
      </w:r>
      <w:r w:rsidRPr="004E3A00">
        <w:rPr>
          <w:rFonts w:ascii="Arial" w:eastAsia="Times New Roman" w:hAnsi="Arial" w:cs="Arial"/>
          <w:b/>
          <w:bCs/>
          <w:color w:val="000000"/>
          <w:lang w:eastAsia="en-GB"/>
        </w:rPr>
        <w:t xml:space="preserve">ree cover </w:t>
      </w:r>
      <w:r w:rsidR="00DF6F7C">
        <w:rPr>
          <w:rFonts w:ascii="Arial" w:eastAsia="Times New Roman" w:hAnsi="Arial" w:cs="Arial"/>
          <w:b/>
          <w:bCs/>
          <w:color w:val="000000"/>
          <w:lang w:eastAsia="en-GB"/>
        </w:rPr>
        <w:t xml:space="preserve">is gradual </w:t>
      </w:r>
      <w:r w:rsidRPr="004E3A00">
        <w:rPr>
          <w:rFonts w:ascii="Arial" w:eastAsia="Times New Roman" w:hAnsi="Arial" w:cs="Arial"/>
          <w:b/>
          <w:bCs/>
          <w:color w:val="000000"/>
          <w:lang w:eastAsia="en-GB"/>
        </w:rPr>
        <w:t>in a temperate forest</w:t>
      </w:r>
      <w:r w:rsidR="00DF6F7C">
        <w:rPr>
          <w:rFonts w:ascii="Arial" w:eastAsia="Times New Roman" w:hAnsi="Arial" w:cs="Arial"/>
          <w:b/>
          <w:bCs/>
          <w:color w:val="000000"/>
          <w:lang w:eastAsia="en-GB"/>
        </w:rPr>
        <w:t xml:space="preserve"> subject to drought</w:t>
      </w:r>
    </w:p>
    <w:p w:rsidR="00DF6F7C" w:rsidRDefault="00DF6F7C" w:rsidP="00F11B0B">
      <w:pPr>
        <w:spacing w:after="0" w:line="360" w:lineRule="auto"/>
        <w:contextualSpacing/>
        <w:rPr>
          <w:rFonts w:ascii="Arial" w:eastAsia="Times New Roman" w:hAnsi="Arial" w:cs="Arial"/>
          <w:b/>
          <w:bCs/>
          <w:color w:val="000000"/>
          <w:lang w:eastAsia="en-GB"/>
        </w:rPr>
      </w:pPr>
    </w:p>
    <w:p w:rsidR="00DF6F7C" w:rsidRPr="00DF6F7C" w:rsidRDefault="00DF6F7C" w:rsidP="00F11B0B">
      <w:pPr>
        <w:spacing w:after="0" w:line="360" w:lineRule="auto"/>
        <w:contextualSpacing/>
        <w:rPr>
          <w:rFonts w:ascii="Arial" w:eastAsia="Times New Roman" w:hAnsi="Arial" w:cs="Arial"/>
          <w:b/>
          <w:bCs/>
          <w:color w:val="000000"/>
          <w:lang w:eastAsia="en-GB"/>
        </w:rPr>
      </w:pPr>
      <w:r>
        <w:rPr>
          <w:rFonts w:ascii="Arial" w:eastAsia="Times New Roman" w:hAnsi="Arial" w:cs="Arial"/>
          <w:b/>
          <w:bCs/>
          <w:color w:val="000000"/>
          <w:lang w:eastAsia="en-GB"/>
        </w:rPr>
        <w:t>Drought causes loss of tree cover in a temperate forest but not transition to a non-forest state</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xml:space="preserve">: Transition to non-forest state </w:t>
      </w:r>
      <w:r w:rsidR="00E031F8">
        <w:rPr>
          <w:rFonts w:ascii="Arial" w:eastAsia="Times New Roman" w:hAnsi="Arial" w:cs="Arial"/>
          <w:color w:val="000000"/>
          <w:u w:val="single"/>
          <w:lang w:eastAsia="en-GB"/>
        </w:rPr>
        <w:t xml:space="preserve">may </w:t>
      </w:r>
      <w:r w:rsidR="00D232FE">
        <w:rPr>
          <w:rFonts w:ascii="Arial" w:eastAsia="Times New Roman" w:hAnsi="Arial" w:cs="Arial"/>
          <w:color w:val="000000"/>
          <w:u w:val="single"/>
          <w:lang w:eastAsia="en-GB"/>
        </w:rPr>
        <w:t>depend</w:t>
      </w:r>
      <w:r w:rsidRPr="004E3A00">
        <w:rPr>
          <w:rFonts w:ascii="Arial" w:eastAsia="Times New Roman" w:hAnsi="Arial" w:cs="Arial"/>
          <w:color w:val="000000"/>
          <w:u w:val="single"/>
          <w:lang w:eastAsia="en-GB"/>
        </w:rPr>
        <w:t xml:space="preserve"> on positive feedbacks: l</w:t>
      </w:r>
      <w:bookmarkStart w:id="0" w:name="_GoBack"/>
      <w:bookmarkEnd w:id="0"/>
      <w:r w:rsidRPr="004E3A00">
        <w:rPr>
          <w:rFonts w:ascii="Arial" w:eastAsia="Times New Roman" w:hAnsi="Arial" w:cs="Arial"/>
          <w:color w:val="000000"/>
          <w:u w:val="single"/>
          <w:lang w:eastAsia="en-GB"/>
        </w:rPr>
        <w:t>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00D232FE">
        <w:rPr>
          <w:rFonts w:ascii="Arial" w:hAnsi="Arial" w:cs="Arial"/>
        </w:rPr>
        <w:t>.</w:t>
      </w: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D232FE" w:rsidRPr="00D232F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232FE">
        <w:rPr>
          <w:rFonts w:ascii="Arial" w:eastAsia="Times New Roman" w:hAnsi="Arial" w:cs="Arial"/>
          <w:color w:val="000000"/>
          <w:shd w:val="clear" w:color="auto" w:fill="FFFFFF"/>
          <w:lang w:eastAsia="en-GB"/>
        </w:rPr>
        <w:t xml:space="preserve">There </w:t>
      </w:r>
      <w:r w:rsidR="000B1AD5" w:rsidRPr="00D232FE">
        <w:rPr>
          <w:rFonts w:ascii="Arial" w:eastAsia="Times New Roman" w:hAnsi="Arial" w:cs="Arial"/>
          <w:color w:val="000000"/>
          <w:shd w:val="clear" w:color="auto" w:fill="FFFFFF"/>
          <w:lang w:eastAsia="en-GB"/>
        </w:rPr>
        <w:t xml:space="preserve">is </w:t>
      </w:r>
      <w:r w:rsidRPr="00D232FE">
        <w:rPr>
          <w:rFonts w:ascii="Arial" w:eastAsia="Times New Roman" w:hAnsi="Arial" w:cs="Arial"/>
          <w:color w:val="000000"/>
          <w:shd w:val="clear" w:color="auto" w:fill="FFFFFF"/>
          <w:lang w:eastAsia="en-GB"/>
        </w:rPr>
        <w:t xml:space="preserve">concern </w:t>
      </w:r>
      <w:r w:rsidR="00B45B79" w:rsidRPr="00D232FE">
        <w:rPr>
          <w:rFonts w:ascii="Arial" w:eastAsia="Times New Roman" w:hAnsi="Arial" w:cs="Arial"/>
          <w:color w:val="000000"/>
          <w:shd w:val="clear" w:color="auto" w:fill="FFFFFF"/>
          <w:lang w:eastAsia="en-GB"/>
        </w:rPr>
        <w:t>that</w:t>
      </w:r>
      <w:r w:rsidRPr="00D232FE">
        <w:rPr>
          <w:rFonts w:ascii="Arial" w:eastAsia="Times New Roman" w:hAnsi="Arial" w:cs="Arial"/>
          <w:color w:val="000000"/>
          <w:shd w:val="clear" w:color="auto" w:fill="FFFFFF"/>
          <w:lang w:eastAsia="en-GB"/>
        </w:rPr>
        <w:t xml:space="preserve"> forest dieback</w:t>
      </w:r>
      <w:r w:rsidR="00B45B79" w:rsidRPr="00D232FE">
        <w:rPr>
          <w:rFonts w:ascii="Arial" w:eastAsia="Times New Roman" w:hAnsi="Arial" w:cs="Arial"/>
          <w:color w:val="000000"/>
          <w:shd w:val="clear" w:color="auto" w:fill="FFFFFF"/>
          <w:lang w:eastAsia="en-GB"/>
        </w:rPr>
        <w:t xml:space="preserve"> may </w:t>
      </w:r>
      <w:r w:rsidR="00D232FE" w:rsidRPr="00D232FE">
        <w:rPr>
          <w:rFonts w:ascii="Arial" w:eastAsia="Times New Roman" w:hAnsi="Arial" w:cs="Arial"/>
          <w:color w:val="000000"/>
          <w:shd w:val="clear" w:color="auto" w:fill="FFFFFF"/>
          <w:lang w:eastAsia="en-GB"/>
        </w:rPr>
        <w:t>result in</w:t>
      </w:r>
      <w:r w:rsidR="00B45B79" w:rsidRPr="00D232FE">
        <w:rPr>
          <w:rFonts w:ascii="Arial" w:eastAsia="Times New Roman" w:hAnsi="Arial" w:cs="Arial"/>
          <w:color w:val="000000"/>
          <w:shd w:val="clear" w:color="auto" w:fill="FFFFFF"/>
          <w:lang w:eastAsia="en-GB"/>
        </w:rPr>
        <w:t xml:space="preserve"> </w:t>
      </w:r>
      <w:r w:rsidRPr="00D232FE">
        <w:rPr>
          <w:rFonts w:ascii="Arial" w:eastAsia="Times New Roman" w:hAnsi="Arial" w:cs="Arial"/>
          <w:color w:val="000000"/>
          <w:shd w:val="clear" w:color="auto" w:fill="FFFFFF"/>
          <w:lang w:eastAsia="en-GB"/>
        </w:rPr>
        <w:t xml:space="preserve">transitions to non-forest states. Positive feedbacks are thought to </w:t>
      </w:r>
      <w:r w:rsidR="003D0FCF" w:rsidRPr="00D232FE">
        <w:rPr>
          <w:rFonts w:ascii="Arial" w:eastAsia="Times New Roman" w:hAnsi="Arial" w:cs="Arial"/>
          <w:color w:val="000000"/>
          <w:shd w:val="clear" w:color="auto" w:fill="FFFFFF"/>
          <w:lang w:eastAsia="en-GB"/>
        </w:rPr>
        <w:t>play</w:t>
      </w:r>
      <w:r w:rsidRPr="00D232FE">
        <w:rPr>
          <w:rFonts w:ascii="Arial" w:eastAsia="Times New Roman" w:hAnsi="Arial" w:cs="Arial"/>
          <w:color w:val="000000"/>
          <w:shd w:val="clear" w:color="auto" w:fill="FFFFFF"/>
          <w:lang w:eastAsia="en-GB"/>
        </w:rPr>
        <w:t xml:space="preserve"> an important </w:t>
      </w:r>
      <w:r w:rsidR="003D0FCF" w:rsidRPr="00D232FE">
        <w:rPr>
          <w:rFonts w:ascii="Arial" w:eastAsia="Times New Roman" w:hAnsi="Arial" w:cs="Arial"/>
          <w:color w:val="000000"/>
          <w:shd w:val="clear" w:color="auto" w:fill="FFFFFF"/>
          <w:lang w:eastAsia="en-GB"/>
        </w:rPr>
        <w:t xml:space="preserve">role in </w:t>
      </w:r>
      <w:r w:rsidRPr="00D232FE">
        <w:rPr>
          <w:rFonts w:ascii="Arial" w:eastAsia="Times New Roman" w:hAnsi="Arial" w:cs="Arial"/>
          <w:color w:val="000000"/>
          <w:shd w:val="clear" w:color="auto" w:fill="FFFFFF"/>
          <w:lang w:eastAsia="en-GB"/>
        </w:rPr>
        <w:t>such transitions</w:t>
      </w:r>
      <w:r w:rsidR="003D0FCF" w:rsidRPr="00D232FE">
        <w:rPr>
          <w:rFonts w:ascii="Arial" w:eastAsia="Times New Roman" w:hAnsi="Arial" w:cs="Arial"/>
          <w:color w:val="000000"/>
          <w:shd w:val="clear" w:color="auto" w:fill="FFFFFF"/>
          <w:lang w:eastAsia="en-GB"/>
        </w:rPr>
        <w:t xml:space="preserve"> by creating self-perpetuating shifts in system states.</w:t>
      </w:r>
      <w:r w:rsidR="000B1AD5" w:rsidRPr="00D232FE">
        <w:rPr>
          <w:rFonts w:ascii="Arial" w:eastAsia="Times New Roman" w:hAnsi="Arial" w:cs="Arial"/>
          <w:color w:val="000000"/>
          <w:shd w:val="clear" w:color="auto" w:fill="FFFFFF"/>
          <w:lang w:eastAsia="en-GB"/>
        </w:rPr>
        <w:t xml:space="preserve"> </w:t>
      </w:r>
    </w:p>
    <w:p w:rsidR="00C9060F" w:rsidRPr="00D232F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232FE">
        <w:rPr>
          <w:rFonts w:ascii="Arial" w:eastAsia="Times New Roman" w:hAnsi="Arial" w:cs="Arial"/>
          <w:color w:val="000000"/>
          <w:shd w:val="clear" w:color="auto" w:fill="FFFFFF"/>
          <w:lang w:eastAsia="en-GB"/>
        </w:rPr>
        <w:t xml:space="preserve">We used statistical models to </w:t>
      </w:r>
      <w:r w:rsidR="006F0C2D" w:rsidRPr="00D232FE">
        <w:rPr>
          <w:rFonts w:ascii="Arial" w:eastAsia="Times New Roman" w:hAnsi="Arial" w:cs="Arial"/>
          <w:color w:val="000000"/>
          <w:shd w:val="clear" w:color="auto" w:fill="FFFFFF"/>
          <w:lang w:eastAsia="en-GB"/>
        </w:rPr>
        <w:t>identify</w:t>
      </w:r>
      <w:r w:rsidRPr="00D232FE">
        <w:rPr>
          <w:rFonts w:ascii="Arial" w:eastAsia="Times New Roman" w:hAnsi="Arial" w:cs="Arial"/>
          <w:color w:val="000000"/>
          <w:shd w:val="clear" w:color="auto" w:fill="FFFFFF"/>
          <w:lang w:eastAsia="en-GB"/>
        </w:rPr>
        <w:t xml:space="preserve"> correlates of </w:t>
      </w:r>
      <w:r w:rsidR="00620A02" w:rsidRPr="00D232FE">
        <w:rPr>
          <w:rFonts w:ascii="Arial" w:eastAsia="Times New Roman" w:hAnsi="Arial" w:cs="Arial"/>
          <w:color w:val="000000"/>
          <w:shd w:val="clear" w:color="auto" w:fill="FFFFFF"/>
          <w:lang w:eastAsia="en-GB"/>
        </w:rPr>
        <w:t xml:space="preserve">death and recruitment of the canopy dominant </w:t>
      </w:r>
      <w:r w:rsidR="00B45B79" w:rsidRPr="00D232FE">
        <w:rPr>
          <w:rFonts w:ascii="Arial" w:eastAsia="Times New Roman" w:hAnsi="Arial" w:cs="Arial"/>
          <w:color w:val="000000"/>
          <w:shd w:val="clear" w:color="auto" w:fill="FFFFFF"/>
          <w:lang w:eastAsia="en-GB"/>
        </w:rPr>
        <w:t>(</w:t>
      </w:r>
      <w:proofErr w:type="spellStart"/>
      <w:r w:rsidR="00620A02" w:rsidRPr="00D232FE">
        <w:rPr>
          <w:rFonts w:ascii="Arial" w:eastAsia="Times New Roman" w:hAnsi="Arial" w:cs="Arial"/>
          <w:i/>
          <w:color w:val="000000"/>
          <w:shd w:val="clear" w:color="auto" w:fill="FFFFFF"/>
          <w:lang w:eastAsia="en-GB"/>
        </w:rPr>
        <w:t>Fagus</w:t>
      </w:r>
      <w:proofErr w:type="spellEnd"/>
      <w:r w:rsidR="00620A02" w:rsidRPr="00D232FE">
        <w:rPr>
          <w:rFonts w:ascii="Arial" w:eastAsia="Times New Roman" w:hAnsi="Arial" w:cs="Arial"/>
          <w:i/>
          <w:color w:val="000000"/>
          <w:shd w:val="clear" w:color="auto" w:fill="FFFFFF"/>
          <w:lang w:eastAsia="en-GB"/>
        </w:rPr>
        <w:t xml:space="preserve"> </w:t>
      </w:r>
      <w:proofErr w:type="spellStart"/>
      <w:r w:rsidR="00620A02" w:rsidRPr="00D232FE">
        <w:rPr>
          <w:rFonts w:ascii="Arial" w:eastAsia="Times New Roman" w:hAnsi="Arial" w:cs="Arial"/>
          <w:i/>
          <w:color w:val="000000"/>
          <w:shd w:val="clear" w:color="auto" w:fill="FFFFFF"/>
          <w:lang w:eastAsia="en-GB"/>
        </w:rPr>
        <w:t>sylvatica</w:t>
      </w:r>
      <w:proofErr w:type="spellEnd"/>
      <w:r w:rsidR="00B45B79" w:rsidRPr="00D232FE">
        <w:rPr>
          <w:rFonts w:ascii="Arial" w:eastAsia="Times New Roman" w:hAnsi="Arial" w:cs="Arial"/>
          <w:color w:val="000000"/>
          <w:shd w:val="clear" w:color="auto" w:fill="FFFFFF"/>
          <w:lang w:eastAsia="en-GB"/>
        </w:rPr>
        <w:t xml:space="preserve"> - </w:t>
      </w:r>
      <w:r w:rsidR="00620A02" w:rsidRPr="00D232FE">
        <w:rPr>
          <w:rFonts w:ascii="Arial" w:eastAsia="Times New Roman" w:hAnsi="Arial" w:cs="Arial"/>
          <w:color w:val="000000"/>
          <w:shd w:val="clear" w:color="auto" w:fill="FFFFFF"/>
          <w:lang w:eastAsia="en-GB"/>
        </w:rPr>
        <w:t>beech)</w:t>
      </w:r>
      <w:r w:rsidR="006F0C2D" w:rsidRPr="00D232FE">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D232FE">
        <w:rPr>
          <w:rFonts w:ascii="Arial" w:eastAsia="Times New Roman" w:hAnsi="Arial" w:cs="Arial"/>
          <w:color w:val="000000"/>
          <w:shd w:val="clear" w:color="auto" w:fill="FFFFFF"/>
          <w:lang w:eastAsia="en-GB"/>
        </w:rPr>
        <w:t xml:space="preserve"> </w:t>
      </w:r>
      <w:r w:rsidR="006F0C2D" w:rsidRPr="00D232FE">
        <w:rPr>
          <w:rFonts w:ascii="Arial" w:eastAsia="Times New Roman" w:hAnsi="Arial" w:cs="Arial"/>
          <w:color w:val="000000"/>
          <w:shd w:val="clear" w:color="auto" w:fill="FFFFFF"/>
          <w:lang w:eastAsia="en-GB"/>
        </w:rPr>
        <w:t xml:space="preserve">these </w:t>
      </w:r>
      <w:r w:rsidRPr="00D232FE">
        <w:rPr>
          <w:rFonts w:ascii="Arial" w:eastAsia="Times New Roman" w:hAnsi="Arial" w:cs="Arial"/>
          <w:color w:val="000000"/>
          <w:shd w:val="clear" w:color="auto" w:fill="FFFFFF"/>
          <w:lang w:eastAsia="en-GB"/>
        </w:rPr>
        <w:t xml:space="preserve">results along with information from the literature to build an individual based model to investigate the impact of positive feedbacks </w:t>
      </w:r>
      <w:r w:rsidR="00D232FE">
        <w:rPr>
          <w:rFonts w:ascii="Arial" w:eastAsia="Times New Roman" w:hAnsi="Arial" w:cs="Arial"/>
          <w:color w:val="000000"/>
          <w:shd w:val="clear" w:color="auto" w:fill="FFFFFF"/>
          <w:lang w:eastAsia="en-GB"/>
        </w:rPr>
        <w:t xml:space="preserve">and disturbance </w:t>
      </w:r>
      <w:r w:rsidRPr="00D232FE">
        <w:rPr>
          <w:rFonts w:ascii="Arial" w:eastAsia="Times New Roman" w:hAnsi="Arial" w:cs="Arial"/>
          <w:color w:val="000000"/>
          <w:shd w:val="clear" w:color="auto" w:fill="FFFFFF"/>
          <w:lang w:eastAsia="en-GB"/>
        </w:rPr>
        <w:t>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w:t>
      </w:r>
      <w:r w:rsidR="00D232FE">
        <w:rPr>
          <w:rFonts w:ascii="Arial" w:eastAsia="Times New Roman" w:hAnsi="Arial" w:cs="Arial"/>
          <w:szCs w:val="24"/>
          <w:lang w:eastAsia="en-GB"/>
        </w:rPr>
        <w:t xml:space="preserve">ositive </w:t>
      </w:r>
      <w:r w:rsidRPr="004E3A00">
        <w:rPr>
          <w:rFonts w:ascii="Arial" w:eastAsia="Times New Roman" w:hAnsi="Arial" w:cs="Arial"/>
          <w:szCs w:val="24"/>
          <w:lang w:eastAsia="en-GB"/>
        </w:rPr>
        <w:t>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1"/>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1"/>
      <w:r w:rsidR="006D6CD3" w:rsidRPr="004E3A00">
        <w:rPr>
          <w:rStyle w:val="CommentReference"/>
        </w:rPr>
        <w:commentReference w:id="1"/>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w:t>
      </w:r>
      <w:r w:rsidR="00D232FE">
        <w:rPr>
          <w:rFonts w:ascii="Arial" w:eastAsia="Times New Roman" w:hAnsi="Arial" w:cs="Arial"/>
          <w:color w:val="000000"/>
          <w:lang w:eastAsia="en-GB"/>
        </w:rPr>
        <w:t>climate change</w:t>
      </w:r>
      <w:r w:rsidR="004E7D34" w:rsidRPr="004E3A00">
        <w:rPr>
          <w:rFonts w:ascii="Arial" w:eastAsia="Times New Roman" w:hAnsi="Arial" w:cs="Arial"/>
          <w:color w:val="000000"/>
          <w:lang w:eastAsia="en-GB"/>
        </w:rPr>
        <w:t xml:space="preserve"> and </w:t>
      </w:r>
      <w:r w:rsidR="00D232FE">
        <w:rPr>
          <w:rFonts w:ascii="Arial" w:eastAsia="Times New Roman" w:hAnsi="Arial" w:cs="Arial"/>
          <w:color w:val="000000"/>
          <w:lang w:eastAsia="en-GB"/>
        </w:rPr>
        <w:t xml:space="preserve">anthropogenic </w:t>
      </w:r>
      <w:r w:rsidR="004E7D34" w:rsidRPr="004E3A00">
        <w:rPr>
          <w:rFonts w:ascii="Arial" w:eastAsia="Times New Roman" w:hAnsi="Arial" w:cs="Arial"/>
          <w:color w:val="000000"/>
          <w:lang w:eastAsia="en-GB"/>
        </w:rPr>
        <w:t>disturbance</w:t>
      </w:r>
      <w:r w:rsidR="00D232FE">
        <w:rPr>
          <w:rFonts w:ascii="Arial" w:eastAsia="Times New Roman" w:hAnsi="Arial" w:cs="Arial"/>
          <w:color w:val="000000"/>
          <w:lang w:eastAsia="en-GB"/>
        </w:rPr>
        <w:t>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w:t>
      </w:r>
      <w:r w:rsidR="00D232FE">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feedback mechanisms</w:t>
      </w:r>
      <w:r w:rsidR="00E177C4" w:rsidRPr="004E3A00">
        <w:rPr>
          <w:rFonts w:ascii="Arial" w:eastAsia="Times New Roman" w:hAnsi="Arial" w:cs="Arial"/>
          <w:color w:val="000000"/>
          <w:lang w:eastAsia="en-GB"/>
        </w:rPr>
        <w:t xml:space="preserve"> </w:t>
      </w:r>
      <w:r w:rsidR="00B6284F">
        <w:rPr>
          <w:rFonts w:ascii="Arial" w:eastAsia="Times New Roman" w:hAnsi="Arial" w:cs="Arial"/>
          <w:color w:val="000000"/>
          <w:lang w:eastAsia="en-GB"/>
        </w:rPr>
        <w:t xml:space="preserve">where fire is </w:t>
      </w:r>
      <w:r w:rsidR="00B6284F">
        <w:rPr>
          <w:rFonts w:ascii="Arial" w:eastAsia="Times New Roman" w:hAnsi="Arial" w:cs="Arial"/>
          <w:color w:val="000000"/>
          <w:lang w:eastAsia="en-GB"/>
        </w:rPr>
        <w:lastRenderedPageBreak/>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sidR="00E031F8">
        <w:rPr>
          <w:rFonts w:ascii="Arial" w:eastAsia="Times New Roman" w:hAnsi="Arial" w:cs="Arial"/>
          <w:color w:val="000000"/>
          <w:lang w:eastAsia="en-GB"/>
        </w:rPr>
        <w:t>and those &gt;10 cm DBH as mature.</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w:t>
      </w:r>
      <w:r w:rsidR="00B06D6E">
        <w:rPr>
          <w:rFonts w:ascii="Arial" w:eastAsia="Times New Roman" w:hAnsi="Arial" w:cs="Arial"/>
          <w:color w:val="000000"/>
          <w:lang w:eastAsia="en-GB"/>
        </w:rPr>
        <w:t xml:space="preserve">mature tree </w:t>
      </w:r>
      <w:r w:rsidR="00B06D6E" w:rsidRPr="004E3A00">
        <w:rPr>
          <w:rFonts w:ascii="Arial" w:eastAsia="Times New Roman" w:hAnsi="Arial" w:cs="Arial"/>
          <w:color w:val="000000"/>
          <w:lang w:eastAsia="en-GB"/>
        </w:rPr>
        <w:t xml:space="preserve">(stems &gt;10 cm DBH) </w:t>
      </w:r>
      <w:r w:rsidRPr="004E3A00">
        <w:rPr>
          <w:rFonts w:ascii="Arial" w:eastAsia="Times New Roman" w:hAnsi="Arial" w:cs="Arial"/>
          <w:color w:val="000000"/>
          <w:lang w:eastAsia="en-GB"/>
        </w:rPr>
        <w:t xml:space="preserve">density and basal area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4E3A00">
        <w:rPr>
          <w:rFonts w:ascii="Arial" w:eastAsia="Times New Roman" w:hAnsi="Arial" w:cs="Arial"/>
          <w:color w:val="000000"/>
          <w:lang w:eastAsia="en-GB"/>
        </w:rPr>
        <w:t>to relate stem density to basal area</w:t>
      </w:r>
      <w:r w:rsidR="00B06D6E">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with subplot number as a random effect. </w:t>
      </w:r>
      <w:commentRangeStart w:id="2"/>
      <w:r w:rsidRPr="004E3A00">
        <w:rPr>
          <w:rFonts w:ascii="Arial" w:eastAsia="Times New Roman" w:hAnsi="Arial" w:cs="Arial"/>
          <w:color w:val="000000"/>
          <w:lang w:eastAsia="en-GB"/>
        </w:rPr>
        <w:t>A negative slope suggests a gain in BA with a loss of stem density while a positive slope suggests a gain in BA with increasing stem density</w:t>
      </w:r>
      <w:commentRangeEnd w:id="2"/>
      <w:r w:rsidR="00B06D6E">
        <w:rPr>
          <w:rStyle w:val="CommentReference"/>
        </w:rPr>
        <w:commentReference w:id="2"/>
      </w:r>
      <w:r w:rsidRPr="004E3A00">
        <w:rPr>
          <w:rFonts w:ascii="Arial" w:eastAsia="Times New Roman" w:hAnsi="Arial" w:cs="Arial"/>
          <w:color w:val="000000"/>
          <w:lang w:eastAsia="en-GB"/>
        </w:rPr>
        <w:t>.</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 xml:space="preserve"> tree size – DBH (cm), Basal area (m</w:t>
      </w:r>
      <w:r w:rsidRPr="00E031F8">
        <w:rPr>
          <w:rFonts w:ascii="Arial" w:eastAsia="Times New Roman" w:hAnsi="Arial" w:cs="Arial"/>
          <w:color w:val="000000"/>
          <w:vertAlign w:val="superscript"/>
          <w:lang w:eastAsia="en-GB"/>
        </w:rPr>
        <w:t>2</w:t>
      </w:r>
      <w:r w:rsidRPr="00E031F8">
        <w:rPr>
          <w:rFonts w:ascii="Arial" w:eastAsia="Times New Roman" w:hAnsi="Arial" w:cs="Arial"/>
          <w:color w:val="000000"/>
          <w:lang w:eastAsia="en-GB"/>
        </w:rPr>
        <w:t>), and tree size relative to other trees in the transect (bounded between 0 and 1)</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tree growth - Annual diameter growth rate (mm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basal area growth rate (mm</w:t>
      </w:r>
      <w:r w:rsidRPr="00E031F8">
        <w:rPr>
          <w:rFonts w:ascii="Arial" w:eastAsia="Times New Roman" w:hAnsi="Arial" w:cs="Arial"/>
          <w:color w:val="000000"/>
          <w:vertAlign w:val="superscript"/>
          <w:lang w:eastAsia="en-GB"/>
        </w:rPr>
        <w:t xml:space="preserve">2 </w:t>
      </w:r>
      <w:r w:rsidRPr="00E031F8">
        <w:rPr>
          <w:rFonts w:ascii="Arial" w:eastAsia="Times New Roman" w:hAnsi="Arial" w:cs="Arial"/>
          <w:color w:val="000000"/>
          <w:lang w:eastAsia="en-GB"/>
        </w:rPr>
        <w:t>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relative DBH growth rate (% DBH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and relative BA growth rate (% BA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proximity to dead trees - distance of an individual tree to a dead tree and abundance of dead trees in a 10m buffer</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 xml:space="preserve">et </w:t>
      </w:r>
      <w:r w:rsidR="005B3436" w:rsidRPr="005B3436">
        <w:rPr>
          <w:rFonts w:ascii="Arial" w:eastAsia="Times New Roman" w:hAnsi="Arial" w:cs="Arial"/>
          <w:i/>
          <w:noProof/>
          <w:color w:val="000000"/>
          <w:lang w:eastAsia="en-GB"/>
        </w:rPr>
        <w:lastRenderedPageBreak/>
        <w:t>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3"/>
      <w:r w:rsidRPr="004E3A00">
        <w:rPr>
          <w:rFonts w:ascii="Arial" w:hAnsi="Arial" w:cs="Arial"/>
          <w:b/>
        </w:rPr>
        <w:t xml:space="preserve">Individual based model </w:t>
      </w:r>
      <w:commentRangeEnd w:id="3"/>
      <w:r w:rsidR="004166E0" w:rsidRPr="004E3A00">
        <w:rPr>
          <w:rStyle w:val="CommentReference"/>
        </w:rPr>
        <w:commentReference w:id="3"/>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w:t>
      </w:r>
      <w:r w:rsidR="00883BE4">
        <w:rPr>
          <w:rFonts w:ascii="Arial" w:hAnsi="Arial" w:cs="Arial"/>
        </w:rPr>
        <w:t>terature - a</w:t>
      </w:r>
      <w:r w:rsidR="00C3566F">
        <w:rPr>
          <w:rFonts w:ascii="Arial" w:hAnsi="Arial" w:cs="Arial"/>
        </w:rPr>
        <w:t xml:space="preserve"> full description of these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w:t>
      </w:r>
      <w:r w:rsidR="009534FF">
        <w:rPr>
          <w:rFonts w:ascii="Arial" w:hAnsi="Arial" w:cs="Arial"/>
        </w:rPr>
        <w:t xml:space="preserve">in our study site </w:t>
      </w:r>
      <w:r w:rsidR="003348F5" w:rsidRPr="004E3A00">
        <w:rPr>
          <w:rFonts w:ascii="Arial" w:hAnsi="Arial" w:cs="Arial"/>
        </w:rPr>
        <w:t xml:space="preserve">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DBH of mature trees is derived from the age of trees using an equation for beech growth defined in </w:t>
      </w:r>
      <w:r w:rsidRPr="004E3A00">
        <w:rPr>
          <w:rFonts w:ascii="Arial" w:hAnsi="Arial" w:cs="Arial"/>
        </w:rPr>
        <w:fldChar w:fldCharType="begin" w:fldLock="1"/>
      </w:r>
      <w:r w:rsidR="009534FF">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"suffix" : "; see supplementary materials", "suppress-author" : 1, "uris" : [ "http://www.mendeley.com/documents/?uuid=27baa573-ddcc-41e7-9549-d364b5d5dc74" ] } ], "mendeley" : { "formattedCitation" : "(2013; see supplementary materials)", "manualFormatting" : "Holzwarth et al. (2013; see supplementary materials)", "plainTextFormattedCitation" : "(2013; see supplementary materials)", "previouslyFormattedCitation" : "(2013; see supplementary materials)" }, "properties" : { "noteIndex" : 0 }, "schema" : "https://github.com/citation-style-language/schema/raw/master/csl-citation.json" }</w:instrText>
      </w:r>
      <w:r w:rsidRPr="004E3A00">
        <w:rPr>
          <w:rFonts w:ascii="Arial" w:hAnsi="Arial" w:cs="Arial"/>
        </w:rPr>
        <w:fldChar w:fldCharType="separate"/>
      </w:r>
      <w:r w:rsidR="009534FF">
        <w:rPr>
          <w:rFonts w:ascii="Arial" w:hAnsi="Arial" w:cs="Arial"/>
          <w:noProof/>
        </w:rPr>
        <w:t xml:space="preserve">Holzwarth </w:t>
      </w:r>
      <w:r w:rsidR="009534FF" w:rsidRPr="009534FF">
        <w:rPr>
          <w:rFonts w:ascii="Arial" w:hAnsi="Arial" w:cs="Arial"/>
          <w:i/>
          <w:noProof/>
        </w:rPr>
        <w:t>et al</w:t>
      </w:r>
      <w:r w:rsidR="009534FF">
        <w:rPr>
          <w:rFonts w:ascii="Arial" w:hAnsi="Arial" w:cs="Arial"/>
          <w:noProof/>
        </w:rPr>
        <w:t xml:space="preserve">. </w:t>
      </w:r>
      <w:r w:rsidR="009534FF" w:rsidRPr="009534FF">
        <w:rPr>
          <w:rFonts w:ascii="Arial" w:hAnsi="Arial" w:cs="Arial"/>
          <w:noProof/>
        </w:rPr>
        <w:t>(2013; see supplementary materials)</w:t>
      </w:r>
      <w:r w:rsidRPr="004E3A00">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w:t>
      </w:r>
      <w:r w:rsidR="007578E3">
        <w:rPr>
          <w:rFonts w:ascii="Arial" w:hAnsi="Arial" w:cs="Arial"/>
        </w:rPr>
        <w:t>5</w:t>
      </w:r>
      <w:r w:rsidR="00D05602" w:rsidRPr="004E3A00">
        <w:rPr>
          <w:rFonts w:ascii="Arial" w:hAnsi="Arial" w:cs="Arial"/>
        </w:rPr>
        <w:t xml:space="preserve"> m</w:t>
      </w:r>
      <w:r w:rsidR="007578E3">
        <w:rPr>
          <w:rFonts w:ascii="Arial" w:hAnsi="Arial" w:cs="Arial"/>
        </w:rPr>
        <w:t xml:space="preserve"> based on estimates from </w:t>
      </w:r>
      <w:proofErr w:type="spellStart"/>
      <w:r w:rsidR="007578E3">
        <w:rPr>
          <w:rFonts w:ascii="Arial" w:hAnsi="Arial" w:cs="Arial"/>
        </w:rPr>
        <w:t>Hasenkamp</w:t>
      </w:r>
      <w:proofErr w:type="spellEnd"/>
      <w:r w:rsidR="007578E3">
        <w:rPr>
          <w:rFonts w:ascii="Arial" w:hAnsi="Arial" w:cs="Arial"/>
        </w:rPr>
        <w:t xml:space="preserve"> </w:t>
      </w:r>
      <w:r w:rsidR="007578E3" w:rsidRPr="007578E3">
        <w:rPr>
          <w:rFonts w:ascii="Arial" w:hAnsi="Arial" w:cs="Arial"/>
          <w:i/>
        </w:rPr>
        <w:t>et al.</w:t>
      </w:r>
      <w:r w:rsidR="007578E3">
        <w:rPr>
          <w:rFonts w:ascii="Arial" w:hAnsi="Arial" w:cs="Arial"/>
        </w:rPr>
        <w:t xml:space="preserve"> </w:t>
      </w:r>
      <w:r w:rsidR="007578E3">
        <w:rPr>
          <w:rFonts w:ascii="Arial" w:hAnsi="Arial" w:cs="Arial"/>
        </w:rPr>
        <w:fldChar w:fldCharType="begin" w:fldLock="1"/>
      </w:r>
      <w:r w:rsidR="002D37F9">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Pr>
          <w:rFonts w:ascii="Arial" w:hAnsi="Arial" w:cs="Arial"/>
        </w:rPr>
        <w:fldChar w:fldCharType="separate"/>
      </w:r>
      <w:r w:rsidR="007578E3" w:rsidRPr="007578E3">
        <w:rPr>
          <w:rFonts w:ascii="Arial" w:hAnsi="Arial" w:cs="Arial"/>
          <w:noProof/>
        </w:rPr>
        <w:t>(2011)</w:t>
      </w:r>
      <w:r w:rsidR="007578E3">
        <w:rPr>
          <w:rFonts w:ascii="Arial" w:hAnsi="Arial" w:cs="Arial"/>
        </w:rPr>
        <w:fldChar w:fldCharType="end"/>
      </w:r>
      <w:r w:rsidR="00D05602" w:rsidRPr="004E3A00">
        <w:rPr>
          <w:rFonts w:ascii="Arial" w:hAnsi="Arial" w:cs="Arial"/>
        </w:rPr>
        <w:t>.</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BE3605" w:rsidRPr="000E6E1D">
        <w:rPr>
          <w:rFonts w:ascii="Arial" w:hAnsi="Arial" w:cs="Arial"/>
        </w:rPr>
        <w:t>The</w:t>
      </w:r>
      <w:r w:rsidR="00BE3605" w:rsidRPr="004E3A00">
        <w:rPr>
          <w:rFonts w:ascii="Arial" w:hAnsi="Arial" w:cs="Arial"/>
        </w:rPr>
        <w:t xml:space="preserve"> model landscape consists of 100 x 100 grid cells, with each cell representing 1 m</w:t>
      </w:r>
      <w:r w:rsidR="00BE3605" w:rsidRPr="004E3A00">
        <w:rPr>
          <w:rFonts w:ascii="Arial" w:hAnsi="Arial" w:cs="Arial"/>
          <w:vertAlign w:val="superscript"/>
        </w:rPr>
        <w:t>2</w:t>
      </w:r>
      <w:r w:rsidR="00BE3605" w:rsidRPr="004E3A00">
        <w:rPr>
          <w:rFonts w:ascii="Arial" w:hAnsi="Arial" w:cs="Arial"/>
        </w:rPr>
        <w:t xml:space="preserve">, thus the entire area represents 1 ha. Each model time step represents one year.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7578E3">
        <w:rPr>
          <w:rFonts w:ascii="Arial" w:hAnsi="Arial" w:cs="Arial"/>
        </w:rPr>
        <w:t xml:space="preserve"> (the plot size used in </w:t>
      </w:r>
      <w:r w:rsidR="007578E3">
        <w:rPr>
          <w:rFonts w:ascii="Arial" w:hAnsi="Arial" w:cs="Arial"/>
        </w:rPr>
        <w:lastRenderedPageBreak/>
        <w:t>censuses)</w:t>
      </w:r>
      <w:r w:rsidR="00C3566F">
        <w:rPr>
          <w:rFonts w:ascii="Arial" w:hAnsi="Arial" w:cs="Arial"/>
        </w:rPr>
        <w:t xml:space="preserve">, the number of juveniles present if the grid cell,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tree has died in that patch</w:t>
      </w:r>
      <w:r w:rsidR="007578E3">
        <w:rPr>
          <w:rFonts w:ascii="Arial" w:hAnsi="Arial" w:cs="Arial"/>
        </w:rPr>
        <w:t>,</w:t>
      </w:r>
      <w:r w:rsidR="00D05602" w:rsidRPr="004E3A00">
        <w:rPr>
          <w:rFonts w:ascii="Arial" w:hAnsi="Arial" w:cs="Arial"/>
        </w:rPr>
        <w:t xml:space="preserve">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 xml:space="preserve">Each grid cell </w:t>
      </w:r>
      <w:r w:rsidR="000E6E1D">
        <w:rPr>
          <w:rFonts w:ascii="Arial" w:hAnsi="Arial" w:cs="Arial"/>
        </w:rPr>
        <w:t xml:space="preserve">may contain up to 3 juveniles, and a basal area equivalent to the maximum observed at Denny Wood (75 </w:t>
      </w:r>
      <w:r w:rsidR="000E6E1D" w:rsidRPr="000E6E1D">
        <w:rPr>
          <w:rFonts w:ascii="Arial" w:hAnsi="Arial" w:cs="Arial"/>
        </w:rPr>
        <w:t>m</w:t>
      </w:r>
      <w:r w:rsidR="000E6E1D">
        <w:rPr>
          <w:rFonts w:ascii="Arial" w:hAnsi="Arial" w:cs="Arial"/>
          <w:vertAlign w:val="superscript"/>
        </w:rPr>
        <w:t>2</w:t>
      </w:r>
      <w:r w:rsidR="000E6E1D">
        <w:rPr>
          <w:rFonts w:ascii="Arial" w:hAnsi="Arial" w:cs="Arial"/>
        </w:rPr>
        <w:t xml:space="preserve"> ha</w:t>
      </w:r>
      <w:r w:rsidR="000E6E1D">
        <w:rPr>
          <w:rFonts w:ascii="Arial" w:hAnsi="Arial" w:cs="Arial"/>
          <w:vertAlign w:val="superscript"/>
        </w:rPr>
        <w:t>-1</w:t>
      </w:r>
      <w:r w:rsidR="000E6E1D">
        <w:rPr>
          <w:rFonts w:ascii="Arial" w:hAnsi="Arial" w:cs="Arial"/>
        </w:rPr>
        <w:t xml:space="preserve">) within the surrounding </w:t>
      </w:r>
      <w:r w:rsidR="000E6E1D" w:rsidRPr="000E6E1D">
        <w:rPr>
          <w:rFonts w:ascii="Arial" w:hAnsi="Arial" w:cs="Arial"/>
        </w:rPr>
        <w:t>400m</w:t>
      </w:r>
      <w:r w:rsidR="000E6E1D">
        <w:rPr>
          <w:rFonts w:ascii="Arial" w:hAnsi="Arial" w:cs="Arial"/>
          <w:vertAlign w:val="superscript"/>
        </w:rPr>
        <w:t>2</w:t>
      </w:r>
      <w:r w:rsidR="000E6E1D">
        <w:rPr>
          <w:rFonts w:ascii="Arial" w:hAnsi="Arial" w:cs="Arial"/>
        </w:rPr>
        <w:t>.</w:t>
      </w:r>
      <w:r w:rsidR="000E6E1D">
        <w:rPr>
          <w:rFonts w:ascii="Arial" w:hAnsi="Arial" w:cs="Arial"/>
          <w:vertAlign w:val="superscript"/>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C3566F">
        <w:rPr>
          <w:rFonts w:ascii="Arial" w:hAnsi="Arial" w:cs="Arial"/>
        </w:rPr>
        <w:t>340</w:t>
      </w:r>
      <w:r w:rsidRPr="004E3A00">
        <w:rPr>
          <w:rFonts w:ascii="Arial" w:hAnsi="Arial" w:cs="Arial"/>
        </w:rPr>
        <w:t xml:space="preserve"> mature individuals with a random age drawn from an exponential distribution with a mean of </w:t>
      </w:r>
      <w:r w:rsidR="00C3566F">
        <w:rPr>
          <w:rFonts w:ascii="Arial" w:hAnsi="Arial" w:cs="Arial"/>
        </w:rPr>
        <w:t>75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 xml:space="preserve">At the same time </w:t>
      </w:r>
      <w:r w:rsidR="00C3566F">
        <w:rPr>
          <w:rFonts w:ascii="Arial" w:hAnsi="Arial" w:cs="Arial"/>
        </w:rPr>
        <w:t>6000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xml:space="preserve">, increase </w:t>
      </w:r>
      <w:r w:rsidR="00263A1D">
        <w:rPr>
          <w:rFonts w:ascii="Arial" w:hAnsi="Arial" w:cs="Arial"/>
        </w:rPr>
        <w:t xml:space="preserve">mature </w:t>
      </w:r>
      <w:r w:rsidR="009B692C" w:rsidRPr="004E3A00">
        <w:rPr>
          <w:rFonts w:ascii="Arial" w:hAnsi="Arial" w:cs="Arial"/>
        </w:rPr>
        <w:t>individual DBH &amp; BA</w:t>
      </w:r>
      <w:r w:rsidR="00263A1D">
        <w:rPr>
          <w:rFonts w:ascii="Arial" w:hAnsi="Arial" w:cs="Arial"/>
        </w:rPr>
        <w:t>, increase juvenile individual height</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00B15A2F">
        <w:rPr>
          <w:rFonts w:ascii="Arial" w:hAnsi="Arial" w:cs="Arial"/>
        </w:rPr>
        <w:fldChar w:fldCharType="begin" w:fldLock="1"/>
      </w:r>
      <w:r w:rsidR="00B15A2F">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(Packham </w:t>
      </w:r>
      <w:r w:rsidR="00B15A2F" w:rsidRPr="00B15A2F">
        <w:rPr>
          <w:rFonts w:ascii="Arial" w:hAnsi="Arial" w:cs="Arial"/>
          <w:i/>
          <w:noProof/>
        </w:rPr>
        <w:t>et al.</w:t>
      </w:r>
      <w:r w:rsidR="00B15A2F" w:rsidRPr="00B15A2F">
        <w:rPr>
          <w:rFonts w:ascii="Arial" w:hAnsi="Arial" w:cs="Arial"/>
          <w:noProof/>
        </w:rPr>
        <w:t xml:space="preserve"> 2012)</w:t>
      </w:r>
      <w:r w:rsidR="00B15A2F">
        <w:rPr>
          <w:rFonts w:ascii="Arial" w:hAnsi="Arial" w:cs="Arial"/>
        </w:rPr>
        <w:fldChar w:fldCharType="end"/>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t>
      </w:r>
      <w:commentRangeStart w:id="4"/>
      <w:r w:rsidRPr="004E3A00">
        <w:rPr>
          <w:rFonts w:ascii="Arial" w:hAnsi="Arial" w:cs="Arial"/>
        </w:rPr>
        <w:t>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w:t>
      </w:r>
      <w:r w:rsidR="00B15A2F">
        <w:rPr>
          <w:rFonts w:ascii="Arial" w:hAnsi="Arial" w:cs="Arial"/>
        </w:rPr>
        <w:t>die</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w:t>
      </w:r>
      <w:commentRangeEnd w:id="4"/>
      <w:r w:rsidR="00263A1D">
        <w:rPr>
          <w:rStyle w:val="CommentReference"/>
        </w:rPr>
        <w:commentReference w:id="4"/>
      </w:r>
      <w:r w:rsidR="005E23F2" w:rsidRPr="004E3A00">
        <w:rPr>
          <w:rFonts w:ascii="Arial" w:hAnsi="Arial" w:cs="Arial"/>
        </w:rPr>
        <w:t xml:space="preserve">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w:t>
      </w:r>
      <w:r w:rsidR="00263A1D">
        <w:rPr>
          <w:rFonts w:ascii="Arial" w:hAnsi="Arial" w:cs="Arial"/>
        </w:rPr>
        <w:t xml:space="preserve">probability of </w:t>
      </w:r>
      <w:r w:rsidR="008513D6" w:rsidRPr="004E3A00">
        <w:rPr>
          <w:rFonts w:ascii="Arial" w:hAnsi="Arial" w:cs="Arial"/>
        </w:rPr>
        <w:t xml:space="preserve">mortality to be increased as a function of distance to nearest cell </w:t>
      </w:r>
      <w:r w:rsidR="00263A1D">
        <w:rPr>
          <w:rFonts w:ascii="Arial" w:hAnsi="Arial" w:cs="Arial"/>
        </w:rPr>
        <w:t>in which a tree has died in the previous 10 years</w:t>
      </w:r>
      <w:r w:rsidR="008513D6" w:rsidRPr="004E3A00">
        <w:rPr>
          <w:rFonts w:ascii="Arial" w:hAnsi="Arial" w:cs="Arial"/>
        </w:rPr>
        <w:t xml:space="preserve">. The parameter </w:t>
      </w:r>
      <w:r w:rsidR="008513D6" w:rsidRPr="004E3A00">
        <w:rPr>
          <w:rFonts w:ascii="Arial" w:hAnsi="Arial" w:cs="Arial"/>
        </w:rPr>
        <w:lastRenderedPageBreak/>
        <w:t>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4E15D2">
        <w:rPr>
          <w:rFonts w:ascii="Arial" w:hAnsi="Arial" w:cs="Arial"/>
        </w:rPr>
        <w:t xml:space="preserve"> In addition, the chance of </w:t>
      </w:r>
      <w:proofErr w:type="spellStart"/>
      <w:r w:rsidR="004E15D2">
        <w:rPr>
          <w:rFonts w:ascii="Arial" w:hAnsi="Arial" w:cs="Arial"/>
        </w:rPr>
        <w:t>masting</w:t>
      </w:r>
      <w:proofErr w:type="spellEnd"/>
      <w:r w:rsidR="004E15D2">
        <w:rPr>
          <w:rFonts w:ascii="Arial" w:hAnsi="Arial" w:cs="Arial"/>
        </w:rPr>
        <w:t xml:space="preserve"> in a year following a mast year was set to zero since it is very rare for simultaneous </w:t>
      </w:r>
      <w:proofErr w:type="spellStart"/>
      <w:r w:rsidR="004E15D2">
        <w:rPr>
          <w:rFonts w:ascii="Arial" w:hAnsi="Arial" w:cs="Arial"/>
        </w:rPr>
        <w:t>masting</w:t>
      </w:r>
      <w:proofErr w:type="spellEnd"/>
      <w:r w:rsidR="004E15D2">
        <w:rPr>
          <w:rFonts w:ascii="Arial" w:hAnsi="Arial" w:cs="Arial"/>
        </w:rPr>
        <w:t xml:space="preserve"> years to occur in the UK </w:t>
      </w:r>
      <w:r w:rsidR="004E15D2">
        <w:rPr>
          <w:rFonts w:ascii="Arial" w:hAnsi="Arial" w:cs="Arial"/>
        </w:rPr>
        <w:fldChar w:fldCharType="begin" w:fldLock="1"/>
      </w:r>
      <w:r w:rsidR="004E15D2">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 "properties" : { "noteIndex" : 0 }, "schema" : "https://github.com/citation-style-language/schema/raw/master/csl-citation.json" }</w:instrText>
      </w:r>
      <w:r w:rsidR="004E15D2">
        <w:rPr>
          <w:rFonts w:ascii="Arial" w:hAnsi="Arial" w:cs="Arial"/>
        </w:rPr>
        <w:fldChar w:fldCharType="separate"/>
      </w:r>
      <w:r w:rsidR="004E15D2" w:rsidRPr="004E15D2">
        <w:rPr>
          <w:rFonts w:ascii="Arial" w:hAnsi="Arial" w:cs="Arial"/>
          <w:noProof/>
        </w:rPr>
        <w:t xml:space="preserve">(Packham </w:t>
      </w:r>
      <w:r w:rsidR="004E15D2" w:rsidRPr="004E15D2">
        <w:rPr>
          <w:rFonts w:ascii="Arial" w:hAnsi="Arial" w:cs="Arial"/>
          <w:i/>
          <w:noProof/>
        </w:rPr>
        <w:t>et al.</w:t>
      </w:r>
      <w:r w:rsidR="004E15D2" w:rsidRPr="004E15D2">
        <w:rPr>
          <w:rFonts w:ascii="Arial" w:hAnsi="Arial" w:cs="Arial"/>
          <w:noProof/>
        </w:rPr>
        <w:t xml:space="preserve"> 2008, 2012)</w:t>
      </w:r>
      <w:r w:rsidR="004E15D2">
        <w:rPr>
          <w:rFonts w:ascii="Arial" w:hAnsi="Arial" w:cs="Arial"/>
        </w:rPr>
        <w:fldChar w:fldCharType="end"/>
      </w:r>
      <w:r w:rsidR="004E15D2">
        <w:rPr>
          <w:rFonts w:ascii="Arial" w:hAnsi="Arial" w:cs="Arial"/>
        </w:rPr>
        <w:t>.</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w:t>
      </w:r>
      <w:r w:rsidR="00DB2CE2">
        <w:rPr>
          <w:rFonts w:ascii="Arial" w:hAnsi="Arial" w:cs="Arial"/>
        </w:rPr>
        <w:t xml:space="preserve">temperate </w:t>
      </w:r>
      <w:r w:rsidR="00B15A2F">
        <w:rPr>
          <w:rFonts w:ascii="Arial" w:hAnsi="Arial" w:cs="Arial"/>
        </w:rPr>
        <w:t>forest disturbance</w:t>
      </w:r>
      <w:r w:rsidR="00DB2CE2">
        <w:rPr>
          <w:rFonts w:ascii="Arial" w:hAnsi="Arial" w:cs="Arial"/>
        </w:rPr>
        <w:t>s</w:t>
      </w:r>
      <w:r w:rsidR="00B15A2F">
        <w:rPr>
          <w:rFonts w:ascii="Arial" w:hAnsi="Arial" w:cs="Arial"/>
        </w:rPr>
        <w:t xml:space="preserve"> </w:t>
      </w:r>
      <w:r w:rsidR="00B15A2F">
        <w:rPr>
          <w:rFonts w:ascii="Arial" w:hAnsi="Arial" w:cs="Arial"/>
        </w:rPr>
        <w:fldChar w:fldCharType="begin" w:fldLock="1"/>
      </w:r>
      <w:r w:rsidR="009534F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increasing the values of the coefficients for the relationship between tree mortality and tree growth, DBH and distance to the nearest tree.</w:t>
      </w:r>
      <w:r w:rsidR="00DB2CE2">
        <w:rPr>
          <w:rFonts w:ascii="Arial" w:hAnsi="Arial" w:cs="Arial"/>
        </w:rPr>
        <w:t xml:space="preserve"> We examined the impact of these changes to the coefficients on BA and tree cover 100 years in the future.</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commentRangeStart w:id="5"/>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 12 sites across the New </w:t>
      </w:r>
      <w:proofErr w:type="gramStart"/>
      <w:r w:rsidR="00B67877">
        <w:rPr>
          <w:rFonts w:ascii="Arial" w:hAnsi="Arial" w:cs="Arial"/>
        </w:rPr>
        <w:t>Forest ,</w:t>
      </w:r>
      <w:proofErr w:type="gramEnd"/>
      <w:r w:rsidR="00B67877">
        <w:rPr>
          <w:rFonts w:ascii="Arial" w:hAnsi="Arial" w:cs="Arial"/>
        </w:rPr>
        <w:t xml:space="preserve"> with a positive relationship between canopy openness and beech seedling density.</w:t>
      </w:r>
      <w:commentRangeEnd w:id="5"/>
      <w:r w:rsidR="00B67877">
        <w:rPr>
          <w:rStyle w:val="CommentReference"/>
        </w:rPr>
        <w:commentReference w:id="5"/>
      </w:r>
    </w:p>
    <w:p w:rsidR="00A87DA1" w:rsidRPr="004E3A00" w:rsidRDefault="00A87DA1" w:rsidP="00A87DA1">
      <w:pPr>
        <w:spacing w:line="360" w:lineRule="auto"/>
        <w:ind w:firstLine="360"/>
        <w:contextualSpacing/>
        <w:rPr>
          <w:rFonts w:ascii="Arial" w:hAnsi="Arial" w:cs="Arial"/>
        </w:rPr>
      </w:pPr>
      <w:commentRangeStart w:id="6"/>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w:t>
      </w:r>
      <w:r w:rsidRPr="004E3A00">
        <w:rPr>
          <w:rFonts w:ascii="Arial" w:hAnsi="Arial" w:cs="Arial"/>
        </w:rPr>
        <w:lastRenderedPageBreak/>
        <w:t>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commentRangeEnd w:id="6"/>
      <w:r w:rsidR="001A30FD">
        <w:rPr>
          <w:rStyle w:val="CommentReference"/>
        </w:rPr>
        <w:commentReference w:id="6"/>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0.06, P value &lt;0.001, Figure 3</w:t>
      </w:r>
      <w:r w:rsidRPr="004E3A00">
        <w:rPr>
          <w:rFonts w:ascii="Arial" w:hAnsi="Arial" w:cs="Arial"/>
        </w:rPr>
        <w:t>a). Next most important was tree DBH with an importance value of 0.8, and models suggested that tree size was positively correlated with probability of 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7"/>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7"/>
      <w:r w:rsidR="00C049AF" w:rsidRPr="004E3A00">
        <w:rPr>
          <w:rStyle w:val="CommentReference"/>
        </w:rPr>
        <w:commentReference w:id="7"/>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w:t>
      </w:r>
      <w:r w:rsidRPr="004E3A00">
        <w:rPr>
          <w:rFonts w:ascii="Arial" w:eastAsia="Times New Roman" w:hAnsi="Arial" w:cs="Arial"/>
          <w:color w:val="000000"/>
          <w:lang w:eastAsia="en-GB"/>
        </w:rPr>
        <w:lastRenderedPageBreak/>
        <w:t>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Pr>
          <w:rFonts w:ascii="Arial" w:eastAsia="Times New Roman" w:hAnsi="Arial" w:cs="Arial"/>
          <w:color w:val="000000"/>
          <w:lang w:eastAsia="en-GB"/>
        </w:rPr>
        <w:t xml:space="preserve"> or trampled while </w:t>
      </w:r>
      <w:r w:rsidR="004D78CA" w:rsidRPr="004E3A00">
        <w:rPr>
          <w:rFonts w:ascii="Arial" w:eastAsia="Times New Roman" w:hAnsi="Arial" w:cs="Arial"/>
          <w:color w:val="000000"/>
          <w:lang w:eastAsia="en-GB"/>
        </w:rPr>
        <w:t xml:space="preserve">seedlings </w:t>
      </w:r>
      <w:r w:rsidR="002D37F9">
        <w:rPr>
          <w:rFonts w:ascii="Arial" w:eastAsia="Times New Roman" w:hAnsi="Arial" w:cs="Arial"/>
          <w:color w:val="000000"/>
          <w:lang w:eastAsia="en-GB"/>
        </w:rPr>
        <w:t>growing</w:t>
      </w:r>
      <w:r w:rsidR="004D78CA" w:rsidRPr="004E3A00">
        <w:rPr>
          <w:rFonts w:ascii="Arial" w:eastAsia="Times New Roman" w:hAnsi="Arial" w:cs="Arial"/>
          <w:color w:val="000000"/>
          <w:lang w:eastAsia="en-GB"/>
        </w:rPr>
        <w:t xml:space="preserve"> under closed canopies may be less likely to </w:t>
      </w:r>
      <w:r w:rsidR="002D37F9">
        <w:rPr>
          <w:rFonts w:ascii="Arial" w:eastAsia="Times New Roman" w:hAnsi="Arial" w:cs="Arial"/>
          <w:color w:val="000000"/>
          <w:lang w:eastAsia="en-GB"/>
        </w:rPr>
        <w:t>suffer damage</w:t>
      </w:r>
      <w:r w:rsidR="004D78CA" w:rsidRPr="004E3A00">
        <w:rPr>
          <w:rFonts w:ascii="Arial" w:eastAsia="Times New Roman" w:hAnsi="Arial" w:cs="Arial"/>
          <w:color w:val="000000"/>
          <w:lang w:eastAsia="en-GB"/>
        </w:rPr>
        <w:t xml:space="preserve">. Though grass </w:t>
      </w:r>
      <w:r w:rsidR="002D37F9">
        <w:rPr>
          <w:rFonts w:ascii="Arial" w:eastAsia="Times New Roman" w:hAnsi="Arial" w:cs="Arial"/>
          <w:color w:val="000000"/>
          <w:lang w:eastAsia="en-GB"/>
        </w:rPr>
        <w:t>has previously been shown to</w:t>
      </w:r>
      <w:r w:rsidR="004D78CA" w:rsidRPr="004E3A00">
        <w:rPr>
          <w:rFonts w:ascii="Arial" w:eastAsia="Times New Roman" w:hAnsi="Arial" w:cs="Arial"/>
          <w:color w:val="000000"/>
          <w:lang w:eastAsia="en-GB"/>
        </w:rPr>
        <w:t xml:space="preserve">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and this correlation may reflect increased mortality under unfavourable growing conditions as well as senescence. The second most important predictor of beech mortality was DBH. This positive relationship between DBH and mortality indicates a stand undergoing disturbance</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(Coomes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2003)</w:t>
      </w:r>
      <w:r w:rsidR="002D37F9">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w:t>
      </w:r>
      <w:r w:rsidR="002D37F9">
        <w:rPr>
          <w:rFonts w:ascii="Arial" w:eastAsia="Times New Roman" w:hAnsi="Arial" w:cs="Arial"/>
          <w:color w:val="000000"/>
          <w:lang w:eastAsia="en-GB"/>
        </w:rPr>
        <w:t xml:space="preserve">in a </w:t>
      </w:r>
      <w:r w:rsidR="007D6626" w:rsidRPr="004E3A00">
        <w:rPr>
          <w:rFonts w:ascii="Arial" w:eastAsia="Times New Roman" w:hAnsi="Arial" w:cs="Arial"/>
          <w:color w:val="000000"/>
          <w:lang w:eastAsia="en-GB"/>
        </w:rPr>
        <w:t xml:space="preserve">similar </w:t>
      </w:r>
      <w:r w:rsidR="002D37F9">
        <w:rPr>
          <w:rFonts w:ascii="Arial" w:eastAsia="Times New Roman" w:hAnsi="Arial" w:cs="Arial"/>
          <w:color w:val="000000"/>
          <w:lang w:eastAsia="en-GB"/>
        </w:rPr>
        <w:t xml:space="preserve">manner </w:t>
      </w:r>
      <w:r w:rsidR="007D6626" w:rsidRPr="004E3A00">
        <w:rPr>
          <w:rFonts w:ascii="Arial" w:eastAsia="Times New Roman" w:hAnsi="Arial" w:cs="Arial"/>
          <w:color w:val="000000"/>
          <w:lang w:eastAsia="en-GB"/>
        </w:rPr>
        <w:t xml:space="preserve">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xml:space="preserve">, which has caused beech mortality in continental Europe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&lt;i&gt;et al.&lt;/i&gt; 2006)", "plainTextFormattedCitation" : "(Jung et al. 2006)", "previouslyFormattedCitation" : "(Jung &lt;i&gt;et al.&lt;/i&gt; 2006)"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(Jung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2006)</w:t>
      </w:r>
      <w:r w:rsidR="002D37F9">
        <w:rPr>
          <w:rFonts w:ascii="Arial" w:eastAsia="Times New Roman" w:hAnsi="Arial" w:cs="Arial"/>
          <w:color w:val="000000"/>
          <w:lang w:eastAsia="en-GB"/>
        </w:rPr>
        <w:fldChar w:fldCharType="end"/>
      </w:r>
      <w:r w:rsidR="002D37F9">
        <w:rPr>
          <w:rFonts w:ascii="Arial" w:eastAsia="Times New Roman" w:hAnsi="Arial" w:cs="Arial"/>
          <w:color w:val="000000"/>
          <w:lang w:eastAsia="en-GB"/>
        </w:rPr>
        <w:t xml:space="preserve"> </w:t>
      </w:r>
      <w:r w:rsidR="007D6626" w:rsidRPr="004E3A00">
        <w:rPr>
          <w:rFonts w:ascii="Arial" w:eastAsia="Times New Roman" w:hAnsi="Arial" w:cs="Arial"/>
          <w:color w:val="000000"/>
          <w:lang w:eastAsia="en-GB"/>
        </w:rPr>
        <w:t xml:space="preserve">and has been </w:t>
      </w:r>
      <w:r w:rsidR="007D6626" w:rsidRPr="004E3A00">
        <w:rPr>
          <w:rFonts w:ascii="Arial" w:eastAsia="Times New Roman" w:hAnsi="Arial" w:cs="Arial"/>
          <w:color w:val="000000"/>
          <w:lang w:eastAsia="en-GB"/>
        </w:rPr>
        <w:lastRenderedPageBreak/>
        <w:t>recorded in the New Forest</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3819C1">
        <w:rPr>
          <w:rFonts w:ascii="Arial" w:eastAsia="Times New Roman" w:hAnsi="Arial" w:cs="Arial"/>
          <w:color w:val="000000"/>
          <w:lang w:eastAsia="en-GB"/>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(Forestry Commission England 2015)</w:t>
      </w:r>
      <w:r w:rsidR="002D37F9">
        <w:rPr>
          <w:rFonts w:ascii="Arial" w:eastAsia="Times New Roman" w:hAnsi="Arial" w:cs="Arial"/>
          <w:color w:val="000000"/>
          <w:lang w:eastAsia="en-GB"/>
        </w:rPr>
        <w:fldChar w:fldCharType="end"/>
      </w:r>
      <w:r w:rsidR="007D6626" w:rsidRPr="004E3A00">
        <w:rPr>
          <w:rFonts w:ascii="Arial" w:eastAsia="Times New Roman" w:hAnsi="Arial" w:cs="Arial"/>
          <w:color w:val="000000"/>
          <w:lang w:eastAsia="en-GB"/>
        </w:rPr>
        <w:t xml:space="preserve">, may result in this spreading </w:t>
      </w:r>
      <w:r w:rsidR="002D37F9">
        <w:rPr>
          <w:rFonts w:ascii="Arial" w:eastAsia="Times New Roman" w:hAnsi="Arial" w:cs="Arial"/>
          <w:color w:val="000000"/>
          <w:lang w:eastAsia="en-GB"/>
        </w:rPr>
        <w:t>from affected trees, resulting in increased mortality of other trees nearby</w:t>
      </w:r>
      <w:r w:rsidR="007D6626" w:rsidRPr="004E3A00">
        <w:rPr>
          <w:rFonts w:ascii="Arial" w:eastAsia="Times New Roman" w:hAnsi="Arial" w:cs="Arial"/>
          <w:color w:val="000000"/>
          <w:lang w:eastAsia="en-GB"/>
        </w:rPr>
        <w:t>.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Default="008B348E" w:rsidP="002D37F9">
      <w:pPr>
        <w:spacing w:before="40"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Our analyses indicate that positive feedbacks are potentially important for structuring the forest system</w:t>
      </w:r>
      <w:r w:rsidR="00AA207E">
        <w:rPr>
          <w:rFonts w:ascii="Arial" w:eastAsia="Times New Roman" w:hAnsi="Arial" w:cs="Arial"/>
          <w:color w:val="000000"/>
          <w:lang w:eastAsia="en-GB"/>
        </w:rPr>
        <w:t xml:space="preserve"> since</w:t>
      </w:r>
      <w:r w:rsidRPr="004E3A00">
        <w:rPr>
          <w:rFonts w:ascii="Arial" w:eastAsia="Times New Roman" w:hAnsi="Arial" w:cs="Arial"/>
          <w:color w:val="000000"/>
          <w:lang w:eastAsia="en-GB"/>
        </w:rPr>
        <w:t xml:space="preserve"> seedling density was highest in areas with low canopy cover but sapling density was highest in areas with high canopy cover.</w:t>
      </w:r>
      <w:r w:rsidR="00F112FE" w:rsidRPr="004E3A00">
        <w:rPr>
          <w:rFonts w:ascii="Arial" w:eastAsia="Times New Roman" w:hAnsi="Arial" w:cs="Arial"/>
          <w:color w:val="000000"/>
          <w:lang w:eastAsia="en-GB"/>
        </w:rPr>
        <w:t xml:space="preserve"> This obse</w:t>
      </w:r>
      <w:r w:rsidR="00AA207E">
        <w:rPr>
          <w:rFonts w:ascii="Arial" w:eastAsia="Times New Roman" w:hAnsi="Arial" w:cs="Arial"/>
          <w:color w:val="000000"/>
          <w:lang w:eastAsia="en-GB"/>
        </w:rPr>
        <w:t>rvation suggests that the causes of mortality</w:t>
      </w:r>
      <w:r w:rsidR="00F112FE" w:rsidRPr="004E3A00">
        <w:rPr>
          <w:rFonts w:ascii="Arial" w:eastAsia="Times New Roman" w:hAnsi="Arial" w:cs="Arial"/>
          <w:color w:val="000000"/>
          <w:lang w:eastAsia="en-GB"/>
        </w:rPr>
        <w:t xml:space="preserve"> for seedlings and saplings may differ resulting in clusters of treeless areas. This has the potential to result in </w:t>
      </w:r>
      <w:r w:rsidR="00AA207E">
        <w:rPr>
          <w:rFonts w:ascii="Arial" w:eastAsia="Times New Roman" w:hAnsi="Arial" w:cs="Arial"/>
          <w:color w:val="000000"/>
          <w:lang w:eastAsia="en-GB"/>
        </w:rPr>
        <w:t xml:space="preserve">transition to </w:t>
      </w:r>
      <w:proofErr w:type="gramStart"/>
      <w:r w:rsidR="00AA207E">
        <w:rPr>
          <w:rFonts w:ascii="Arial" w:eastAsia="Times New Roman" w:hAnsi="Arial" w:cs="Arial"/>
          <w:color w:val="000000"/>
          <w:lang w:eastAsia="en-GB"/>
        </w:rPr>
        <w:t>a</w:t>
      </w:r>
      <w:r w:rsidR="00F112FE" w:rsidRPr="004E3A00">
        <w:rPr>
          <w:rFonts w:ascii="Arial" w:eastAsia="Times New Roman" w:hAnsi="Arial" w:cs="Arial"/>
          <w:color w:val="000000"/>
          <w:lang w:eastAsia="en-GB"/>
        </w:rPr>
        <w:t xml:space="preserve"> more</w:t>
      </w:r>
      <w:proofErr w:type="gramEnd"/>
      <w:r w:rsidR="00F112FE" w:rsidRPr="004E3A00">
        <w:rPr>
          <w:rFonts w:ascii="Arial" w:eastAsia="Times New Roman" w:hAnsi="Arial" w:cs="Arial"/>
          <w:color w:val="000000"/>
          <w:lang w:eastAsia="en-GB"/>
        </w:rPr>
        <w:t xml:space="preserve"> open woodl</w:t>
      </w:r>
      <w:r w:rsidR="00AA207E">
        <w:rPr>
          <w:rFonts w:ascii="Arial" w:eastAsia="Times New Roman" w:hAnsi="Arial" w:cs="Arial"/>
          <w:color w:val="000000"/>
          <w:lang w:eastAsia="en-GB"/>
        </w:rPr>
        <w:t>and than that found at present</w:t>
      </w:r>
      <w:r w:rsidR="00F112FE" w:rsidRPr="004E3A00">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This suggests that ‘the Vera hypothesis’ </w:t>
      </w:r>
      <w:r w:rsidR="003819C1">
        <w:rPr>
          <w:rFonts w:ascii="Arial" w:eastAsia="Times New Roman" w:hAnsi="Arial" w:cs="Arial"/>
          <w:color w:val="000000"/>
          <w:lang w:eastAsia="en-GB"/>
        </w:rPr>
        <w:fldChar w:fldCharType="begin" w:fldLock="1"/>
      </w:r>
      <w:r w:rsidR="004E15D2">
        <w:rPr>
          <w:rFonts w:ascii="Arial" w:eastAsia="Times New Roman" w:hAnsi="Arial" w:cs="Arial"/>
          <w:color w:val="000000"/>
          <w:lang w:eastAsia="en-GB"/>
        </w:rPr>
        <w:instrText>ADDIN CSL_CITATION { "citationItems" : [ { "id" : "ITEM-1", "itemData" : { "ISBN" : "1845933060", "abstract" : "Challenges the view that the lowlands of Central and Western Europe would revert to their prehistoric state of closed forest systems if free from human intervention. This text uses examples from pollen analyses and studies on tree species, and tests hypothesis of herbivore governance of vegetation.", "author" : [ { "dropping-particle" : "", "family" : "Vera", "given" : "F. W. M.", "non-dropping-particle" : "", "parse-names" : false, "suffix" : "" } ], "id" : "ITEM-1", "issued" : { "date-parts" : [ [ "2000" ] ] }, "number-of-pages" : "506", "publisher" : "CABI", "title" : "Grazing Ecology and Forest History", "type" : "book" }, "uris" : [ "http://www.mendeley.com/documents/?uuid=65108fc8-63ea-447e-b4ea-32590eb40c14" ] } ], "mendeley" : { "formattedCitation" : "(Vera 2000)", "plainTextFormattedCitation" : "(Vera 2000)", "previouslyFormattedCitation" : "(Vera 2000)" }, "properties" : { "noteIndex" : 0 }, "schema" : "https://github.com/citation-style-language/schema/raw/master/csl-citation.json" }</w:instrText>
      </w:r>
      <w:r w:rsidR="003819C1">
        <w:rPr>
          <w:rFonts w:ascii="Arial" w:eastAsia="Times New Roman" w:hAnsi="Arial" w:cs="Arial"/>
          <w:color w:val="000000"/>
          <w:lang w:eastAsia="en-GB"/>
        </w:rPr>
        <w:fldChar w:fldCharType="separate"/>
      </w:r>
      <w:r w:rsidR="003819C1" w:rsidRPr="003819C1">
        <w:rPr>
          <w:rFonts w:ascii="Arial" w:eastAsia="Times New Roman" w:hAnsi="Arial" w:cs="Arial"/>
          <w:noProof/>
          <w:color w:val="000000"/>
          <w:lang w:eastAsia="en-GB"/>
        </w:rPr>
        <w:t>(Vera 2000)</w:t>
      </w:r>
      <w:r w:rsidR="003819C1">
        <w:rPr>
          <w:rFonts w:ascii="Arial" w:eastAsia="Times New Roman" w:hAnsi="Arial" w:cs="Arial"/>
          <w:color w:val="000000"/>
          <w:lang w:eastAsia="en-GB"/>
        </w:rPr>
        <w:fldChar w:fldCharType="end"/>
      </w:r>
      <w:r w:rsidR="003819C1">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that grazing can lead to more open forests, may be partially supported by our case study. </w:t>
      </w:r>
      <w:commentRangeStart w:id="8"/>
      <w:r w:rsidR="00F112FE" w:rsidRPr="004E3A00">
        <w:rPr>
          <w:rFonts w:ascii="Arial" w:eastAsia="Times New Roman" w:hAnsi="Arial" w:cs="Arial"/>
          <w:color w:val="000000"/>
          <w:lang w:eastAsia="en-GB"/>
        </w:rPr>
        <w:t>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higher under areas of high canopy cover this could ultimately result in an increase in stand level mortality. </w:t>
      </w:r>
      <w:commentRangeEnd w:id="8"/>
      <w:r w:rsidR="003819C1">
        <w:rPr>
          <w:rStyle w:val="CommentReference"/>
        </w:rPr>
        <w:commentReference w:id="8"/>
      </w:r>
    </w:p>
    <w:p w:rsidR="003819C1" w:rsidRPr="004E3A00" w:rsidRDefault="003819C1" w:rsidP="002D37F9">
      <w:pPr>
        <w:spacing w:before="40" w:after="0" w:line="360" w:lineRule="auto"/>
        <w:ind w:firstLine="360"/>
        <w:contextualSpacing/>
        <w:textAlignment w:val="baseline"/>
        <w:rPr>
          <w:rFonts w:ascii="Arial" w:eastAsia="Times New Roman" w:hAnsi="Arial" w:cs="Arial"/>
          <w:color w:val="000000"/>
          <w:lang w:eastAsia="en-GB"/>
        </w:rPr>
      </w:pP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However, rapid collapse to a treeless state does not occur because trees buffer against this (~200 words)</w:t>
      </w:r>
    </w:p>
    <w:p w:rsidR="00BC7DA4" w:rsidRPr="004E3A00" w:rsidRDefault="00BC7DA4" w:rsidP="000E22CA">
      <w:pPr>
        <w:spacing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w:t>
      </w:r>
      <w:r w:rsidR="000E22CA">
        <w:rPr>
          <w:rFonts w:ascii="Arial" w:eastAsia="Times New Roman" w:hAnsi="Arial" w:cs="Arial"/>
          <w:color w:val="000000"/>
          <w:lang w:eastAsia="en-GB"/>
        </w:rPr>
        <w:t xml:space="preserve">using an individual based model </w:t>
      </w:r>
      <w:r w:rsidRPr="004E3A00">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xml:space="preserve">, meaning predictions from our model may be conservative. This lack of loss of forest cover in our study was a result of the long generation times of trees, which helped to buffer against total loss as a result of disturbance. </w:t>
      </w:r>
      <w:r w:rsidR="000E22CA">
        <w:rPr>
          <w:rFonts w:ascii="Arial" w:eastAsia="Times New Roman" w:hAnsi="Arial" w:cs="Arial"/>
          <w:color w:val="000000"/>
          <w:lang w:eastAsia="en-GB"/>
        </w:rPr>
        <w:t>Given the long-lived nature of trees s</w:t>
      </w:r>
      <w:r w:rsidR="00D405AE" w:rsidRPr="004E3A00">
        <w:rPr>
          <w:rFonts w:ascii="Arial" w:eastAsia="Times New Roman" w:hAnsi="Arial" w:cs="Arial"/>
          <w:color w:val="000000"/>
          <w:lang w:eastAsia="en-GB"/>
        </w:rPr>
        <w:t xml:space="preserve">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lastRenderedPageBreak/>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w:t>
      </w:r>
      <w:r w:rsidR="000E22CA">
        <w:rPr>
          <w:rFonts w:ascii="Arial" w:eastAsia="Times New Roman" w:hAnsi="Arial" w:cs="Arial"/>
          <w:color w:val="000000"/>
          <w:lang w:eastAsia="en-GB"/>
        </w:rPr>
        <w:t xml:space="preserve">common </w:t>
      </w:r>
      <w:r w:rsidR="00D405AE" w:rsidRPr="004E3A00">
        <w:rPr>
          <w:rFonts w:ascii="Arial" w:eastAsia="Times New Roman" w:hAnsi="Arial" w:cs="Arial"/>
          <w:color w:val="000000"/>
          <w:lang w:eastAsia="en-GB"/>
        </w:rPr>
        <w:t>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Pr>
          <w:rFonts w:ascii="Arial" w:eastAsia="Times New Roman" w:hAnsi="Arial" w:cs="Arial"/>
          <w:color w:val="000000"/>
          <w:lang w:eastAsia="en-GB"/>
        </w:rPr>
        <w:t xml:space="preserve">this </w:t>
      </w:r>
      <w:r>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Pr>
          <w:rFonts w:ascii="Arial" w:eastAsia="Times New Roman" w:hAnsi="Arial" w:cs="Arial"/>
          <w:color w:val="000000"/>
          <w:lang w:eastAsia="en-GB"/>
        </w:rPr>
        <w:t>, which has been shown to increase the resilience of forest structure</w:t>
      </w:r>
      <w:r>
        <w:rPr>
          <w:rFonts w:ascii="Arial" w:eastAsia="Times New Roman" w:hAnsi="Arial" w:cs="Arial"/>
          <w:color w:val="000000"/>
          <w:lang w:eastAsia="en-GB"/>
        </w:rPr>
        <w:t>.</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4E15D2" w:rsidRPr="004E15D2" w:rsidRDefault="00F11B0B">
      <w:pPr>
        <w:widowControl w:val="0"/>
        <w:autoSpaceDE w:val="0"/>
        <w:autoSpaceDN w:val="0"/>
        <w:adjustRightInd w:val="0"/>
        <w:spacing w:after="140" w:line="288"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4E15D2" w:rsidRPr="004E15D2">
        <w:rPr>
          <w:rFonts w:ascii="Calibri" w:hAnsi="Calibri" w:cs="Times New Roman"/>
          <w:noProof/>
          <w:szCs w:val="24"/>
        </w:rPr>
        <w:t xml:space="preserve">Acácio, V., Holmgren, M., Jansen, P.A. &amp; Schrotter, O. (2007) Multiple Recruitment Limitation Causes Arrested Succession in Mediterranean Cork Oak Systems. </w:t>
      </w:r>
      <w:r w:rsidR="004E15D2" w:rsidRPr="004E15D2">
        <w:rPr>
          <w:rFonts w:ascii="Calibri" w:hAnsi="Calibri" w:cs="Times New Roman"/>
          <w:i/>
          <w:iCs/>
          <w:noProof/>
          <w:szCs w:val="24"/>
        </w:rPr>
        <w:t>Ecosystems</w:t>
      </w:r>
      <w:r w:rsidR="004E15D2" w:rsidRPr="004E15D2">
        <w:rPr>
          <w:rFonts w:ascii="Calibri" w:hAnsi="Calibri" w:cs="Times New Roman"/>
          <w:noProof/>
          <w:szCs w:val="24"/>
        </w:rPr>
        <w:t xml:space="preserve">, </w:t>
      </w:r>
      <w:r w:rsidR="004E15D2" w:rsidRPr="004E15D2">
        <w:rPr>
          <w:rFonts w:ascii="Calibri" w:hAnsi="Calibri" w:cs="Times New Roman"/>
          <w:b/>
          <w:bCs/>
          <w:noProof/>
          <w:szCs w:val="24"/>
        </w:rPr>
        <w:t>10</w:t>
      </w:r>
      <w:r w:rsidR="004E15D2" w:rsidRPr="004E15D2">
        <w:rPr>
          <w:rFonts w:ascii="Calibri" w:hAnsi="Calibri" w:cs="Times New Roman"/>
          <w:noProof/>
          <w:szCs w:val="24"/>
        </w:rPr>
        <w:t>, 1220–1230.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Barlow, J. &amp; Peres, C.A. (2008) Fire-mediated dieback and compositional cascade in an Amazonian forest. </w:t>
      </w:r>
      <w:r w:rsidRPr="004E15D2">
        <w:rPr>
          <w:rFonts w:ascii="Calibri" w:hAnsi="Calibri" w:cs="Times New Roman"/>
          <w:i/>
          <w:iCs/>
          <w:noProof/>
          <w:szCs w:val="24"/>
        </w:rPr>
        <w:t>Philosophical Transactions of the Royal Society B: Biological Sciences</w:t>
      </w:r>
      <w:r w:rsidRPr="004E15D2">
        <w:rPr>
          <w:rFonts w:ascii="Calibri" w:hAnsi="Calibri" w:cs="Times New Roman"/>
          <w:noProof/>
          <w:szCs w:val="24"/>
        </w:rPr>
        <w:t xml:space="preserve">, </w:t>
      </w:r>
      <w:r w:rsidRPr="004E15D2">
        <w:rPr>
          <w:rFonts w:ascii="Calibri" w:hAnsi="Calibri" w:cs="Times New Roman"/>
          <w:b/>
          <w:bCs/>
          <w:noProof/>
          <w:szCs w:val="24"/>
        </w:rPr>
        <w:t>363</w:t>
      </w:r>
      <w:r w:rsidRPr="004E15D2">
        <w:rPr>
          <w:rFonts w:ascii="Calibri" w:hAnsi="Calibri" w:cs="Times New Roman"/>
          <w:noProof/>
          <w:szCs w:val="24"/>
        </w:rPr>
        <w:t>, 1787–1794.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Barton, K. (2014) MuMIn: Multi-model inference.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Bates, D., Maechler, M., Bolker, B. &amp; Walker, S. (2014) lme4: Linear mixed-effects models using Eigen and S4. </w:t>
      </w:r>
      <w:r w:rsidRPr="004E15D2">
        <w:rPr>
          <w:rFonts w:ascii="Calibri" w:hAnsi="Calibri" w:cs="Times New Roman"/>
          <w:i/>
          <w:iCs/>
          <w:noProof/>
          <w:szCs w:val="24"/>
        </w:rPr>
        <w:t>ArXiv</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Bender, E.A., Case, T.J. &amp; Gilpin, M.E. (1984) Perturbation Experiments in Community Ecology: Theory and Practice. </w:t>
      </w:r>
      <w:r w:rsidRPr="004E15D2">
        <w:rPr>
          <w:rFonts w:ascii="Calibri" w:hAnsi="Calibri" w:cs="Times New Roman"/>
          <w:i/>
          <w:iCs/>
          <w:noProof/>
          <w:szCs w:val="24"/>
        </w:rPr>
        <w:t>Ecology</w:t>
      </w:r>
      <w:r w:rsidRPr="004E15D2">
        <w:rPr>
          <w:rFonts w:ascii="Calibri" w:hAnsi="Calibri" w:cs="Times New Roman"/>
          <w:noProof/>
          <w:szCs w:val="24"/>
        </w:rPr>
        <w:t xml:space="preserve">, </w:t>
      </w:r>
      <w:r w:rsidRPr="004E15D2">
        <w:rPr>
          <w:rFonts w:ascii="Calibri" w:hAnsi="Calibri" w:cs="Times New Roman"/>
          <w:b/>
          <w:bCs/>
          <w:noProof/>
          <w:szCs w:val="24"/>
        </w:rPr>
        <w:t>65</w:t>
      </w:r>
      <w:r w:rsidRPr="004E15D2">
        <w:rPr>
          <w:rFonts w:ascii="Calibri" w:hAnsi="Calibri" w:cs="Times New Roman"/>
          <w:noProof/>
          <w:szCs w:val="24"/>
        </w:rPr>
        <w:t>, 1.</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Burnham, K.P. &amp; Anderson, D.R. (2002) </w:t>
      </w:r>
      <w:r w:rsidRPr="004E15D2">
        <w:rPr>
          <w:rFonts w:ascii="Calibri" w:hAnsi="Calibri" w:cs="Times New Roman"/>
          <w:i/>
          <w:iCs/>
          <w:noProof/>
          <w:szCs w:val="24"/>
        </w:rPr>
        <w:t>Model Selection and Multimodel Inference: A Practical Information-Theoretic Approach</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652–655.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Chao, K.J., Phillips, O.L., Gloor, E., Monteagudo, A., Torres-Lezama, A. &amp; Martínez, R.V. (2008) Growth and wood density predict tree mortality in Amazon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96</w:t>
      </w:r>
      <w:r w:rsidRPr="004E15D2">
        <w:rPr>
          <w:rFonts w:ascii="Calibri" w:hAnsi="Calibri" w:cs="Times New Roman"/>
          <w:noProof/>
          <w:szCs w:val="24"/>
        </w:rPr>
        <w:t>, 281–292.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Collet, C., Lantera, O. &amp; Pardos, M. (2001) Effects of canopy opening on height and diameter growth. </w:t>
      </w:r>
      <w:r w:rsidRPr="004E15D2">
        <w:rPr>
          <w:rFonts w:ascii="Calibri" w:hAnsi="Calibri" w:cs="Times New Roman"/>
          <w:i/>
          <w:iCs/>
          <w:noProof/>
          <w:szCs w:val="24"/>
        </w:rPr>
        <w:t>Annuals of forest science</w:t>
      </w:r>
      <w:r w:rsidRPr="004E15D2">
        <w:rPr>
          <w:rFonts w:ascii="Calibri" w:hAnsi="Calibri" w:cs="Times New Roman"/>
          <w:noProof/>
          <w:szCs w:val="24"/>
        </w:rPr>
        <w:t xml:space="preserve">, </w:t>
      </w:r>
      <w:r w:rsidRPr="004E15D2">
        <w:rPr>
          <w:rFonts w:ascii="Calibri" w:hAnsi="Calibri" w:cs="Times New Roman"/>
          <w:b/>
          <w:bCs/>
          <w:noProof/>
          <w:szCs w:val="24"/>
        </w:rPr>
        <w:t>58</w:t>
      </w:r>
      <w:r w:rsidRPr="004E15D2">
        <w:rPr>
          <w:rFonts w:ascii="Calibri" w:hAnsi="Calibri" w:cs="Times New Roman"/>
          <w:noProof/>
          <w:szCs w:val="24"/>
        </w:rPr>
        <w:t>, 127–134.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&amp; Allen, R.B. (2007) Mortality and tree-size distributions in natural mixed-age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95</w:t>
      </w:r>
      <w:r w:rsidRPr="004E15D2">
        <w:rPr>
          <w:rFonts w:ascii="Calibri" w:hAnsi="Calibri" w:cs="Times New Roman"/>
          <w:noProof/>
          <w:szCs w:val="24"/>
        </w:rPr>
        <w:t>, 27–40.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Duncan, R.P., Allen, R.B. &amp; Truscott, J. (2003) Disturbances prevent stem size-density distributions in natural forests from following scaling relationships. </w:t>
      </w:r>
      <w:r w:rsidRPr="004E15D2">
        <w:rPr>
          <w:rFonts w:ascii="Calibri" w:hAnsi="Calibri" w:cs="Times New Roman"/>
          <w:i/>
          <w:iCs/>
          <w:noProof/>
          <w:szCs w:val="24"/>
        </w:rPr>
        <w:t>Ecology Letters</w:t>
      </w:r>
      <w:r w:rsidRPr="004E15D2">
        <w:rPr>
          <w:rFonts w:ascii="Calibri" w:hAnsi="Calibri" w:cs="Times New Roman"/>
          <w:noProof/>
          <w:szCs w:val="24"/>
        </w:rPr>
        <w:t xml:space="preserve">, </w:t>
      </w:r>
      <w:r w:rsidRPr="004E15D2">
        <w:rPr>
          <w:rFonts w:ascii="Calibri" w:hAnsi="Calibri" w:cs="Times New Roman"/>
          <w:b/>
          <w:bCs/>
          <w:noProof/>
          <w:szCs w:val="24"/>
        </w:rPr>
        <w:t>6</w:t>
      </w:r>
      <w:r w:rsidRPr="004E15D2">
        <w:rPr>
          <w:rFonts w:ascii="Calibri" w:hAnsi="Calibri" w:cs="Times New Roman"/>
          <w:noProof/>
          <w:szCs w:val="24"/>
        </w:rPr>
        <w:t>, 980–989.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Davidson, C. (2000) Economic Growth and the Environment:Alternatives to the Limits Paradigm. </w:t>
      </w:r>
      <w:r w:rsidRPr="004E15D2">
        <w:rPr>
          <w:rFonts w:ascii="Calibri" w:hAnsi="Calibri" w:cs="Times New Roman"/>
          <w:i/>
          <w:iCs/>
          <w:noProof/>
          <w:szCs w:val="24"/>
        </w:rPr>
        <w:t>BioScience</w:t>
      </w:r>
      <w:r w:rsidRPr="004E15D2">
        <w:rPr>
          <w:rFonts w:ascii="Calibri" w:hAnsi="Calibri" w:cs="Times New Roman"/>
          <w:noProof/>
          <w:szCs w:val="24"/>
        </w:rPr>
        <w:t xml:space="preserve">, </w:t>
      </w:r>
      <w:r w:rsidRPr="004E15D2">
        <w:rPr>
          <w:rFonts w:ascii="Calibri" w:hAnsi="Calibri" w:cs="Times New Roman"/>
          <w:b/>
          <w:bCs/>
          <w:noProof/>
          <w:szCs w:val="24"/>
        </w:rPr>
        <w:t>50</w:t>
      </w:r>
      <w:r w:rsidRPr="004E15D2">
        <w:rPr>
          <w:rFonts w:ascii="Calibri" w:hAnsi="Calibri" w:cs="Times New Roman"/>
          <w:noProof/>
          <w:szCs w:val="24"/>
        </w:rPr>
        <w:t>, 433.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Duwyn, A. &amp; MacDougall, A.S. (2015) When anthropogenic-related disturbances overwhelm demographic persistence mechanisms. </w:t>
      </w:r>
      <w:r w:rsidRPr="004E15D2">
        <w:rPr>
          <w:rFonts w:ascii="Calibri" w:hAnsi="Calibri" w:cs="Times New Roman"/>
          <w:i/>
          <w:iCs/>
          <w:noProof/>
          <w:szCs w:val="24"/>
        </w:rPr>
        <w:t>Journal of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4E15D2">
        <w:rPr>
          <w:rFonts w:ascii="Calibri" w:hAnsi="Calibri" w:cs="Times New Roman"/>
          <w:i/>
          <w:iCs/>
          <w:noProof/>
          <w:szCs w:val="24"/>
        </w:rPr>
        <w:t>Journal of Applied Ecology</w:t>
      </w:r>
      <w:r w:rsidRPr="004E15D2">
        <w:rPr>
          <w:rFonts w:ascii="Calibri" w:hAnsi="Calibri" w:cs="Times New Roman"/>
          <w:noProof/>
          <w:szCs w:val="24"/>
        </w:rPr>
        <w:t xml:space="preserve">, </w:t>
      </w:r>
      <w:r w:rsidRPr="004E15D2">
        <w:rPr>
          <w:rFonts w:ascii="Calibri" w:hAnsi="Calibri" w:cs="Times New Roman"/>
          <w:b/>
          <w:bCs/>
          <w:noProof/>
          <w:szCs w:val="24"/>
        </w:rPr>
        <w:t>52</w:t>
      </w:r>
      <w:r w:rsidRPr="004E15D2">
        <w:rPr>
          <w:rFonts w:ascii="Calibri" w:hAnsi="Calibri" w:cs="Times New Roman"/>
          <w:noProof/>
          <w:szCs w:val="24"/>
        </w:rPr>
        <w:t>, 992–1000.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Folke, C., Carpenter, S.R., Walker, B., Scheffer, M., Chapin, T. &amp; Rockström, J. (2010) Resilience thinking: Integrating resilience, adaptability and transformability. </w:t>
      </w:r>
      <w:r w:rsidRPr="004E15D2">
        <w:rPr>
          <w:rFonts w:ascii="Calibri" w:hAnsi="Calibri" w:cs="Times New Roman"/>
          <w:i/>
          <w:iCs/>
          <w:noProof/>
          <w:szCs w:val="24"/>
        </w:rPr>
        <w:t>Ecology and Society</w:t>
      </w:r>
      <w:r w:rsidRPr="004E15D2">
        <w:rPr>
          <w:rFonts w:ascii="Calibri" w:hAnsi="Calibri" w:cs="Times New Roman"/>
          <w:noProof/>
          <w:szCs w:val="24"/>
        </w:rPr>
        <w:t xml:space="preserve">, </w:t>
      </w:r>
      <w:r w:rsidRPr="004E15D2">
        <w:rPr>
          <w:rFonts w:ascii="Calibri" w:hAnsi="Calibri" w:cs="Times New Roman"/>
          <w:b/>
          <w:bCs/>
          <w:noProof/>
          <w:szCs w:val="24"/>
        </w:rPr>
        <w:t>15</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Forestry Commission England. (2015) Phytophthora ramorum. URL http://www.forestry.gov.uk/forestry/infd-8elbrv [accessed 12 May 2015]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4E15D2">
        <w:rPr>
          <w:rFonts w:ascii="Calibri" w:hAnsi="Calibri" w:cs="Times New Roman"/>
          <w:i/>
          <w:iCs/>
          <w:noProof/>
          <w:szCs w:val="24"/>
        </w:rPr>
        <w:t>Ecological Modelling</w:t>
      </w:r>
      <w:r w:rsidRPr="004E15D2">
        <w:rPr>
          <w:rFonts w:ascii="Calibri" w:hAnsi="Calibri" w:cs="Times New Roman"/>
          <w:noProof/>
          <w:szCs w:val="24"/>
        </w:rPr>
        <w:t xml:space="preserve">, </w:t>
      </w:r>
      <w:r w:rsidRPr="004E15D2">
        <w:rPr>
          <w:rFonts w:ascii="Calibri" w:hAnsi="Calibri" w:cs="Times New Roman"/>
          <w:b/>
          <w:bCs/>
          <w:noProof/>
          <w:szCs w:val="24"/>
        </w:rPr>
        <w:t>198</w:t>
      </w:r>
      <w:r w:rsidRPr="004E15D2">
        <w:rPr>
          <w:rFonts w:ascii="Calibri" w:hAnsi="Calibri" w:cs="Times New Roman"/>
          <w:noProof/>
          <w:szCs w:val="24"/>
        </w:rPr>
        <w:t>, 115–126.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4E15D2">
        <w:rPr>
          <w:rFonts w:ascii="Calibri" w:hAnsi="Calibri" w:cs="Times New Roman"/>
          <w:i/>
          <w:iCs/>
          <w:noProof/>
          <w:szCs w:val="24"/>
        </w:rPr>
        <w:t>European Journal of Forest Research</w:t>
      </w:r>
      <w:r w:rsidRPr="004E15D2">
        <w:rPr>
          <w:rFonts w:ascii="Calibri" w:hAnsi="Calibri" w:cs="Times New Roman"/>
          <w:noProof/>
          <w:szCs w:val="24"/>
        </w:rPr>
        <w:t xml:space="preserve">, </w:t>
      </w:r>
      <w:r w:rsidRPr="004E15D2">
        <w:rPr>
          <w:rFonts w:ascii="Calibri" w:hAnsi="Calibri" w:cs="Times New Roman"/>
          <w:b/>
          <w:bCs/>
          <w:noProof/>
          <w:szCs w:val="24"/>
        </w:rPr>
        <w:t>130</w:t>
      </w:r>
      <w:r w:rsidRPr="004E15D2">
        <w:rPr>
          <w:rFonts w:ascii="Calibri" w:hAnsi="Calibri" w:cs="Times New Roman"/>
          <w:noProof/>
          <w:szCs w:val="24"/>
        </w:rPr>
        <w:t>, 513–519.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Hirota, M., Holmgren, M., Van Nes, E.H. &amp; Scheffer, M. (2011) Global resilience of tropical forest and savanna to critical transitions.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232–235.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Holzwarth, F., Kahl, A., Bauhus, J. &amp; Wirth, C. (2013) Many ways to die - partitioning tree mortality dynamics in a near-natural mixed deciduous forest (ed P Zuidema).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101</w:t>
      </w:r>
      <w:r w:rsidRPr="004E15D2">
        <w:rPr>
          <w:rFonts w:ascii="Calibri" w:hAnsi="Calibri" w:cs="Times New Roman"/>
          <w:noProof/>
          <w:szCs w:val="24"/>
        </w:rPr>
        <w:t>, 220–230.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Jung, T., Hudler, G.W., Jensen-Tracey, S.L., Griffiths, H.M., Fleischmann, F. &amp; Osswald, W. (2006) Involvement of Phytophthora species in the decline of European beech in Europe and the USA. </w:t>
      </w:r>
      <w:r w:rsidRPr="004E15D2">
        <w:rPr>
          <w:rFonts w:ascii="Calibri" w:hAnsi="Calibri" w:cs="Times New Roman"/>
          <w:i/>
          <w:iCs/>
          <w:noProof/>
          <w:szCs w:val="24"/>
        </w:rPr>
        <w:t>Mycologist</w:t>
      </w:r>
      <w:r w:rsidRPr="004E15D2">
        <w:rPr>
          <w:rFonts w:ascii="Calibri" w:hAnsi="Calibri" w:cs="Times New Roman"/>
          <w:noProof/>
          <w:szCs w:val="24"/>
        </w:rPr>
        <w:t xml:space="preserve">, </w:t>
      </w:r>
      <w:r w:rsidRPr="004E15D2">
        <w:rPr>
          <w:rFonts w:ascii="Calibri" w:hAnsi="Calibri" w:cs="Times New Roman"/>
          <w:b/>
          <w:bCs/>
          <w:noProof/>
          <w:szCs w:val="24"/>
        </w:rPr>
        <w:t>19</w:t>
      </w:r>
      <w:r w:rsidRPr="004E15D2">
        <w:rPr>
          <w:rFonts w:ascii="Calibri" w:hAnsi="Calibri" w:cs="Times New Roman"/>
          <w:noProof/>
          <w:szCs w:val="24"/>
        </w:rPr>
        <w:t>, 159.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Kuijper, D.P.J., Cromsigt, J.P.G.M., Jędrzejewska, B., Miścicki, S., Churski, M., Jędrzejewski, W. &amp; </w:t>
      </w:r>
      <w:r w:rsidRPr="004E15D2">
        <w:rPr>
          <w:rFonts w:ascii="Calibri" w:hAnsi="Calibri" w:cs="Times New Roman"/>
          <w:noProof/>
          <w:szCs w:val="24"/>
        </w:rPr>
        <w:lastRenderedPageBreak/>
        <w:t xml:space="preserve">Kweczlich, I. (2010) Bottom-up versus top-down control of tree regeneration in the Białowieża Primeval Forest, Poland.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98</w:t>
      </w:r>
      <w:r w:rsidRPr="004E15D2">
        <w:rPr>
          <w:rFonts w:ascii="Calibri" w:hAnsi="Calibri" w:cs="Times New Roman"/>
          <w:noProof/>
          <w:szCs w:val="24"/>
        </w:rPr>
        <w:t>, 888–899.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4E15D2">
        <w:rPr>
          <w:rFonts w:ascii="Calibri" w:hAnsi="Calibri" w:cs="Times New Roman"/>
          <w:i/>
          <w:iCs/>
          <w:noProof/>
          <w:szCs w:val="24"/>
        </w:rPr>
        <w:t>Science (New York, N.Y.)</w:t>
      </w:r>
      <w:r w:rsidRPr="004E15D2">
        <w:rPr>
          <w:rFonts w:ascii="Calibri" w:hAnsi="Calibri" w:cs="Times New Roman"/>
          <w:noProof/>
          <w:szCs w:val="24"/>
        </w:rPr>
        <w:t xml:space="preserve">, </w:t>
      </w:r>
      <w:r w:rsidRPr="004E15D2">
        <w:rPr>
          <w:rFonts w:ascii="Calibri" w:hAnsi="Calibri" w:cs="Times New Roman"/>
          <w:b/>
          <w:bCs/>
          <w:noProof/>
          <w:szCs w:val="24"/>
        </w:rPr>
        <w:t>323</w:t>
      </w:r>
      <w:r w:rsidRPr="004E15D2">
        <w:rPr>
          <w:rFonts w:ascii="Calibri" w:hAnsi="Calibri" w:cs="Times New Roman"/>
          <w:noProof/>
          <w:szCs w:val="24"/>
        </w:rPr>
        <w:t>, 521–524.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Martin, P.A., Newton, A.C., Cantarello, E. &amp; Evans, P. (2015) Stand dieback and collapse in a temperate forest and its impact on forest structure and biodiversity.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358</w:t>
      </w:r>
      <w:r w:rsidRPr="004E15D2">
        <w:rPr>
          <w:rFonts w:ascii="Calibri" w:hAnsi="Calibri" w:cs="Times New Roman"/>
          <w:noProof/>
          <w:szCs w:val="24"/>
        </w:rPr>
        <w:t>, 130–138.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4E15D2">
        <w:rPr>
          <w:rFonts w:ascii="Calibri" w:hAnsi="Calibri" w:cs="Times New Roman"/>
          <w:i/>
          <w:iCs/>
          <w:noProof/>
          <w:szCs w:val="24"/>
        </w:rPr>
        <w:t>Forestry</w:t>
      </w:r>
      <w:r w:rsidRPr="004E15D2">
        <w:rPr>
          <w:rFonts w:ascii="Calibri" w:hAnsi="Calibri" w:cs="Times New Roman"/>
          <w:noProof/>
          <w:szCs w:val="24"/>
        </w:rPr>
        <w:t xml:space="preserve">, </w:t>
      </w:r>
      <w:r w:rsidRPr="004E15D2">
        <w:rPr>
          <w:rFonts w:ascii="Calibri" w:hAnsi="Calibri" w:cs="Times New Roman"/>
          <w:b/>
          <w:bCs/>
          <w:noProof/>
          <w:szCs w:val="24"/>
        </w:rPr>
        <w:t>76</w:t>
      </w:r>
      <w:r w:rsidRPr="004E15D2">
        <w:rPr>
          <w:rFonts w:ascii="Calibri" w:hAnsi="Calibri" w:cs="Times New Roman"/>
          <w:noProof/>
          <w:szCs w:val="24"/>
        </w:rPr>
        <w:t>, 19–43.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4E15D2">
        <w:rPr>
          <w:rFonts w:ascii="Calibri" w:hAnsi="Calibri" w:cs="Times New Roman"/>
          <w:i/>
          <w:iCs/>
          <w:noProof/>
          <w:szCs w:val="24"/>
        </w:rPr>
        <w:t>Perspectives in Plant Ecology, Evolution and Systematics</w:t>
      </w:r>
      <w:r w:rsidRPr="004E15D2">
        <w:rPr>
          <w:rFonts w:ascii="Calibri" w:hAnsi="Calibri" w:cs="Times New Roman"/>
          <w:noProof/>
          <w:szCs w:val="24"/>
        </w:rPr>
        <w:t xml:space="preserve">, </w:t>
      </w:r>
      <w:r w:rsidRPr="004E15D2">
        <w:rPr>
          <w:rFonts w:ascii="Calibri" w:hAnsi="Calibri" w:cs="Times New Roman"/>
          <w:b/>
          <w:bCs/>
          <w:noProof/>
          <w:szCs w:val="24"/>
        </w:rPr>
        <w:t>2</w:t>
      </w:r>
      <w:r w:rsidRPr="004E15D2">
        <w:rPr>
          <w:rFonts w:ascii="Calibri" w:hAnsi="Calibri" w:cs="Times New Roman"/>
          <w:noProof/>
          <w:szCs w:val="24"/>
        </w:rPr>
        <w:t>, 223–272.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398</w:t>
      </w:r>
      <w:r w:rsidRPr="004E15D2">
        <w:rPr>
          <w:rFonts w:ascii="Calibri" w:hAnsi="Calibri" w:cs="Times New Roman"/>
          <w:noProof/>
          <w:szCs w:val="24"/>
        </w:rPr>
        <w:t>, 505–508.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Nimmo, D.G., Mac Nally, R., Cunningham, S.C., Haslem,  a. &amp; Bennett,  a. F. (2015) Vive la résistance: reviving resistance for 21st century conservation. </w:t>
      </w:r>
      <w:r w:rsidRPr="004E15D2">
        <w:rPr>
          <w:rFonts w:ascii="Calibri" w:hAnsi="Calibri" w:cs="Times New Roman"/>
          <w:i/>
          <w:iCs/>
          <w:noProof/>
          <w:szCs w:val="24"/>
        </w:rPr>
        <w:t>Trends in Ecology &amp; Evolution</w:t>
      </w:r>
      <w:r w:rsidRPr="004E15D2">
        <w:rPr>
          <w:rFonts w:ascii="Calibri" w:hAnsi="Calibri" w:cs="Times New Roman"/>
          <w:noProof/>
          <w:szCs w:val="24"/>
        </w:rPr>
        <w:t>, 1–8.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Olesen, C.R. &amp; Madsen, P. (2008) The impact of roe deer (Capreolus capreolus), seedbed, light and seed fall on natural beech (Fagus sylvatica) regeneration.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255</w:t>
      </w:r>
      <w:r w:rsidRPr="004E15D2">
        <w:rPr>
          <w:rFonts w:ascii="Calibri" w:hAnsi="Calibri" w:cs="Times New Roman"/>
          <w:noProof/>
          <w:szCs w:val="24"/>
        </w:rPr>
        <w:t>, 3962–3972.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 a., Atkinson, M.D. &amp; Degen, T. (2012) Biological Flora of the British Isles: Fagus sylvatica.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100</w:t>
      </w:r>
      <w:r w:rsidRPr="004E15D2">
        <w:rPr>
          <w:rFonts w:ascii="Calibri" w:hAnsi="Calibri" w:cs="Times New Roman"/>
          <w:noProof/>
          <w:szCs w:val="24"/>
        </w:rPr>
        <w:t>, 1557–1608.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4E15D2">
        <w:rPr>
          <w:rFonts w:ascii="Calibri" w:hAnsi="Calibri" w:cs="Times New Roman"/>
          <w:i/>
          <w:iCs/>
          <w:noProof/>
          <w:szCs w:val="24"/>
        </w:rPr>
        <w:t>Arboricultural Journal</w:t>
      </w:r>
      <w:r w:rsidRPr="004E15D2">
        <w:rPr>
          <w:rFonts w:ascii="Calibri" w:hAnsi="Calibri" w:cs="Times New Roman"/>
          <w:noProof/>
          <w:szCs w:val="24"/>
        </w:rPr>
        <w:t xml:space="preserve">, </w:t>
      </w:r>
      <w:r w:rsidRPr="004E15D2">
        <w:rPr>
          <w:rFonts w:ascii="Calibri" w:hAnsi="Calibri" w:cs="Times New Roman"/>
          <w:b/>
          <w:bCs/>
          <w:noProof/>
          <w:szCs w:val="24"/>
        </w:rPr>
        <w:t>31</w:t>
      </w:r>
      <w:r w:rsidRPr="004E15D2">
        <w:rPr>
          <w:rFonts w:ascii="Calibri" w:hAnsi="Calibri" w:cs="Times New Roman"/>
          <w:noProof/>
          <w:szCs w:val="24"/>
        </w:rPr>
        <w:t>, 189–214.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 (2013) </w:t>
      </w:r>
      <w:r w:rsidRPr="004E15D2">
        <w:rPr>
          <w:rFonts w:ascii="Calibri" w:hAnsi="Calibri" w:cs="Times New Roman"/>
          <w:i/>
          <w:iCs/>
          <w:noProof/>
          <w:szCs w:val="24"/>
        </w:rPr>
        <w:t>Multiple Stable States in Natural Ecosystems</w:t>
      </w:r>
      <w:r w:rsidRPr="004E15D2">
        <w:rPr>
          <w:rFonts w:ascii="Calibri" w:hAnsi="Calibri" w:cs="Times New Roman"/>
          <w:noProof/>
          <w:szCs w:val="24"/>
        </w:rPr>
        <w:t>. Oxford University Press.</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P.S. &amp; Hoffman, C. (2010) Multiple stable states and relationship between thresholds in processes and states. </w:t>
      </w:r>
      <w:r w:rsidRPr="004E15D2">
        <w:rPr>
          <w:rFonts w:ascii="Calibri" w:hAnsi="Calibri" w:cs="Times New Roman"/>
          <w:i/>
          <w:iCs/>
          <w:noProof/>
          <w:szCs w:val="24"/>
        </w:rPr>
        <w:t>Marine Ecology Progress Series</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189–200.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 Development Core Team. (2011) </w:t>
      </w:r>
      <w:r w:rsidRPr="004E15D2">
        <w:rPr>
          <w:rFonts w:ascii="Calibri" w:hAnsi="Calibri" w:cs="Times New Roman"/>
          <w:i/>
          <w:iCs/>
          <w:noProof/>
          <w:szCs w:val="24"/>
        </w:rPr>
        <w:t>R: A Language and Environment for Statistical Computing</w:t>
      </w:r>
      <w:r w:rsidRPr="004E15D2">
        <w:rPr>
          <w:rFonts w:ascii="Calibri" w:hAnsi="Calibri" w:cs="Times New Roman"/>
          <w:noProof/>
          <w:szCs w:val="24"/>
        </w:rPr>
        <w:t>. R Foundation for Statistical Computing, Vienna, Austria.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103</w:t>
      </w:r>
      <w:r w:rsidRPr="004E15D2">
        <w:rPr>
          <w:rFonts w:ascii="Calibri" w:hAnsi="Calibri" w:cs="Times New Roman"/>
          <w:noProof/>
          <w:szCs w:val="24"/>
        </w:rPr>
        <w:t>, 5–15.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Scheffer, M., Carpenter, S., Foley, J.A., Folke, C. &amp; Walker, B. (2001) Catastrophic shifts in ecosystems.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591–6.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Scheffer, M., Hirota, M., Holmgren, M., Van Nes, E.H. &amp; Chapin, F.S. (2012) Thresholds for boreal biome transitions. </w:t>
      </w:r>
      <w:r w:rsidRPr="004E15D2">
        <w:rPr>
          <w:rFonts w:ascii="Calibri" w:hAnsi="Calibri" w:cs="Times New Roman"/>
          <w:i/>
          <w:iCs/>
          <w:noProof/>
          <w:szCs w:val="24"/>
        </w:rPr>
        <w:t>Proceedings of the National Academy of Sciences of the United States of America</w:t>
      </w:r>
      <w:r w:rsidRPr="004E15D2">
        <w:rPr>
          <w:rFonts w:ascii="Calibri" w:hAnsi="Calibri" w:cs="Times New Roman"/>
          <w:noProof/>
          <w:szCs w:val="24"/>
        </w:rPr>
        <w:t xml:space="preserve">, </w:t>
      </w:r>
      <w:r w:rsidRPr="004E15D2">
        <w:rPr>
          <w:rFonts w:ascii="Calibri" w:hAnsi="Calibri" w:cs="Times New Roman"/>
          <w:b/>
          <w:bCs/>
          <w:noProof/>
          <w:szCs w:val="24"/>
        </w:rPr>
        <w:t>109</w:t>
      </w:r>
      <w:r w:rsidRPr="004E15D2">
        <w:rPr>
          <w:rFonts w:ascii="Calibri" w:hAnsi="Calibri" w:cs="Times New Roman"/>
          <w:noProof/>
          <w:szCs w:val="24"/>
        </w:rPr>
        <w:t>, 21384–9.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Schielzeth, H. (2010) Simple means to improve the interpretability of regression coefficients. </w:t>
      </w:r>
      <w:r w:rsidRPr="004E15D2">
        <w:rPr>
          <w:rFonts w:ascii="Calibri" w:hAnsi="Calibri" w:cs="Times New Roman"/>
          <w:i/>
          <w:iCs/>
          <w:noProof/>
          <w:szCs w:val="24"/>
        </w:rPr>
        <w:t>Methods in Ecology and Evolution</w:t>
      </w:r>
      <w:r w:rsidRPr="004E15D2">
        <w:rPr>
          <w:rFonts w:ascii="Calibri" w:hAnsi="Calibri" w:cs="Times New Roman"/>
          <w:noProof/>
          <w:szCs w:val="24"/>
        </w:rPr>
        <w:t xml:space="preserve">, </w:t>
      </w:r>
      <w:r w:rsidRPr="004E15D2">
        <w:rPr>
          <w:rFonts w:ascii="Calibri" w:hAnsi="Calibri" w:cs="Times New Roman"/>
          <w:b/>
          <w:bCs/>
          <w:noProof/>
          <w:szCs w:val="24"/>
        </w:rPr>
        <w:t>1</w:t>
      </w:r>
      <w:r w:rsidRPr="004E15D2">
        <w:rPr>
          <w:rFonts w:ascii="Calibri" w:hAnsi="Calibri" w:cs="Times New Roman"/>
          <w:noProof/>
          <w:szCs w:val="24"/>
        </w:rPr>
        <w:t>, 103–113.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Scholes, R., Settele, J., Betts, R., Bunn, S., Leadley, P., Nepstad, D., Overpeck, J. &amp; Taboada, M.G. (2014) Terrestrial and inland water systems. </w:t>
      </w:r>
      <w:r w:rsidRPr="004E15D2">
        <w:rPr>
          <w:rFonts w:ascii="Calibri" w:hAnsi="Calibri" w:cs="Times New Roman"/>
          <w:i/>
          <w:iCs/>
          <w:noProof/>
          <w:szCs w:val="24"/>
        </w:rPr>
        <w:t>Climate Change 2014: Impacts, Adaptation, and Vulnerability</w:t>
      </w:r>
      <w:r w:rsidRPr="004E15D2">
        <w:rPr>
          <w:rFonts w:ascii="Calibri" w:hAnsi="Calibri" w:cs="Times New Roman"/>
          <w:noProof/>
          <w:szCs w:val="24"/>
        </w:rPr>
        <w:t xml:space="preserve"> (eds C. Field),, V. Barros),, K. Mach), &amp; M. Mastrandrea), pp. 271–360. Cambridge University Press, Cambridge.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Schelhaas, M., Rammer, W. &amp; Verkerk, P.J. (2014) Increasing forest disturbances in Europe and their impact on carbon storage. </w:t>
      </w:r>
      <w:r w:rsidRPr="004E15D2">
        <w:rPr>
          <w:rFonts w:ascii="Calibri" w:hAnsi="Calibri" w:cs="Times New Roman"/>
          <w:i/>
          <w:iCs/>
          <w:noProof/>
          <w:szCs w:val="24"/>
        </w:rPr>
        <w:t>Nature Climate Change</w:t>
      </w:r>
      <w:r w:rsidRPr="004E15D2">
        <w:rPr>
          <w:rFonts w:ascii="Calibri" w:hAnsi="Calibri" w:cs="Times New Roman"/>
          <w:noProof/>
          <w:szCs w:val="24"/>
        </w:rPr>
        <w:t>, 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4E15D2">
        <w:rPr>
          <w:rFonts w:ascii="Calibri" w:hAnsi="Calibri" w:cs="Times New Roman"/>
          <w:i/>
          <w:iCs/>
          <w:noProof/>
          <w:szCs w:val="24"/>
        </w:rPr>
        <w:t>Journal of Applied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4E15D2">
        <w:rPr>
          <w:rFonts w:ascii="Calibri" w:hAnsi="Calibri" w:cs="Times New Roman"/>
          <w:i/>
          <w:iCs/>
          <w:noProof/>
          <w:szCs w:val="24"/>
        </w:rPr>
        <w:t>Frontiers in Microbiology</w:t>
      </w:r>
      <w:r w:rsidRPr="004E15D2">
        <w:rPr>
          <w:rFonts w:ascii="Calibri" w:hAnsi="Calibri" w:cs="Times New Roman"/>
          <w:noProof/>
          <w:szCs w:val="24"/>
        </w:rPr>
        <w:t xml:space="preserve">, </w:t>
      </w:r>
      <w:r w:rsidRPr="004E15D2">
        <w:rPr>
          <w:rFonts w:ascii="Calibri" w:hAnsi="Calibri" w:cs="Times New Roman"/>
          <w:b/>
          <w:bCs/>
          <w:noProof/>
          <w:szCs w:val="24"/>
        </w:rPr>
        <w:t>3</w:t>
      </w:r>
      <w:r w:rsidRPr="004E15D2">
        <w:rPr>
          <w:rFonts w:ascii="Calibri" w:hAnsi="Calibri" w:cs="Times New Roman"/>
          <w:noProof/>
          <w:szCs w:val="24"/>
        </w:rPr>
        <w:t>, 1–19.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Sheil, D., Burslem, D.F.R.P. &amp; Alder, D. (1995) The Interpretation and misinterpretation of mortality rate measures.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83</w:t>
      </w:r>
      <w:r w:rsidRPr="004E15D2">
        <w:rPr>
          <w:rFonts w:ascii="Calibri" w:hAnsi="Calibri" w:cs="Times New Roman"/>
          <w:noProof/>
          <w:szCs w:val="24"/>
        </w:rPr>
        <w:t>, 331–333.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Sousa, W.. (2001) Natural disturbance and the dynamics of marine benthic communities. </w:t>
      </w:r>
      <w:r w:rsidRPr="004E15D2">
        <w:rPr>
          <w:rFonts w:ascii="Calibri" w:hAnsi="Calibri" w:cs="Times New Roman"/>
          <w:i/>
          <w:iCs/>
          <w:noProof/>
          <w:szCs w:val="24"/>
        </w:rPr>
        <w:t>Marine Community Ecology</w:t>
      </w:r>
      <w:r w:rsidRPr="004E15D2">
        <w:rPr>
          <w:rFonts w:ascii="Calibri" w:hAnsi="Calibri" w:cs="Times New Roman"/>
          <w:noProof/>
          <w:szCs w:val="24"/>
        </w:rPr>
        <w:t xml:space="preserve"> (eds M.D. Bertness),, S. Gaines), &amp; M.E. Hay), pp. 85–130. Sinauer Associates Inc., Sunderland , MA.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Vera, F.W.M. (2000) </w:t>
      </w:r>
      <w:r w:rsidRPr="004E15D2">
        <w:rPr>
          <w:rFonts w:ascii="Calibri" w:hAnsi="Calibri" w:cs="Times New Roman"/>
          <w:i/>
          <w:iCs/>
          <w:noProof/>
          <w:szCs w:val="24"/>
        </w:rPr>
        <w:t>Grazing Ecology and Forest History</w:t>
      </w:r>
      <w:r w:rsidRPr="004E15D2">
        <w:rPr>
          <w:rFonts w:ascii="Calibri" w:hAnsi="Calibri" w:cs="Times New Roman"/>
          <w:noProof/>
          <w:szCs w:val="24"/>
        </w:rPr>
        <w:t>. CABI.</w:t>
      </w:r>
    </w:p>
    <w:p w:rsidR="004E15D2" w:rsidRPr="004E15D2" w:rsidRDefault="004E15D2">
      <w:pPr>
        <w:widowControl w:val="0"/>
        <w:autoSpaceDE w:val="0"/>
        <w:autoSpaceDN w:val="0"/>
        <w:adjustRightInd w:val="0"/>
        <w:spacing w:after="140" w:line="288" w:lineRule="auto"/>
        <w:ind w:left="480" w:hanging="480"/>
        <w:rPr>
          <w:rFonts w:ascii="Calibri" w:hAnsi="Calibri"/>
          <w:noProof/>
        </w:rPr>
      </w:pPr>
      <w:r w:rsidRPr="004E15D2">
        <w:rPr>
          <w:rFonts w:ascii="Calibri" w:hAnsi="Calibri" w:cs="Times New Roman"/>
          <w:noProof/>
          <w:szCs w:val="24"/>
        </w:rPr>
        <w:t>Wilensky, U. (1999) Netlogo.</w:t>
      </w:r>
    </w:p>
    <w:p w:rsidR="00F11B0B" w:rsidRPr="004E3A00" w:rsidRDefault="00F11B0B" w:rsidP="004E15D2">
      <w:pPr>
        <w:widowControl w:val="0"/>
        <w:autoSpaceDE w:val="0"/>
        <w:autoSpaceDN w:val="0"/>
        <w:adjustRightInd w:val="0"/>
        <w:spacing w:after="140" w:line="288" w:lineRule="auto"/>
        <w:ind w:left="480" w:hanging="480"/>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9B3945"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Figure 1 – Relationship between density of beech (a</w:t>
      </w:r>
      <w:r w:rsidR="001D43DA">
        <w:rPr>
          <w:rFonts w:ascii="Arial" w:eastAsia="Times New Roman" w:hAnsi="Arial" w:cs="Arial"/>
          <w:color w:val="000000"/>
          <w:lang w:eastAsia="en-GB"/>
        </w:rPr>
        <w:t>, c</w:t>
      </w:r>
      <w:r>
        <w:rPr>
          <w:rFonts w:ascii="Arial" w:eastAsia="Times New Roman" w:hAnsi="Arial" w:cs="Arial"/>
          <w:color w:val="000000"/>
          <w:lang w:eastAsia="en-GB"/>
        </w:rPr>
        <w:t>) seedlings and (b</w:t>
      </w:r>
      <w:r w:rsidR="001D43DA">
        <w:rPr>
          <w:rFonts w:ascii="Arial" w:eastAsia="Times New Roman" w:hAnsi="Arial" w:cs="Arial"/>
          <w:color w:val="000000"/>
          <w:lang w:eastAsia="en-GB"/>
        </w:rPr>
        <w:t>, d</w:t>
      </w:r>
      <w:r>
        <w:rPr>
          <w:rFonts w:ascii="Arial" w:eastAsia="Times New Roman" w:hAnsi="Arial" w:cs="Arial"/>
          <w:color w:val="000000"/>
          <w:lang w:eastAsia="en-GB"/>
        </w:rPr>
        <w:t xml:space="preserve">) saplings and canopy openness in woodlands in the New Forest showing signs </w:t>
      </w:r>
      <w:r w:rsidR="001D43DA">
        <w:rPr>
          <w:rFonts w:ascii="Arial" w:eastAsia="Times New Roman" w:hAnsi="Arial" w:cs="Arial"/>
          <w:color w:val="000000"/>
          <w:lang w:eastAsia="en-GB"/>
        </w:rPr>
        <w:t xml:space="preserve">of die-off. Plots </w:t>
      </w:r>
      <w:proofErr w:type="gramStart"/>
      <w:r w:rsidR="001D43DA">
        <w:rPr>
          <w:rFonts w:ascii="Arial" w:eastAsia="Times New Roman" w:hAnsi="Arial" w:cs="Arial"/>
          <w:color w:val="000000"/>
          <w:lang w:eastAsia="en-GB"/>
        </w:rPr>
        <w:t>a &amp;</w:t>
      </w:r>
      <w:proofErr w:type="gramEnd"/>
      <w:r w:rsidR="001D43DA">
        <w:rPr>
          <w:rFonts w:ascii="Arial" w:eastAsia="Times New Roman" w:hAnsi="Arial" w:cs="Arial"/>
          <w:color w:val="000000"/>
          <w:lang w:eastAsia="en-GB"/>
        </w:rPr>
        <w:t xml:space="preserve"> b use data from across the New Forest, while plots c &amp; d use data from Denny Wood. Solid lines represent predictions from coefficients with P ≤ 0.05.</w:t>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47629A1D" wp14:editId="2CBF1924">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commentRangeStart w:id="9"/>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commentRangeEnd w:id="9"/>
      <w:r w:rsidR="00305F4F">
        <w:rPr>
          <w:rStyle w:val="CommentReference"/>
          <w:rFonts w:asciiTheme="minorHAnsi" w:eastAsiaTheme="minorHAnsi" w:hAnsiTheme="minorHAnsi" w:cstheme="minorBidi"/>
          <w:lang w:eastAsia="en-US"/>
        </w:rPr>
        <w:commentReference w:id="9"/>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3A3432F3" wp14:editId="7F9368F1">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10"/>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10"/>
      <w:r w:rsidR="00A824A1">
        <w:rPr>
          <w:rStyle w:val="CommentReference"/>
        </w:rPr>
        <w:commentReference w:id="10"/>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552DEF7E" wp14:editId="5E499E0C">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11"/>
      <w:commentRangeStart w:id="12"/>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11"/>
      <w:r w:rsidR="002B700A" w:rsidRPr="004E3A00">
        <w:rPr>
          <w:rStyle w:val="CommentReference"/>
        </w:rPr>
        <w:commentReference w:id="11"/>
      </w:r>
      <w:commentRangeEnd w:id="12"/>
      <w:r w:rsidR="00A824A1">
        <w:rPr>
          <w:rStyle w:val="CommentReference"/>
        </w:rPr>
        <w:commentReference w:id="12"/>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p>
    <w:p w:rsidR="00A87DA1" w:rsidRDefault="00A87DA1" w:rsidP="00F11B0B">
      <w:pPr>
        <w:spacing w:before="40" w:after="140" w:line="360" w:lineRule="auto"/>
        <w:contextualSpacing/>
        <w:rPr>
          <w:rFonts w:ascii="Arial" w:eastAsia="Times New Roman" w:hAnsi="Arial" w:cs="Arial"/>
          <w:color w:val="000000"/>
          <w:lang w:eastAsia="en-GB"/>
        </w:rPr>
      </w:pPr>
    </w:p>
    <w:tbl>
      <w:tblPr>
        <w:tblW w:w="9703" w:type="dxa"/>
        <w:tblInd w:w="-459" w:type="dxa"/>
        <w:tblLook w:val="04A0" w:firstRow="1" w:lastRow="0" w:firstColumn="1" w:lastColumn="0" w:noHBand="0" w:noVBand="1"/>
      </w:tblPr>
      <w:tblGrid>
        <w:gridCol w:w="1521"/>
        <w:gridCol w:w="1031"/>
        <w:gridCol w:w="1441"/>
        <w:gridCol w:w="1428"/>
        <w:gridCol w:w="1285"/>
        <w:gridCol w:w="1570"/>
        <w:gridCol w:w="1427"/>
      </w:tblGrid>
      <w:tr w:rsidR="00F157A0" w:rsidRPr="00F157A0" w:rsidTr="00645235">
        <w:trPr>
          <w:trHeight w:val="300"/>
        </w:trPr>
        <w:tc>
          <w:tcPr>
            <w:tcW w:w="1521" w:type="dxa"/>
            <w:tcBorders>
              <w:top w:val="single" w:sz="4" w:space="0" w:color="auto"/>
              <w:left w:val="nil"/>
              <w:bottom w:val="single" w:sz="4" w:space="0" w:color="auto"/>
              <w:right w:val="nil"/>
            </w:tcBorders>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Census period</w:t>
            </w:r>
          </w:p>
        </w:tc>
        <w:tc>
          <w:tcPr>
            <w:tcW w:w="1031"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 xml:space="preserve">No. of saplings at </w:t>
            </w:r>
            <w:r>
              <w:rPr>
                <w:rFonts w:ascii="Arial" w:eastAsia="Times New Roman" w:hAnsi="Arial" w:cs="Arial"/>
                <w:color w:val="000000"/>
                <w:lang w:eastAsia="en-GB"/>
              </w:rPr>
              <w:t>T</w:t>
            </w:r>
            <w:r>
              <w:rPr>
                <w:rFonts w:ascii="Arial" w:eastAsia="Times New Roman"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rsidR="00F157A0" w:rsidRPr="00F157A0" w:rsidRDefault="00F157A0" w:rsidP="00067E66">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w:t>
            </w:r>
            <w:r w:rsidR="00067E66">
              <w:rPr>
                <w:rFonts w:ascii="Arial" w:eastAsia="Times New Roman" w:hAnsi="Arial" w:cs="Arial"/>
                <w:color w:val="000000"/>
                <w:lang w:eastAsia="en-GB"/>
              </w:rPr>
              <w:t>recruited from seedlings</w:t>
            </w:r>
          </w:p>
        </w:tc>
        <w:tc>
          <w:tcPr>
            <w:tcW w:w="1428"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sidR="00446BF9">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Annual mortality rate of saplings</w:t>
            </w:r>
          </w:p>
        </w:tc>
      </w:tr>
      <w:tr w:rsidR="00F157A0" w:rsidRPr="00F157A0" w:rsidTr="00645235">
        <w:trPr>
          <w:trHeight w:val="300"/>
        </w:trPr>
        <w:tc>
          <w:tcPr>
            <w:tcW w:w="1521" w:type="dxa"/>
            <w:tcBorders>
              <w:top w:val="single" w:sz="4" w:space="0" w:color="auto"/>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1964-1984</w:t>
            </w:r>
          </w:p>
        </w:tc>
        <w:tc>
          <w:tcPr>
            <w:tcW w:w="1031"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179</w:t>
            </w:r>
          </w:p>
        </w:tc>
        <w:tc>
          <w:tcPr>
            <w:tcW w:w="1441" w:type="dxa"/>
            <w:tcBorders>
              <w:top w:val="single" w:sz="4" w:space="0" w:color="auto"/>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28"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101</w:t>
            </w:r>
          </w:p>
        </w:tc>
        <w:tc>
          <w:tcPr>
            <w:tcW w:w="1285"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25</w:t>
            </w:r>
          </w:p>
        </w:tc>
        <w:tc>
          <w:tcPr>
            <w:tcW w:w="1570"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0.75</w:t>
            </w:r>
            <w:r w:rsidR="00645235">
              <w:rPr>
                <w:rFonts w:ascii="Calibri" w:eastAsia="Times New Roman" w:hAnsi="Calibri" w:cs="Times New Roman"/>
                <w:color w:val="000000"/>
                <w:lang w:eastAsia="en-GB"/>
              </w:rPr>
              <w:t xml:space="preserve"> %</w:t>
            </w:r>
          </w:p>
        </w:tc>
        <w:tc>
          <w:tcPr>
            <w:tcW w:w="1427"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4.07</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1984-1988</w:t>
            </w:r>
          </w:p>
        </w:tc>
        <w:tc>
          <w:tcPr>
            <w:tcW w:w="1031"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56</w:t>
            </w:r>
          </w:p>
        </w:tc>
        <w:tc>
          <w:tcPr>
            <w:tcW w:w="1441" w:type="dxa"/>
            <w:tcBorders>
              <w:top w:val="nil"/>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11</w:t>
            </w:r>
          </w:p>
        </w:tc>
        <w:tc>
          <w:tcPr>
            <w:tcW w:w="1570"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5.32</w:t>
            </w:r>
            <w:r w:rsidR="00645235">
              <w:rPr>
                <w:rFonts w:ascii="Calibri" w:eastAsia="Times New Roman" w:hAnsi="Calibri" w:cs="Times New Roman"/>
                <w:color w:val="000000"/>
                <w:lang w:eastAsia="en-GB"/>
              </w:rPr>
              <w:t xml:space="preserve"> %</w:t>
            </w:r>
          </w:p>
        </w:tc>
        <w:tc>
          <w:tcPr>
            <w:tcW w:w="1427"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2.79</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1988-1996</w:t>
            </w:r>
          </w:p>
        </w:tc>
        <w:tc>
          <w:tcPr>
            <w:tcW w:w="1031"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w:t>
            </w:r>
          </w:p>
        </w:tc>
        <w:tc>
          <w:tcPr>
            <w:tcW w:w="1441" w:type="dxa"/>
            <w:tcBorders>
              <w:top w:val="nil"/>
              <w:left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428"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13</w:t>
            </w:r>
          </w:p>
        </w:tc>
        <w:tc>
          <w:tcPr>
            <w:tcW w:w="1570"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4.79</w:t>
            </w:r>
            <w:r w:rsidR="00645235">
              <w:rPr>
                <w:rFonts w:ascii="Calibri" w:eastAsia="Times New Roman" w:hAnsi="Calibri" w:cs="Times New Roman"/>
                <w:color w:val="000000"/>
                <w:lang w:eastAsia="en-GB"/>
              </w:rPr>
              <w:t xml:space="preserve"> %</w:t>
            </w:r>
          </w:p>
        </w:tc>
        <w:tc>
          <w:tcPr>
            <w:tcW w:w="1427"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2.01</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single" w:sz="4" w:space="0" w:color="auto"/>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1996-2014</w:t>
            </w:r>
          </w:p>
        </w:tc>
        <w:tc>
          <w:tcPr>
            <w:tcW w:w="1031"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23</w:t>
            </w:r>
          </w:p>
        </w:tc>
        <w:tc>
          <w:tcPr>
            <w:tcW w:w="1441" w:type="dxa"/>
            <w:tcBorders>
              <w:top w:val="nil"/>
              <w:left w:val="nil"/>
              <w:bottom w:val="single" w:sz="4" w:space="0" w:color="auto"/>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w:t>
            </w:r>
          </w:p>
        </w:tc>
        <w:tc>
          <w:tcPr>
            <w:tcW w:w="1285"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14</w:t>
            </w:r>
          </w:p>
        </w:tc>
        <w:tc>
          <w:tcPr>
            <w:tcW w:w="1570"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5.08</w:t>
            </w:r>
            <w:r w:rsidR="00645235">
              <w:rPr>
                <w:rFonts w:ascii="Calibri" w:eastAsia="Times New Roman" w:hAnsi="Calibri" w:cs="Times New Roman"/>
                <w:color w:val="000000"/>
                <w:lang w:eastAsia="en-GB"/>
              </w:rPr>
              <w:t xml:space="preserve"> %</w:t>
            </w:r>
          </w:p>
        </w:tc>
        <w:tc>
          <w:tcPr>
            <w:tcW w:w="1427"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0.5</w:t>
            </w:r>
            <w:r w:rsidR="00446BF9">
              <w:rPr>
                <w:rFonts w:ascii="Calibri" w:eastAsia="Times New Roman" w:hAnsi="Calibri" w:cs="Times New Roman"/>
                <w:color w:val="000000"/>
                <w:lang w:eastAsia="en-GB"/>
              </w:rPr>
              <w:t>0</w:t>
            </w:r>
            <w:r w:rsidR="00645235">
              <w:rPr>
                <w:rFonts w:ascii="Calibri" w:eastAsia="Times New Roman" w:hAnsi="Calibri" w:cs="Times New Roman"/>
                <w:color w:val="000000"/>
                <w:lang w:eastAsia="en-GB"/>
              </w:rPr>
              <w:t xml:space="preserve"> %</w:t>
            </w:r>
          </w:p>
        </w:tc>
      </w:tr>
    </w:tbl>
    <w:p w:rsidR="00F157A0" w:rsidRPr="004E3A00" w:rsidRDefault="00F157A0"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Coefficients of beech tree mortality from 1964 to 2014 produced from model averaging of mixed effect complementary log-log models with </w:t>
      </w:r>
      <w:proofErr w:type="spellStart"/>
      <w:r w:rsidR="00772722" w:rsidRPr="004E3A00">
        <w:rPr>
          <w:rFonts w:ascii="Arial" w:eastAsia="Times New Roman" w:hAnsi="Arial" w:cs="Arial"/>
          <w:color w:val="000000"/>
          <w:lang w:eastAsia="en-GB"/>
        </w:rPr>
        <w:t>ΔAICc</w:t>
      </w:r>
      <w:proofErr w:type="spellEnd"/>
      <w:r w:rsidR="00067E66">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9-06T21:26:00Z" w:initials="PM">
    <w:p w:rsidR="00D232FE" w:rsidRDefault="00D232FE">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2" w:author="Phil Martin" w:date="2015-11-26T10:44:00Z" w:initials="PM">
    <w:p w:rsidR="00D232FE" w:rsidRDefault="00D232FE">
      <w:pPr>
        <w:pStyle w:val="CommentText"/>
      </w:pPr>
      <w:r>
        <w:rPr>
          <w:rStyle w:val="CommentReference"/>
        </w:rPr>
        <w:annotationRef/>
      </w:r>
      <w:r>
        <w:t>Put in a citation for this.</w:t>
      </w:r>
    </w:p>
  </w:comment>
  <w:comment w:id="3" w:author="Phil Martin" w:date="2015-09-07T09:29:00Z" w:initials="PM">
    <w:p w:rsidR="00D232FE" w:rsidRDefault="00D232FE">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4" w:author="Phil Martin" w:date="2015-11-30T10:59:00Z" w:initials="PM">
    <w:p w:rsidR="00D232FE" w:rsidRDefault="00D232FE">
      <w:pPr>
        <w:pStyle w:val="CommentText"/>
      </w:pPr>
      <w:r>
        <w:rPr>
          <w:rStyle w:val="CommentReference"/>
        </w:rPr>
        <w:annotationRef/>
      </w:r>
      <w:r>
        <w:t>Check to see how I have defined this.</w:t>
      </w:r>
    </w:p>
  </w:comment>
  <w:comment w:id="5" w:author="Phil Martin" w:date="2015-11-26T12:06:00Z" w:initials="PM">
    <w:p w:rsidR="00D232FE" w:rsidRDefault="00D232FE">
      <w:pPr>
        <w:pStyle w:val="CommentText"/>
      </w:pPr>
      <w:r>
        <w:rPr>
          <w:rStyle w:val="CommentReference"/>
        </w:rPr>
        <w:annotationRef/>
      </w:r>
      <w:r>
        <w:t>I need to tidy up this analysis, reporting standard errors of slopes where needed.</w:t>
      </w:r>
    </w:p>
  </w:comment>
  <w:comment w:id="6" w:author="Phil Martin" w:date="2015-11-26T12:06:00Z" w:initials="PM">
    <w:p w:rsidR="00D232FE" w:rsidRDefault="00D232FE">
      <w:pPr>
        <w:pStyle w:val="CommentText"/>
      </w:pPr>
      <w:r>
        <w:rPr>
          <w:rStyle w:val="CommentReference"/>
        </w:rPr>
        <w:annotationRef/>
      </w:r>
      <w:r>
        <w:t>This part of the analysis needs tidying up as well. It is the basis for the IBM so it needs to be high quality.</w:t>
      </w:r>
    </w:p>
  </w:comment>
  <w:comment w:id="7" w:author="Phil Martin" w:date="2015-09-07T09:27:00Z" w:initials="PM">
    <w:p w:rsidR="00D232FE" w:rsidRDefault="00D232FE">
      <w:pPr>
        <w:pStyle w:val="CommentText"/>
      </w:pPr>
      <w:r>
        <w:rPr>
          <w:rStyle w:val="CommentReference"/>
        </w:rPr>
        <w:annotationRef/>
      </w:r>
      <w:r>
        <w:t>This needs reworking when I run the new model. These results are based on a previous model run.</w:t>
      </w:r>
    </w:p>
  </w:comment>
  <w:comment w:id="8" w:author="Phil Martin" w:date="2015-11-30T12:00:00Z" w:initials="PM">
    <w:p w:rsidR="00D232FE" w:rsidRDefault="00D232FE">
      <w:pPr>
        <w:pStyle w:val="CommentText"/>
      </w:pPr>
      <w:r>
        <w:rPr>
          <w:rStyle w:val="CommentReference"/>
        </w:rPr>
        <w:annotationRef/>
      </w:r>
      <w:r>
        <w:t>At present this is poorly explained. I need to work out a better way of saying this.</w:t>
      </w:r>
    </w:p>
  </w:comment>
  <w:comment w:id="9" w:author="Phil Martin" w:date="2015-12-02T09:25:00Z" w:initials="PM">
    <w:p w:rsidR="00D232FE" w:rsidRDefault="00D232FE" w:rsidP="0050060C">
      <w:pPr>
        <w:pStyle w:val="CommentText"/>
        <w:numPr>
          <w:ilvl w:val="0"/>
          <w:numId w:val="14"/>
        </w:numPr>
      </w:pPr>
      <w:r>
        <w:rPr>
          <w:rStyle w:val="CommentReference"/>
        </w:rPr>
        <w:annotationRef/>
      </w:r>
      <w:r>
        <w:t>Change this so that there are more ticks on both axes</w:t>
      </w:r>
    </w:p>
    <w:p w:rsidR="00D232FE" w:rsidRDefault="00D232FE" w:rsidP="0050060C">
      <w:pPr>
        <w:pStyle w:val="CommentText"/>
        <w:numPr>
          <w:ilvl w:val="0"/>
          <w:numId w:val="14"/>
        </w:numPr>
      </w:pPr>
      <w:r>
        <w:t>Put in supplementary materials</w:t>
      </w:r>
    </w:p>
  </w:comment>
  <w:comment w:id="10" w:author="Phil Martin" w:date="2015-10-13T11:13:00Z" w:initials="PM">
    <w:p w:rsidR="00D232FE" w:rsidRDefault="00D232FE">
      <w:pPr>
        <w:pStyle w:val="CommentText"/>
      </w:pPr>
      <w:r>
        <w:rPr>
          <w:rStyle w:val="CommentReference"/>
        </w:rPr>
        <w:annotationRef/>
      </w:r>
      <w:r>
        <w:t>Stick confidence intervals on this. Stick something about statistics in legend.</w:t>
      </w:r>
    </w:p>
  </w:comment>
  <w:comment w:id="11" w:author="Phil Martin" w:date="2015-10-13T10:21:00Z" w:initials="PM">
    <w:p w:rsidR="00D232FE" w:rsidRDefault="00D232FE">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12" w:author="Phil Martin" w:date="2015-10-13T11:15:00Z" w:initials="PM">
    <w:p w:rsidR="00D232FE" w:rsidRDefault="00D232FE">
      <w:pPr>
        <w:pStyle w:val="CommentText"/>
      </w:pPr>
      <w:r>
        <w:rPr>
          <w:rStyle w:val="CommentReference"/>
        </w:rPr>
        <w:annotationRef/>
      </w:r>
      <w:r>
        <w:t>Remove panels and show (a), (b), (c)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575BC"/>
    <w:multiLevelType w:val="hybridMultilevel"/>
    <w:tmpl w:val="4DA29680"/>
    <w:lvl w:ilvl="0" w:tplc="C96E14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7F19B0"/>
    <w:multiLevelType w:val="hybridMultilevel"/>
    <w:tmpl w:val="71C02C2C"/>
    <w:lvl w:ilvl="0" w:tplc="09A8AB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4"/>
  </w:num>
  <w:num w:numId="9">
    <w:abstractNumId w:val="13"/>
  </w:num>
  <w:num w:numId="10">
    <w:abstractNumId w:val="11"/>
  </w:num>
  <w:num w:numId="11">
    <w:abstractNumId w:val="7"/>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67E66"/>
    <w:rsid w:val="00075D5E"/>
    <w:rsid w:val="0009127F"/>
    <w:rsid w:val="000B1AD5"/>
    <w:rsid w:val="000B620B"/>
    <w:rsid w:val="000E22CA"/>
    <w:rsid w:val="000E25C9"/>
    <w:rsid w:val="000E6E1D"/>
    <w:rsid w:val="000F7021"/>
    <w:rsid w:val="0011596D"/>
    <w:rsid w:val="0013294B"/>
    <w:rsid w:val="00174EF6"/>
    <w:rsid w:val="001A30FD"/>
    <w:rsid w:val="001D43DA"/>
    <w:rsid w:val="001D619D"/>
    <w:rsid w:val="002324D1"/>
    <w:rsid w:val="00263A1D"/>
    <w:rsid w:val="002B700A"/>
    <w:rsid w:val="002D258C"/>
    <w:rsid w:val="002D37F9"/>
    <w:rsid w:val="00305F4F"/>
    <w:rsid w:val="00310344"/>
    <w:rsid w:val="003348F5"/>
    <w:rsid w:val="003446FA"/>
    <w:rsid w:val="003722C5"/>
    <w:rsid w:val="00376928"/>
    <w:rsid w:val="003819C1"/>
    <w:rsid w:val="003B5634"/>
    <w:rsid w:val="003D0FCF"/>
    <w:rsid w:val="003D61E5"/>
    <w:rsid w:val="003E727E"/>
    <w:rsid w:val="004166E0"/>
    <w:rsid w:val="00446BF9"/>
    <w:rsid w:val="004618A6"/>
    <w:rsid w:val="004C4BD3"/>
    <w:rsid w:val="004C5D56"/>
    <w:rsid w:val="004D78CA"/>
    <w:rsid w:val="004E15D2"/>
    <w:rsid w:val="004E3A00"/>
    <w:rsid w:val="004E7D34"/>
    <w:rsid w:val="004F6967"/>
    <w:rsid w:val="0050060C"/>
    <w:rsid w:val="00512270"/>
    <w:rsid w:val="00527DD8"/>
    <w:rsid w:val="00550523"/>
    <w:rsid w:val="00560962"/>
    <w:rsid w:val="0056725C"/>
    <w:rsid w:val="0059280B"/>
    <w:rsid w:val="005B3436"/>
    <w:rsid w:val="005C455F"/>
    <w:rsid w:val="005D2262"/>
    <w:rsid w:val="005D5F34"/>
    <w:rsid w:val="005E23F2"/>
    <w:rsid w:val="00602857"/>
    <w:rsid w:val="00620A02"/>
    <w:rsid w:val="00627E68"/>
    <w:rsid w:val="00645235"/>
    <w:rsid w:val="00655D51"/>
    <w:rsid w:val="00695472"/>
    <w:rsid w:val="006A0E4E"/>
    <w:rsid w:val="006B5377"/>
    <w:rsid w:val="006D6CD3"/>
    <w:rsid w:val="006F0C2D"/>
    <w:rsid w:val="006F3166"/>
    <w:rsid w:val="00732C7B"/>
    <w:rsid w:val="00741B3C"/>
    <w:rsid w:val="007578E3"/>
    <w:rsid w:val="00772722"/>
    <w:rsid w:val="00780DF1"/>
    <w:rsid w:val="00787860"/>
    <w:rsid w:val="007D4DA1"/>
    <w:rsid w:val="007D6626"/>
    <w:rsid w:val="00812C49"/>
    <w:rsid w:val="008513D6"/>
    <w:rsid w:val="00883BE4"/>
    <w:rsid w:val="008B0D23"/>
    <w:rsid w:val="008B2F2E"/>
    <w:rsid w:val="008B348E"/>
    <w:rsid w:val="008C51BD"/>
    <w:rsid w:val="008D6CB8"/>
    <w:rsid w:val="008E1B37"/>
    <w:rsid w:val="00937D98"/>
    <w:rsid w:val="00952854"/>
    <w:rsid w:val="009534FF"/>
    <w:rsid w:val="00997F8B"/>
    <w:rsid w:val="009A7386"/>
    <w:rsid w:val="009B3945"/>
    <w:rsid w:val="009B692C"/>
    <w:rsid w:val="009C65E1"/>
    <w:rsid w:val="00A05E5E"/>
    <w:rsid w:val="00A33D3E"/>
    <w:rsid w:val="00A55BA5"/>
    <w:rsid w:val="00A824A1"/>
    <w:rsid w:val="00A87DA1"/>
    <w:rsid w:val="00A9613B"/>
    <w:rsid w:val="00AA207E"/>
    <w:rsid w:val="00B06D6E"/>
    <w:rsid w:val="00B15A2F"/>
    <w:rsid w:val="00B45B79"/>
    <w:rsid w:val="00B6284F"/>
    <w:rsid w:val="00B67877"/>
    <w:rsid w:val="00BA763D"/>
    <w:rsid w:val="00BB3023"/>
    <w:rsid w:val="00BC7DA4"/>
    <w:rsid w:val="00BE09E1"/>
    <w:rsid w:val="00BE1DE1"/>
    <w:rsid w:val="00BE3605"/>
    <w:rsid w:val="00C049AF"/>
    <w:rsid w:val="00C16F43"/>
    <w:rsid w:val="00C3566F"/>
    <w:rsid w:val="00C531D5"/>
    <w:rsid w:val="00C725D2"/>
    <w:rsid w:val="00C82816"/>
    <w:rsid w:val="00C903FA"/>
    <w:rsid w:val="00C9060F"/>
    <w:rsid w:val="00C94329"/>
    <w:rsid w:val="00C94F83"/>
    <w:rsid w:val="00CB7AA1"/>
    <w:rsid w:val="00D05602"/>
    <w:rsid w:val="00D2111C"/>
    <w:rsid w:val="00D232FE"/>
    <w:rsid w:val="00D405AE"/>
    <w:rsid w:val="00D415C3"/>
    <w:rsid w:val="00DB2CE2"/>
    <w:rsid w:val="00DD6D42"/>
    <w:rsid w:val="00DE0691"/>
    <w:rsid w:val="00DF6F7C"/>
    <w:rsid w:val="00E031F8"/>
    <w:rsid w:val="00E177C4"/>
    <w:rsid w:val="00E32A5A"/>
    <w:rsid w:val="00E64C63"/>
    <w:rsid w:val="00EC6C08"/>
    <w:rsid w:val="00EF562A"/>
    <w:rsid w:val="00F112FE"/>
    <w:rsid w:val="00F11B0B"/>
    <w:rsid w:val="00F157A0"/>
    <w:rsid w:val="00F20584"/>
    <w:rsid w:val="00F23BD8"/>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500189705">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EE29B-3A81-45A5-90AC-4F9BDC05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35569</Words>
  <Characters>202748</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2016-01-25T12:56:00Z</dcterms:created>
  <dcterms:modified xsi:type="dcterms:W3CDTF">2016-01-25T12:56:00Z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