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280F" w:rsidRDefault="00C9060F" w:rsidP="00F11B0B">
      <w:pPr>
        <w:spacing w:after="0" w:line="360" w:lineRule="auto"/>
        <w:contextualSpacing/>
        <w:rPr>
          <w:rFonts w:ascii="Arial" w:eastAsia="Times New Roman" w:hAnsi="Arial" w:cs="Arial"/>
          <w:b/>
          <w:bCs/>
          <w:color w:val="000000"/>
          <w:lang w:eastAsia="en-GB"/>
        </w:rPr>
      </w:pPr>
      <w:r w:rsidRPr="004E3A00">
        <w:rPr>
          <w:rFonts w:ascii="Arial" w:eastAsia="Times New Roman" w:hAnsi="Arial" w:cs="Arial"/>
          <w:b/>
          <w:bCs/>
          <w:color w:val="000000"/>
          <w:lang w:eastAsia="en-GB"/>
        </w:rPr>
        <w:t>Working title</w:t>
      </w:r>
      <w:r w:rsidR="00DF6F7C">
        <w:rPr>
          <w:rFonts w:ascii="Arial" w:eastAsia="Times New Roman" w:hAnsi="Arial" w:cs="Arial"/>
          <w:b/>
          <w:bCs/>
          <w:color w:val="000000"/>
          <w:lang w:eastAsia="en-GB"/>
        </w:rPr>
        <w:t>s</w:t>
      </w:r>
      <w:r w:rsidRPr="004E3A00">
        <w:rPr>
          <w:rFonts w:ascii="Arial" w:eastAsia="Times New Roman" w:hAnsi="Arial" w:cs="Arial"/>
          <w:b/>
          <w:bCs/>
          <w:color w:val="000000"/>
          <w:lang w:eastAsia="en-GB"/>
        </w:rPr>
        <w:t xml:space="preserve">: </w:t>
      </w:r>
    </w:p>
    <w:p w:rsidR="0017280F" w:rsidRDefault="0017280F" w:rsidP="00F11B0B">
      <w:pPr>
        <w:spacing w:after="0" w:line="360" w:lineRule="auto"/>
        <w:contextualSpacing/>
        <w:rPr>
          <w:rFonts w:ascii="Arial" w:eastAsia="Times New Roman" w:hAnsi="Arial" w:cs="Arial"/>
          <w:b/>
          <w:bCs/>
          <w:color w:val="000000"/>
          <w:lang w:eastAsia="en-GB"/>
        </w:rPr>
      </w:pPr>
    </w:p>
    <w:p w:rsidR="00C9060F" w:rsidRDefault="0017280F" w:rsidP="00F11B0B">
      <w:pPr>
        <w:spacing w:after="0" w:line="360" w:lineRule="auto"/>
        <w:contextualSpacing/>
        <w:rPr>
          <w:rFonts w:ascii="Arial" w:eastAsia="Times New Roman" w:hAnsi="Arial" w:cs="Arial"/>
          <w:b/>
          <w:bCs/>
          <w:color w:val="000000"/>
          <w:lang w:eastAsia="en-GB"/>
        </w:rPr>
      </w:pPr>
      <w:r>
        <w:rPr>
          <w:rFonts w:ascii="Arial" w:eastAsia="Times New Roman" w:hAnsi="Arial" w:cs="Arial"/>
          <w:b/>
          <w:bCs/>
          <w:color w:val="000000"/>
          <w:lang w:eastAsia="en-GB"/>
        </w:rPr>
        <w:t xml:space="preserve">1: </w:t>
      </w:r>
      <w:r w:rsidR="00DF6F7C">
        <w:rPr>
          <w:rFonts w:ascii="Arial" w:eastAsia="Times New Roman" w:hAnsi="Arial" w:cs="Arial"/>
          <w:b/>
          <w:bCs/>
          <w:color w:val="000000"/>
          <w:lang w:eastAsia="en-GB"/>
        </w:rPr>
        <w:t>Loss of t</w:t>
      </w:r>
      <w:r w:rsidR="00C9060F" w:rsidRPr="004E3A00">
        <w:rPr>
          <w:rFonts w:ascii="Arial" w:eastAsia="Times New Roman" w:hAnsi="Arial" w:cs="Arial"/>
          <w:b/>
          <w:bCs/>
          <w:color w:val="000000"/>
          <w:lang w:eastAsia="en-GB"/>
        </w:rPr>
        <w:t xml:space="preserve">ree cover </w:t>
      </w:r>
      <w:r w:rsidR="00DF6F7C">
        <w:rPr>
          <w:rFonts w:ascii="Arial" w:eastAsia="Times New Roman" w:hAnsi="Arial" w:cs="Arial"/>
          <w:b/>
          <w:bCs/>
          <w:color w:val="000000"/>
          <w:lang w:eastAsia="en-GB"/>
        </w:rPr>
        <w:t xml:space="preserve">is gradual </w:t>
      </w:r>
      <w:r w:rsidR="00C9060F" w:rsidRPr="004E3A00">
        <w:rPr>
          <w:rFonts w:ascii="Arial" w:eastAsia="Times New Roman" w:hAnsi="Arial" w:cs="Arial"/>
          <w:b/>
          <w:bCs/>
          <w:color w:val="000000"/>
          <w:lang w:eastAsia="en-GB"/>
        </w:rPr>
        <w:t>in a temperate forest</w:t>
      </w:r>
      <w:r w:rsidR="00DF6F7C">
        <w:rPr>
          <w:rFonts w:ascii="Arial" w:eastAsia="Times New Roman" w:hAnsi="Arial" w:cs="Arial"/>
          <w:b/>
          <w:bCs/>
          <w:color w:val="000000"/>
          <w:lang w:eastAsia="en-GB"/>
        </w:rPr>
        <w:t xml:space="preserve"> subject to drought</w:t>
      </w:r>
    </w:p>
    <w:p w:rsidR="00DF6F7C" w:rsidRDefault="00DF6F7C" w:rsidP="00F11B0B">
      <w:pPr>
        <w:spacing w:after="0" w:line="360" w:lineRule="auto"/>
        <w:contextualSpacing/>
        <w:rPr>
          <w:rFonts w:ascii="Arial" w:eastAsia="Times New Roman" w:hAnsi="Arial" w:cs="Arial"/>
          <w:b/>
          <w:bCs/>
          <w:color w:val="000000"/>
          <w:lang w:eastAsia="en-GB"/>
        </w:rPr>
      </w:pPr>
    </w:p>
    <w:p w:rsidR="00DF6F7C" w:rsidRDefault="0017280F" w:rsidP="00F11B0B">
      <w:pPr>
        <w:spacing w:after="0" w:line="360" w:lineRule="auto"/>
        <w:contextualSpacing/>
        <w:rPr>
          <w:rFonts w:ascii="Arial" w:eastAsia="Times New Roman" w:hAnsi="Arial" w:cs="Arial"/>
          <w:b/>
          <w:bCs/>
          <w:color w:val="000000"/>
          <w:lang w:eastAsia="en-GB"/>
        </w:rPr>
      </w:pPr>
      <w:r>
        <w:rPr>
          <w:rFonts w:ascii="Arial" w:eastAsia="Times New Roman" w:hAnsi="Arial" w:cs="Arial"/>
          <w:b/>
          <w:bCs/>
          <w:color w:val="000000"/>
          <w:lang w:eastAsia="en-GB"/>
        </w:rPr>
        <w:t xml:space="preserve">2: </w:t>
      </w:r>
      <w:r w:rsidR="00DF6F7C">
        <w:rPr>
          <w:rFonts w:ascii="Arial" w:eastAsia="Times New Roman" w:hAnsi="Arial" w:cs="Arial"/>
          <w:b/>
          <w:bCs/>
          <w:color w:val="000000"/>
          <w:lang w:eastAsia="en-GB"/>
        </w:rPr>
        <w:t>Drought causes loss of tree cover in a temperate forest but not transition to a non-forest state</w:t>
      </w:r>
    </w:p>
    <w:p w:rsidR="0056725C" w:rsidRPr="004E3A00" w:rsidRDefault="0056725C" w:rsidP="00F11B0B">
      <w:pPr>
        <w:spacing w:after="0" w:line="360" w:lineRule="auto"/>
        <w:contextualSpacing/>
        <w:rPr>
          <w:rFonts w:ascii="Arial" w:eastAsia="Times New Roman" w:hAnsi="Arial" w:cs="Arial"/>
          <w:color w:val="000000"/>
          <w:lang w:eastAsia="en-GB"/>
        </w:rPr>
      </w:pPr>
    </w:p>
    <w:p w:rsidR="0056725C" w:rsidRPr="004E3A00" w:rsidRDefault="0056725C" w:rsidP="0056725C">
      <w:pPr>
        <w:spacing w:line="360" w:lineRule="auto"/>
        <w:contextualSpacing/>
        <w:rPr>
          <w:rFonts w:ascii="Arial" w:hAnsi="Arial" w:cs="Arial"/>
        </w:rPr>
      </w:pPr>
      <w:r w:rsidRPr="004E3A00">
        <w:rPr>
          <w:rFonts w:ascii="Arial" w:hAnsi="Arial" w:cs="Arial"/>
        </w:rPr>
        <w:t>Authors: Philip Martin</w:t>
      </w:r>
      <w:r w:rsidRPr="004E3A00">
        <w:rPr>
          <w:rFonts w:ascii="Arial" w:hAnsi="Arial" w:cs="Arial"/>
          <w:vertAlign w:val="superscript"/>
        </w:rPr>
        <w:t>1</w:t>
      </w:r>
      <w:r w:rsidRPr="004E3A00">
        <w:rPr>
          <w:rFonts w:ascii="Arial" w:hAnsi="Arial" w:cs="Arial"/>
        </w:rPr>
        <w:t>, Adrian C. Newton</w:t>
      </w:r>
      <w:r w:rsidRPr="004E3A00">
        <w:rPr>
          <w:rFonts w:ascii="Arial" w:hAnsi="Arial" w:cs="Arial"/>
          <w:vertAlign w:val="superscript"/>
        </w:rPr>
        <w:t>1</w:t>
      </w:r>
      <w:r w:rsidRPr="004E3A00">
        <w:rPr>
          <w:rFonts w:ascii="Arial" w:hAnsi="Arial" w:cs="Arial"/>
        </w:rPr>
        <w:t>, Elena Cantarello</w:t>
      </w:r>
      <w:r w:rsidRPr="004E3A00">
        <w:rPr>
          <w:rFonts w:ascii="Arial" w:hAnsi="Arial" w:cs="Arial"/>
          <w:vertAlign w:val="superscript"/>
        </w:rPr>
        <w:t>1</w:t>
      </w:r>
      <w:r w:rsidRPr="004E3A00">
        <w:rPr>
          <w:rFonts w:ascii="Arial" w:hAnsi="Arial" w:cs="Arial"/>
        </w:rPr>
        <w:t>, Paul Evans</w:t>
      </w:r>
      <w:r w:rsidRPr="004E3A00">
        <w:rPr>
          <w:rFonts w:ascii="Arial" w:hAnsi="Arial" w:cs="Arial"/>
          <w:vertAlign w:val="superscript"/>
        </w:rPr>
        <w:t>1</w:t>
      </w:r>
      <w:r w:rsidR="00D232FE">
        <w:rPr>
          <w:rFonts w:ascii="Arial" w:hAnsi="Arial" w:cs="Arial"/>
        </w:rPr>
        <w:t>.</w:t>
      </w:r>
    </w:p>
    <w:p w:rsidR="0056725C" w:rsidRPr="004E3A00" w:rsidRDefault="0056725C" w:rsidP="0056725C">
      <w:pPr>
        <w:spacing w:line="360" w:lineRule="auto"/>
        <w:contextualSpacing/>
        <w:rPr>
          <w:rFonts w:ascii="Arial" w:hAnsi="Arial" w:cs="Arial"/>
        </w:rPr>
      </w:pPr>
      <w:r w:rsidRPr="004E3A00">
        <w:rPr>
          <w:rFonts w:ascii="Arial" w:hAnsi="Arial" w:cs="Arial"/>
        </w:rPr>
        <w:t>Journal: Journal of Applied Ecology</w:t>
      </w:r>
    </w:p>
    <w:p w:rsidR="0056725C" w:rsidRPr="004E3A00" w:rsidRDefault="0056725C" w:rsidP="0056725C">
      <w:pPr>
        <w:spacing w:line="360" w:lineRule="auto"/>
        <w:contextualSpacing/>
        <w:rPr>
          <w:rFonts w:ascii="Arial" w:hAnsi="Arial" w:cs="Arial"/>
        </w:rPr>
      </w:pPr>
    </w:p>
    <w:p w:rsidR="0056725C" w:rsidRPr="004E3A00" w:rsidRDefault="0056725C" w:rsidP="0056725C">
      <w:pPr>
        <w:spacing w:line="360" w:lineRule="auto"/>
        <w:contextualSpacing/>
        <w:rPr>
          <w:rFonts w:ascii="Arial" w:hAnsi="Arial" w:cs="Arial"/>
        </w:rPr>
      </w:pPr>
      <w:proofErr w:type="gramStart"/>
      <w:r w:rsidRPr="004E3A00">
        <w:rPr>
          <w:rFonts w:ascii="Arial" w:hAnsi="Arial" w:cs="Arial"/>
          <w:vertAlign w:val="superscript"/>
        </w:rPr>
        <w:t>1</w:t>
      </w:r>
      <w:r w:rsidRPr="004E3A00">
        <w:rPr>
          <w:rFonts w:ascii="Arial" w:hAnsi="Arial" w:cs="Arial"/>
        </w:rPr>
        <w:t>Centre for Conservation Ecology and Environmental Sciences, Faculty of Science and Technology, Bournemouth University, Poole, BH12 5BB, UK.</w:t>
      </w:r>
      <w:proofErr w:type="gramEnd"/>
    </w:p>
    <w:p w:rsidR="0056725C" w:rsidRPr="004E3A00" w:rsidRDefault="0056725C" w:rsidP="0056725C">
      <w:pPr>
        <w:spacing w:line="360" w:lineRule="auto"/>
        <w:contextualSpacing/>
        <w:rPr>
          <w:rFonts w:ascii="Arial" w:hAnsi="Arial" w:cs="Arial"/>
        </w:rPr>
      </w:pPr>
      <w:proofErr w:type="gramStart"/>
      <w:r w:rsidRPr="004E3A00">
        <w:rPr>
          <w:rFonts w:ascii="Arial" w:hAnsi="Arial" w:cs="Arial"/>
          <w:vertAlign w:val="superscript"/>
        </w:rPr>
        <w:t>2</w:t>
      </w:r>
      <w:r w:rsidRPr="004E3A00">
        <w:rPr>
          <w:rFonts w:ascii="Arial" w:hAnsi="Arial" w:cs="Arial"/>
        </w:rPr>
        <w:t xml:space="preserve">Joint Nature Conservation Committee, </w:t>
      </w:r>
      <w:proofErr w:type="spellStart"/>
      <w:r w:rsidRPr="004E3A00">
        <w:rPr>
          <w:rFonts w:ascii="Arial" w:hAnsi="Arial" w:cs="Arial"/>
        </w:rPr>
        <w:t>Monkstone</w:t>
      </w:r>
      <w:proofErr w:type="spellEnd"/>
      <w:r w:rsidRPr="004E3A00">
        <w:rPr>
          <w:rFonts w:ascii="Arial" w:hAnsi="Arial" w:cs="Arial"/>
        </w:rPr>
        <w:t xml:space="preserve"> House, City Road, Peterborough, PE1 1JY, UK.</w:t>
      </w:r>
      <w:proofErr w:type="gramEnd"/>
    </w:p>
    <w:p w:rsidR="0056725C" w:rsidRPr="004E3A00" w:rsidRDefault="0056725C" w:rsidP="0056725C">
      <w:pPr>
        <w:spacing w:line="360" w:lineRule="auto"/>
        <w:contextualSpacing/>
        <w:rPr>
          <w:rFonts w:ascii="Arial" w:hAnsi="Arial" w:cs="Arial"/>
        </w:rPr>
      </w:pPr>
    </w:p>
    <w:p w:rsidR="0056725C" w:rsidRPr="004E3A00" w:rsidRDefault="0056725C" w:rsidP="0056725C">
      <w:pPr>
        <w:spacing w:line="360" w:lineRule="auto"/>
        <w:contextualSpacing/>
        <w:rPr>
          <w:rFonts w:ascii="Arial" w:hAnsi="Arial" w:cs="Arial"/>
        </w:rPr>
      </w:pPr>
      <w:r w:rsidRPr="004E3A00">
        <w:rPr>
          <w:rFonts w:ascii="Arial" w:hAnsi="Arial" w:cs="Arial"/>
        </w:rPr>
        <w:t>Keywords: forest dieback; regime shift; forest collapse; ecosystem resilience;</w:t>
      </w:r>
    </w:p>
    <w:p w:rsidR="0056725C" w:rsidRPr="004E3A00" w:rsidRDefault="0056725C" w:rsidP="0056725C">
      <w:pPr>
        <w:spacing w:line="360" w:lineRule="auto"/>
        <w:contextualSpacing/>
        <w:rPr>
          <w:rFonts w:ascii="Arial" w:hAnsi="Arial" w:cs="Arial"/>
        </w:rPr>
      </w:pPr>
    </w:p>
    <w:p w:rsidR="0056725C" w:rsidRPr="004E3A00" w:rsidRDefault="0056725C" w:rsidP="0056725C">
      <w:pPr>
        <w:spacing w:line="360" w:lineRule="auto"/>
        <w:contextualSpacing/>
        <w:rPr>
          <w:rFonts w:ascii="Arial" w:hAnsi="Arial" w:cs="Arial"/>
        </w:rPr>
      </w:pPr>
      <w:r w:rsidRPr="004E3A00">
        <w:rPr>
          <w:rFonts w:ascii="Arial" w:hAnsi="Arial" w:cs="Arial"/>
        </w:rPr>
        <w:t>Corresponding author email: phil.martin.research@gmail.com</w:t>
      </w:r>
    </w:p>
    <w:p w:rsidR="00C9060F" w:rsidRPr="004E3A00" w:rsidRDefault="00C9060F" w:rsidP="00F11B0B">
      <w:pPr>
        <w:spacing w:after="0" w:line="360" w:lineRule="auto"/>
        <w:contextualSpacing/>
        <w:rPr>
          <w:rFonts w:ascii="Times New Roman" w:eastAsia="Times New Roman" w:hAnsi="Times New Roman" w:cs="Times New Roman"/>
          <w:sz w:val="24"/>
          <w:szCs w:val="24"/>
          <w:lang w:eastAsia="en-GB"/>
        </w:rPr>
      </w:pPr>
    </w:p>
    <w:p w:rsidR="0056725C" w:rsidRPr="004E3A00" w:rsidRDefault="0056725C">
      <w:pPr>
        <w:rPr>
          <w:rFonts w:ascii="Arial" w:eastAsia="Times New Roman" w:hAnsi="Arial" w:cs="Arial"/>
          <w:b/>
          <w:bCs/>
          <w:color w:val="000000"/>
          <w:lang w:eastAsia="en-GB"/>
        </w:rPr>
      </w:pPr>
      <w:r w:rsidRPr="004E3A00">
        <w:rPr>
          <w:rFonts w:ascii="Arial" w:eastAsia="Times New Roman" w:hAnsi="Arial" w:cs="Arial"/>
          <w:b/>
          <w:bCs/>
          <w:color w:val="000000"/>
          <w:lang w:eastAsia="en-GB"/>
        </w:rPr>
        <w:br w:type="page"/>
      </w:r>
    </w:p>
    <w:p w:rsidR="00C9060F" w:rsidRPr="004E3A00" w:rsidRDefault="003D0FCF" w:rsidP="00F11B0B">
      <w:pPr>
        <w:spacing w:after="0" w:line="360" w:lineRule="auto"/>
        <w:contextualSpacing/>
        <w:rPr>
          <w:rFonts w:ascii="Times New Roman" w:eastAsia="Times New Roman" w:hAnsi="Times New Roman" w:cs="Times New Roman"/>
          <w:sz w:val="24"/>
          <w:szCs w:val="24"/>
          <w:lang w:eastAsia="en-GB"/>
        </w:rPr>
      </w:pPr>
      <w:r w:rsidRPr="004E3A00">
        <w:rPr>
          <w:rFonts w:ascii="Arial" w:eastAsia="Times New Roman" w:hAnsi="Arial" w:cs="Arial"/>
          <w:b/>
          <w:bCs/>
          <w:color w:val="000000"/>
          <w:lang w:eastAsia="en-GB"/>
        </w:rPr>
        <w:lastRenderedPageBreak/>
        <w:t>Summary</w:t>
      </w:r>
    </w:p>
    <w:p w:rsidR="00D232FE" w:rsidRPr="00D232FE" w:rsidRDefault="00C9060F" w:rsidP="00F11B0B">
      <w:pPr>
        <w:pStyle w:val="ListParagraph"/>
        <w:numPr>
          <w:ilvl w:val="0"/>
          <w:numId w:val="10"/>
        </w:numPr>
        <w:spacing w:before="40" w:after="140" w:line="360" w:lineRule="auto"/>
        <w:rPr>
          <w:rFonts w:ascii="Times New Roman" w:eastAsia="Times New Roman" w:hAnsi="Times New Roman" w:cs="Times New Roman"/>
          <w:sz w:val="24"/>
          <w:szCs w:val="24"/>
          <w:lang w:eastAsia="en-GB"/>
        </w:rPr>
      </w:pPr>
      <w:r w:rsidRPr="00D232FE">
        <w:rPr>
          <w:rFonts w:ascii="Arial" w:eastAsia="Times New Roman" w:hAnsi="Arial" w:cs="Arial"/>
          <w:color w:val="000000"/>
          <w:shd w:val="clear" w:color="auto" w:fill="FFFFFF"/>
          <w:lang w:eastAsia="en-GB"/>
        </w:rPr>
        <w:t xml:space="preserve">There </w:t>
      </w:r>
      <w:r w:rsidR="000B1AD5" w:rsidRPr="00D232FE">
        <w:rPr>
          <w:rFonts w:ascii="Arial" w:eastAsia="Times New Roman" w:hAnsi="Arial" w:cs="Arial"/>
          <w:color w:val="000000"/>
          <w:shd w:val="clear" w:color="auto" w:fill="FFFFFF"/>
          <w:lang w:eastAsia="en-GB"/>
        </w:rPr>
        <w:t xml:space="preserve">is </w:t>
      </w:r>
      <w:r w:rsidRPr="00D232FE">
        <w:rPr>
          <w:rFonts w:ascii="Arial" w:eastAsia="Times New Roman" w:hAnsi="Arial" w:cs="Arial"/>
          <w:color w:val="000000"/>
          <w:shd w:val="clear" w:color="auto" w:fill="FFFFFF"/>
          <w:lang w:eastAsia="en-GB"/>
        </w:rPr>
        <w:t xml:space="preserve">concern </w:t>
      </w:r>
      <w:r w:rsidR="00B45B79" w:rsidRPr="00D232FE">
        <w:rPr>
          <w:rFonts w:ascii="Arial" w:eastAsia="Times New Roman" w:hAnsi="Arial" w:cs="Arial"/>
          <w:color w:val="000000"/>
          <w:shd w:val="clear" w:color="auto" w:fill="FFFFFF"/>
          <w:lang w:eastAsia="en-GB"/>
        </w:rPr>
        <w:t>that</w:t>
      </w:r>
      <w:r w:rsidRPr="00D232FE">
        <w:rPr>
          <w:rFonts w:ascii="Arial" w:eastAsia="Times New Roman" w:hAnsi="Arial" w:cs="Arial"/>
          <w:color w:val="000000"/>
          <w:shd w:val="clear" w:color="auto" w:fill="FFFFFF"/>
          <w:lang w:eastAsia="en-GB"/>
        </w:rPr>
        <w:t xml:space="preserve"> forest dieback</w:t>
      </w:r>
      <w:r w:rsidR="00B45B79" w:rsidRPr="00D232FE">
        <w:rPr>
          <w:rFonts w:ascii="Arial" w:eastAsia="Times New Roman" w:hAnsi="Arial" w:cs="Arial"/>
          <w:color w:val="000000"/>
          <w:shd w:val="clear" w:color="auto" w:fill="FFFFFF"/>
          <w:lang w:eastAsia="en-GB"/>
        </w:rPr>
        <w:t xml:space="preserve"> may </w:t>
      </w:r>
      <w:r w:rsidR="00D232FE" w:rsidRPr="00D232FE">
        <w:rPr>
          <w:rFonts w:ascii="Arial" w:eastAsia="Times New Roman" w:hAnsi="Arial" w:cs="Arial"/>
          <w:color w:val="000000"/>
          <w:shd w:val="clear" w:color="auto" w:fill="FFFFFF"/>
          <w:lang w:eastAsia="en-GB"/>
        </w:rPr>
        <w:t>result in</w:t>
      </w:r>
      <w:r w:rsidR="00B45B79" w:rsidRPr="00D232FE">
        <w:rPr>
          <w:rFonts w:ascii="Arial" w:eastAsia="Times New Roman" w:hAnsi="Arial" w:cs="Arial"/>
          <w:color w:val="000000"/>
          <w:shd w:val="clear" w:color="auto" w:fill="FFFFFF"/>
          <w:lang w:eastAsia="en-GB"/>
        </w:rPr>
        <w:t xml:space="preserve"> </w:t>
      </w:r>
      <w:r w:rsidRPr="00D232FE">
        <w:rPr>
          <w:rFonts w:ascii="Arial" w:eastAsia="Times New Roman" w:hAnsi="Arial" w:cs="Arial"/>
          <w:color w:val="000000"/>
          <w:shd w:val="clear" w:color="auto" w:fill="FFFFFF"/>
          <w:lang w:eastAsia="en-GB"/>
        </w:rPr>
        <w:t xml:space="preserve">transitions to non-forest states. Positive feedbacks are thought to </w:t>
      </w:r>
      <w:r w:rsidR="003D0FCF" w:rsidRPr="00D232FE">
        <w:rPr>
          <w:rFonts w:ascii="Arial" w:eastAsia="Times New Roman" w:hAnsi="Arial" w:cs="Arial"/>
          <w:color w:val="000000"/>
          <w:shd w:val="clear" w:color="auto" w:fill="FFFFFF"/>
          <w:lang w:eastAsia="en-GB"/>
        </w:rPr>
        <w:t>play</w:t>
      </w:r>
      <w:r w:rsidRPr="00D232FE">
        <w:rPr>
          <w:rFonts w:ascii="Arial" w:eastAsia="Times New Roman" w:hAnsi="Arial" w:cs="Arial"/>
          <w:color w:val="000000"/>
          <w:shd w:val="clear" w:color="auto" w:fill="FFFFFF"/>
          <w:lang w:eastAsia="en-GB"/>
        </w:rPr>
        <w:t xml:space="preserve"> an important </w:t>
      </w:r>
      <w:r w:rsidR="003D0FCF" w:rsidRPr="00D232FE">
        <w:rPr>
          <w:rFonts w:ascii="Arial" w:eastAsia="Times New Roman" w:hAnsi="Arial" w:cs="Arial"/>
          <w:color w:val="000000"/>
          <w:shd w:val="clear" w:color="auto" w:fill="FFFFFF"/>
          <w:lang w:eastAsia="en-GB"/>
        </w:rPr>
        <w:t xml:space="preserve">role in </w:t>
      </w:r>
      <w:r w:rsidRPr="00D232FE">
        <w:rPr>
          <w:rFonts w:ascii="Arial" w:eastAsia="Times New Roman" w:hAnsi="Arial" w:cs="Arial"/>
          <w:color w:val="000000"/>
          <w:shd w:val="clear" w:color="auto" w:fill="FFFFFF"/>
          <w:lang w:eastAsia="en-GB"/>
        </w:rPr>
        <w:t>such transitions</w:t>
      </w:r>
      <w:r w:rsidR="003D0FCF" w:rsidRPr="00D232FE">
        <w:rPr>
          <w:rFonts w:ascii="Arial" w:eastAsia="Times New Roman" w:hAnsi="Arial" w:cs="Arial"/>
          <w:color w:val="000000"/>
          <w:shd w:val="clear" w:color="auto" w:fill="FFFFFF"/>
          <w:lang w:eastAsia="en-GB"/>
        </w:rPr>
        <w:t xml:space="preserve"> by creating self-perpetuating shifts in system states.</w:t>
      </w:r>
      <w:r w:rsidR="000B1AD5" w:rsidRPr="00D232FE">
        <w:rPr>
          <w:rFonts w:ascii="Arial" w:eastAsia="Times New Roman" w:hAnsi="Arial" w:cs="Arial"/>
          <w:color w:val="000000"/>
          <w:shd w:val="clear" w:color="auto" w:fill="FFFFFF"/>
          <w:lang w:eastAsia="en-GB"/>
        </w:rPr>
        <w:t xml:space="preserve"> </w:t>
      </w:r>
    </w:p>
    <w:p w:rsidR="00C9060F" w:rsidRPr="00D232FE" w:rsidRDefault="00C9060F" w:rsidP="00F11B0B">
      <w:pPr>
        <w:pStyle w:val="ListParagraph"/>
        <w:numPr>
          <w:ilvl w:val="0"/>
          <w:numId w:val="10"/>
        </w:numPr>
        <w:spacing w:before="40" w:after="140" w:line="360" w:lineRule="auto"/>
        <w:rPr>
          <w:rFonts w:ascii="Times New Roman" w:eastAsia="Times New Roman" w:hAnsi="Times New Roman" w:cs="Times New Roman"/>
          <w:sz w:val="24"/>
          <w:szCs w:val="24"/>
          <w:lang w:eastAsia="en-GB"/>
        </w:rPr>
      </w:pPr>
      <w:r w:rsidRPr="00D232FE">
        <w:rPr>
          <w:rFonts w:ascii="Arial" w:eastAsia="Times New Roman" w:hAnsi="Arial" w:cs="Arial"/>
          <w:color w:val="000000"/>
          <w:shd w:val="clear" w:color="auto" w:fill="FFFFFF"/>
          <w:lang w:eastAsia="en-GB"/>
        </w:rPr>
        <w:t xml:space="preserve">We used statistical models to </w:t>
      </w:r>
      <w:r w:rsidR="006F0C2D" w:rsidRPr="00D232FE">
        <w:rPr>
          <w:rFonts w:ascii="Arial" w:eastAsia="Times New Roman" w:hAnsi="Arial" w:cs="Arial"/>
          <w:color w:val="000000"/>
          <w:shd w:val="clear" w:color="auto" w:fill="FFFFFF"/>
          <w:lang w:eastAsia="en-GB"/>
        </w:rPr>
        <w:t>identify</w:t>
      </w:r>
      <w:r w:rsidRPr="00D232FE">
        <w:rPr>
          <w:rFonts w:ascii="Arial" w:eastAsia="Times New Roman" w:hAnsi="Arial" w:cs="Arial"/>
          <w:color w:val="000000"/>
          <w:shd w:val="clear" w:color="auto" w:fill="FFFFFF"/>
          <w:lang w:eastAsia="en-GB"/>
        </w:rPr>
        <w:t xml:space="preserve"> correlates of </w:t>
      </w:r>
      <w:r w:rsidR="00620A02" w:rsidRPr="00D232FE">
        <w:rPr>
          <w:rFonts w:ascii="Arial" w:eastAsia="Times New Roman" w:hAnsi="Arial" w:cs="Arial"/>
          <w:color w:val="000000"/>
          <w:shd w:val="clear" w:color="auto" w:fill="FFFFFF"/>
          <w:lang w:eastAsia="en-GB"/>
        </w:rPr>
        <w:t xml:space="preserve">death and recruitment of the canopy dominant </w:t>
      </w:r>
      <w:r w:rsidR="00B45B79" w:rsidRPr="00D232FE">
        <w:rPr>
          <w:rFonts w:ascii="Arial" w:eastAsia="Times New Roman" w:hAnsi="Arial" w:cs="Arial"/>
          <w:color w:val="000000"/>
          <w:shd w:val="clear" w:color="auto" w:fill="FFFFFF"/>
          <w:lang w:eastAsia="en-GB"/>
        </w:rPr>
        <w:t>(</w:t>
      </w:r>
      <w:proofErr w:type="spellStart"/>
      <w:r w:rsidR="00620A02" w:rsidRPr="00D232FE">
        <w:rPr>
          <w:rFonts w:ascii="Arial" w:eastAsia="Times New Roman" w:hAnsi="Arial" w:cs="Arial"/>
          <w:i/>
          <w:color w:val="000000"/>
          <w:shd w:val="clear" w:color="auto" w:fill="FFFFFF"/>
          <w:lang w:eastAsia="en-GB"/>
        </w:rPr>
        <w:t>Fagus</w:t>
      </w:r>
      <w:proofErr w:type="spellEnd"/>
      <w:r w:rsidR="00620A02" w:rsidRPr="00D232FE">
        <w:rPr>
          <w:rFonts w:ascii="Arial" w:eastAsia="Times New Roman" w:hAnsi="Arial" w:cs="Arial"/>
          <w:i/>
          <w:color w:val="000000"/>
          <w:shd w:val="clear" w:color="auto" w:fill="FFFFFF"/>
          <w:lang w:eastAsia="en-GB"/>
        </w:rPr>
        <w:t xml:space="preserve"> </w:t>
      </w:r>
      <w:proofErr w:type="spellStart"/>
      <w:r w:rsidR="00620A02" w:rsidRPr="00D232FE">
        <w:rPr>
          <w:rFonts w:ascii="Arial" w:eastAsia="Times New Roman" w:hAnsi="Arial" w:cs="Arial"/>
          <w:i/>
          <w:color w:val="000000"/>
          <w:shd w:val="clear" w:color="auto" w:fill="FFFFFF"/>
          <w:lang w:eastAsia="en-GB"/>
        </w:rPr>
        <w:t>sylvatica</w:t>
      </w:r>
      <w:proofErr w:type="spellEnd"/>
      <w:r w:rsidR="00B45B79" w:rsidRPr="00D232FE">
        <w:rPr>
          <w:rFonts w:ascii="Arial" w:eastAsia="Times New Roman" w:hAnsi="Arial" w:cs="Arial"/>
          <w:color w:val="000000"/>
          <w:shd w:val="clear" w:color="auto" w:fill="FFFFFF"/>
          <w:lang w:eastAsia="en-GB"/>
        </w:rPr>
        <w:t xml:space="preserve"> - </w:t>
      </w:r>
      <w:r w:rsidR="00620A02" w:rsidRPr="00D232FE">
        <w:rPr>
          <w:rFonts w:ascii="Arial" w:eastAsia="Times New Roman" w:hAnsi="Arial" w:cs="Arial"/>
          <w:color w:val="000000"/>
          <w:shd w:val="clear" w:color="auto" w:fill="FFFFFF"/>
          <w:lang w:eastAsia="en-GB"/>
        </w:rPr>
        <w:t>beech)</w:t>
      </w:r>
      <w:r w:rsidR="006F0C2D" w:rsidRPr="00D232FE">
        <w:rPr>
          <w:rFonts w:ascii="Arial" w:eastAsia="Times New Roman" w:hAnsi="Arial" w:cs="Arial"/>
          <w:color w:val="000000"/>
          <w:shd w:val="clear" w:color="auto" w:fill="FFFFFF"/>
          <w:lang w:eastAsia="en-GB"/>
        </w:rPr>
        <w:t xml:space="preserve"> in a temperate forest site that has been sampled over 50 years and appears to be undergoing transition to grassland. We use</w:t>
      </w:r>
      <w:r w:rsidRPr="00D232FE">
        <w:rPr>
          <w:rFonts w:ascii="Arial" w:eastAsia="Times New Roman" w:hAnsi="Arial" w:cs="Arial"/>
          <w:color w:val="000000"/>
          <w:shd w:val="clear" w:color="auto" w:fill="FFFFFF"/>
          <w:lang w:eastAsia="en-GB"/>
        </w:rPr>
        <w:t xml:space="preserve"> </w:t>
      </w:r>
      <w:r w:rsidR="006F0C2D" w:rsidRPr="00D232FE">
        <w:rPr>
          <w:rFonts w:ascii="Arial" w:eastAsia="Times New Roman" w:hAnsi="Arial" w:cs="Arial"/>
          <w:color w:val="000000"/>
          <w:shd w:val="clear" w:color="auto" w:fill="FFFFFF"/>
          <w:lang w:eastAsia="en-GB"/>
        </w:rPr>
        <w:t xml:space="preserve">these </w:t>
      </w:r>
      <w:r w:rsidRPr="00D232FE">
        <w:rPr>
          <w:rFonts w:ascii="Arial" w:eastAsia="Times New Roman" w:hAnsi="Arial" w:cs="Arial"/>
          <w:color w:val="000000"/>
          <w:shd w:val="clear" w:color="auto" w:fill="FFFFFF"/>
          <w:lang w:eastAsia="en-GB"/>
        </w:rPr>
        <w:t xml:space="preserve">results along with information from the literature to build an individual based model to investigate the impact of positive feedbacks </w:t>
      </w:r>
      <w:r w:rsidR="00D232FE">
        <w:rPr>
          <w:rFonts w:ascii="Arial" w:eastAsia="Times New Roman" w:hAnsi="Arial" w:cs="Arial"/>
          <w:color w:val="000000"/>
          <w:shd w:val="clear" w:color="auto" w:fill="FFFFFF"/>
          <w:lang w:eastAsia="en-GB"/>
        </w:rPr>
        <w:t xml:space="preserve">and disturbance </w:t>
      </w:r>
      <w:r w:rsidRPr="00D232FE">
        <w:rPr>
          <w:rFonts w:ascii="Arial" w:eastAsia="Times New Roman" w:hAnsi="Arial" w:cs="Arial"/>
          <w:color w:val="000000"/>
          <w:shd w:val="clear" w:color="auto" w:fill="FFFFFF"/>
          <w:lang w:eastAsia="en-GB"/>
        </w:rPr>
        <w:t>on forest persistence.</w:t>
      </w:r>
    </w:p>
    <w:p w:rsidR="006F0C2D" w:rsidRPr="004E3A00" w:rsidRDefault="00C9060F" w:rsidP="00F11B0B">
      <w:pPr>
        <w:pStyle w:val="ListParagraph"/>
        <w:numPr>
          <w:ilvl w:val="0"/>
          <w:numId w:val="10"/>
        </w:numPr>
        <w:spacing w:before="40" w:after="140" w:line="360" w:lineRule="auto"/>
        <w:rPr>
          <w:rFonts w:ascii="Times New Roman" w:eastAsia="Times New Roman" w:hAnsi="Times New Roman" w:cs="Times New Roman"/>
          <w:sz w:val="24"/>
          <w:szCs w:val="24"/>
          <w:lang w:eastAsia="en-GB"/>
        </w:rPr>
      </w:pPr>
      <w:r w:rsidRPr="004E3A00">
        <w:rPr>
          <w:rFonts w:ascii="Arial" w:eastAsia="Times New Roman" w:hAnsi="Arial" w:cs="Arial"/>
          <w:color w:val="000000"/>
          <w:shd w:val="clear" w:color="auto" w:fill="FFFFFF"/>
          <w:lang w:eastAsia="en-GB"/>
        </w:rPr>
        <w:t xml:space="preserve">We found that </w:t>
      </w:r>
      <w:r w:rsidR="000B1AD5" w:rsidRPr="004E3A00">
        <w:rPr>
          <w:rFonts w:ascii="Arial" w:eastAsia="Times New Roman" w:hAnsi="Arial" w:cs="Arial"/>
          <w:color w:val="000000"/>
          <w:shd w:val="clear" w:color="auto" w:fill="FFFFFF"/>
          <w:lang w:eastAsia="en-GB"/>
        </w:rPr>
        <w:t xml:space="preserve">the probability of </w:t>
      </w:r>
      <w:r w:rsidRPr="004E3A00">
        <w:rPr>
          <w:rFonts w:ascii="Arial" w:eastAsia="Times New Roman" w:hAnsi="Arial" w:cs="Arial"/>
          <w:color w:val="000000"/>
          <w:shd w:val="clear" w:color="auto" w:fill="FFFFFF"/>
          <w:lang w:eastAsia="en-GB"/>
        </w:rPr>
        <w:t xml:space="preserve">tree death </w:t>
      </w:r>
      <w:r w:rsidR="00B45B79" w:rsidRPr="004E3A00">
        <w:rPr>
          <w:rFonts w:ascii="Arial" w:eastAsia="Times New Roman" w:hAnsi="Arial" w:cs="Arial"/>
          <w:color w:val="000000"/>
          <w:shd w:val="clear" w:color="auto" w:fill="FFFFFF"/>
          <w:lang w:eastAsia="en-GB"/>
        </w:rPr>
        <w:t>declined with increasing</w:t>
      </w:r>
      <w:r w:rsidRPr="004E3A00">
        <w:rPr>
          <w:rFonts w:ascii="Arial" w:eastAsia="Times New Roman" w:hAnsi="Arial" w:cs="Arial"/>
          <w:color w:val="000000"/>
          <w:shd w:val="clear" w:color="auto" w:fill="FFFFFF"/>
          <w:lang w:eastAsia="en-GB"/>
        </w:rPr>
        <w:t xml:space="preserve"> tree growth rate, but </w:t>
      </w:r>
      <w:r w:rsidR="00376928" w:rsidRPr="004E3A00">
        <w:rPr>
          <w:rFonts w:ascii="Arial" w:eastAsia="Times New Roman" w:hAnsi="Arial" w:cs="Arial"/>
          <w:color w:val="000000"/>
          <w:shd w:val="clear" w:color="auto" w:fill="FFFFFF"/>
          <w:lang w:eastAsia="en-GB"/>
        </w:rPr>
        <w:t xml:space="preserve">was </w:t>
      </w:r>
      <w:r w:rsidRPr="004E3A00">
        <w:rPr>
          <w:rFonts w:ascii="Arial" w:eastAsia="Times New Roman" w:hAnsi="Arial" w:cs="Arial"/>
          <w:color w:val="000000"/>
          <w:shd w:val="clear" w:color="auto" w:fill="FFFFFF"/>
          <w:lang w:eastAsia="en-GB"/>
        </w:rPr>
        <w:t xml:space="preserve">positively correlated with tree size. Seedling density was negatively related to canopy cover, but sapling density was </w:t>
      </w:r>
      <w:r w:rsidR="007647DD">
        <w:rPr>
          <w:rFonts w:ascii="Arial" w:eastAsia="Times New Roman" w:hAnsi="Arial" w:cs="Arial"/>
          <w:color w:val="000000"/>
          <w:shd w:val="clear" w:color="auto" w:fill="FFFFFF"/>
          <w:lang w:eastAsia="en-GB"/>
        </w:rPr>
        <w:t>not related to</w:t>
      </w:r>
      <w:r w:rsidRPr="004E3A00">
        <w:rPr>
          <w:rFonts w:ascii="Arial" w:eastAsia="Times New Roman" w:hAnsi="Arial" w:cs="Arial"/>
          <w:color w:val="000000"/>
          <w:shd w:val="clear" w:color="auto" w:fill="FFFFFF"/>
          <w:lang w:eastAsia="en-GB"/>
        </w:rPr>
        <w:t xml:space="preserve"> canopy cover. </w:t>
      </w:r>
    </w:p>
    <w:p w:rsidR="00732C7B" w:rsidRPr="004E3A00" w:rsidRDefault="00732C7B" w:rsidP="00732C7B">
      <w:pPr>
        <w:pStyle w:val="ListParagraph"/>
        <w:numPr>
          <w:ilvl w:val="0"/>
          <w:numId w:val="10"/>
        </w:numPr>
        <w:spacing w:before="40" w:after="140" w:line="360" w:lineRule="auto"/>
        <w:rPr>
          <w:rFonts w:ascii="Arial" w:eastAsia="Times New Roman" w:hAnsi="Arial" w:cs="Arial"/>
          <w:szCs w:val="24"/>
          <w:lang w:eastAsia="en-GB"/>
        </w:rPr>
      </w:pPr>
      <w:r w:rsidRPr="004E3A00">
        <w:rPr>
          <w:rFonts w:ascii="Arial" w:eastAsia="Times New Roman" w:hAnsi="Arial" w:cs="Arial"/>
          <w:szCs w:val="24"/>
          <w:lang w:eastAsia="en-GB"/>
        </w:rPr>
        <w:t>Contrary to our expectations, inclusion of p</w:t>
      </w:r>
      <w:r w:rsidR="00D232FE">
        <w:rPr>
          <w:rFonts w:ascii="Arial" w:eastAsia="Times New Roman" w:hAnsi="Arial" w:cs="Arial"/>
          <w:szCs w:val="24"/>
          <w:lang w:eastAsia="en-GB"/>
        </w:rPr>
        <w:t xml:space="preserve">ositive </w:t>
      </w:r>
      <w:r w:rsidRPr="004E3A00">
        <w:rPr>
          <w:rFonts w:ascii="Arial" w:eastAsia="Times New Roman" w:hAnsi="Arial" w:cs="Arial"/>
          <w:szCs w:val="24"/>
          <w:lang w:eastAsia="en-GB"/>
        </w:rPr>
        <w:t>feedbacks in our individual based model did not result in total loss of tree cover over 150 years, even with 100% mortality of juvenile trees.</w:t>
      </w:r>
    </w:p>
    <w:p w:rsidR="00732C7B" w:rsidRPr="004E3A00" w:rsidRDefault="00620A02" w:rsidP="00732C7B">
      <w:pPr>
        <w:pStyle w:val="ListParagraph"/>
        <w:numPr>
          <w:ilvl w:val="0"/>
          <w:numId w:val="10"/>
        </w:numPr>
        <w:spacing w:before="40" w:after="140" w:line="360" w:lineRule="auto"/>
        <w:rPr>
          <w:rFonts w:ascii="Times New Roman" w:eastAsia="Times New Roman" w:hAnsi="Times New Roman" w:cs="Times New Roman"/>
          <w:sz w:val="24"/>
          <w:szCs w:val="24"/>
          <w:lang w:eastAsia="en-GB"/>
        </w:rPr>
      </w:pPr>
      <w:r w:rsidRPr="004E3A00">
        <w:rPr>
          <w:rFonts w:ascii="Arial" w:eastAsia="Times New Roman" w:hAnsi="Arial" w:cs="Arial"/>
          <w:color w:val="000000"/>
          <w:shd w:val="clear" w:color="auto" w:fill="FFFFFF"/>
          <w:lang w:eastAsia="en-GB"/>
        </w:rPr>
        <w:t>Our</w:t>
      </w:r>
      <w:r w:rsidR="00C9060F" w:rsidRPr="004E3A00">
        <w:rPr>
          <w:rFonts w:ascii="Arial" w:eastAsia="Times New Roman" w:hAnsi="Arial" w:cs="Arial"/>
          <w:color w:val="000000"/>
          <w:shd w:val="clear" w:color="auto" w:fill="FFFFFF"/>
          <w:lang w:eastAsia="en-GB"/>
        </w:rPr>
        <w:t xml:space="preserve"> results </w:t>
      </w:r>
      <w:r w:rsidRPr="004E3A00">
        <w:rPr>
          <w:rFonts w:ascii="Arial" w:eastAsia="Times New Roman" w:hAnsi="Arial" w:cs="Arial"/>
          <w:color w:val="000000"/>
          <w:shd w:val="clear" w:color="auto" w:fill="FFFFFF"/>
          <w:lang w:eastAsia="en-GB"/>
        </w:rPr>
        <w:t>suggest</w:t>
      </w:r>
      <w:r w:rsidR="00C9060F" w:rsidRPr="004E3A00">
        <w:rPr>
          <w:rFonts w:ascii="Arial" w:eastAsia="Times New Roman" w:hAnsi="Arial" w:cs="Arial"/>
          <w:color w:val="000000"/>
          <w:shd w:val="clear" w:color="auto" w:fill="FFFFFF"/>
          <w:lang w:eastAsia="en-GB"/>
        </w:rPr>
        <w:t xml:space="preserve"> that </w:t>
      </w:r>
      <w:r w:rsidR="00732C7B" w:rsidRPr="004E3A00">
        <w:rPr>
          <w:rFonts w:ascii="Arial" w:eastAsia="Times New Roman" w:hAnsi="Arial" w:cs="Arial"/>
          <w:color w:val="000000"/>
          <w:shd w:val="clear" w:color="auto" w:fill="FFFFFF"/>
          <w:lang w:eastAsia="en-GB"/>
        </w:rPr>
        <w:t xml:space="preserve">while </w:t>
      </w:r>
      <w:r w:rsidR="00C9060F" w:rsidRPr="004E3A00">
        <w:rPr>
          <w:rFonts w:ascii="Arial" w:eastAsia="Times New Roman" w:hAnsi="Arial" w:cs="Arial"/>
          <w:color w:val="000000"/>
          <w:shd w:val="clear" w:color="auto" w:fill="FFFFFF"/>
          <w:lang w:eastAsia="en-GB"/>
        </w:rPr>
        <w:t xml:space="preserve">positive feedbacks </w:t>
      </w:r>
      <w:r w:rsidR="00732C7B" w:rsidRPr="004E3A00">
        <w:rPr>
          <w:rFonts w:ascii="Arial" w:eastAsia="Times New Roman" w:hAnsi="Arial" w:cs="Arial"/>
          <w:color w:val="000000"/>
          <w:shd w:val="clear" w:color="auto" w:fill="FFFFFF"/>
          <w:lang w:eastAsia="en-GB"/>
        </w:rPr>
        <w:t>may</w:t>
      </w:r>
      <w:r w:rsidR="00C9060F" w:rsidRPr="004E3A00">
        <w:rPr>
          <w:rFonts w:ascii="Arial" w:eastAsia="Times New Roman" w:hAnsi="Arial" w:cs="Arial"/>
          <w:color w:val="000000"/>
          <w:shd w:val="clear" w:color="auto" w:fill="FFFFFF"/>
          <w:lang w:eastAsia="en-GB"/>
        </w:rPr>
        <w:t xml:space="preserve"> influence both recruitment of juveniles and death of mature trees</w:t>
      </w:r>
      <w:r w:rsidR="00732C7B" w:rsidRPr="004E3A00">
        <w:rPr>
          <w:rFonts w:ascii="Arial" w:eastAsia="Times New Roman" w:hAnsi="Arial" w:cs="Arial"/>
          <w:color w:val="000000"/>
          <w:shd w:val="clear" w:color="auto" w:fill="FFFFFF"/>
          <w:lang w:eastAsia="en-GB"/>
        </w:rPr>
        <w:t>, the long lifespan of trees provides a buffer to sudden transitions. However, under current conditions the woodla</w:t>
      </w:r>
      <w:r w:rsidR="00BB3023">
        <w:rPr>
          <w:rFonts w:ascii="Arial" w:eastAsia="Times New Roman" w:hAnsi="Arial" w:cs="Arial"/>
          <w:color w:val="000000"/>
          <w:shd w:val="clear" w:color="auto" w:fill="FFFFFF"/>
          <w:lang w:eastAsia="en-GB"/>
        </w:rPr>
        <w:t>nd may transition to a savannah-</w:t>
      </w:r>
      <w:r w:rsidR="00732C7B" w:rsidRPr="004E3A00">
        <w:rPr>
          <w:rFonts w:ascii="Arial" w:eastAsia="Times New Roman" w:hAnsi="Arial" w:cs="Arial"/>
          <w:color w:val="000000"/>
          <w:shd w:val="clear" w:color="auto" w:fill="FFFFFF"/>
          <w:lang w:eastAsia="en-GB"/>
        </w:rPr>
        <w:t>like system.</w:t>
      </w:r>
    </w:p>
    <w:p w:rsidR="00C9060F" w:rsidRPr="004E3A00" w:rsidRDefault="00620A02" w:rsidP="00F11B0B">
      <w:pPr>
        <w:pStyle w:val="ListParagraph"/>
        <w:numPr>
          <w:ilvl w:val="0"/>
          <w:numId w:val="10"/>
        </w:numPr>
        <w:spacing w:before="40" w:after="140" w:line="360" w:lineRule="auto"/>
        <w:rPr>
          <w:rFonts w:ascii="Times New Roman" w:eastAsia="Times New Roman" w:hAnsi="Times New Roman" w:cs="Times New Roman"/>
          <w:sz w:val="24"/>
          <w:szCs w:val="24"/>
          <w:lang w:eastAsia="en-GB"/>
        </w:rPr>
      </w:pPr>
      <w:r w:rsidRPr="004E3A00">
        <w:rPr>
          <w:rFonts w:ascii="Arial" w:eastAsia="Times New Roman" w:hAnsi="Arial" w:cs="Arial"/>
          <w:b/>
          <w:bCs/>
          <w:color w:val="000000"/>
          <w:shd w:val="clear" w:color="auto" w:fill="FFFFFF"/>
          <w:lang w:eastAsia="en-GB"/>
        </w:rPr>
        <w:t xml:space="preserve">Synthesis and applications: </w:t>
      </w:r>
      <w:r w:rsidR="00C9060F" w:rsidRPr="004E3A00">
        <w:rPr>
          <w:rFonts w:ascii="Arial" w:eastAsia="Times New Roman" w:hAnsi="Arial" w:cs="Arial"/>
          <w:color w:val="000000"/>
          <w:lang w:eastAsia="en-GB"/>
        </w:rPr>
        <w:t>To enhance forest resil</w:t>
      </w:r>
      <w:bookmarkStart w:id="0" w:name="_GoBack"/>
      <w:bookmarkEnd w:id="0"/>
      <w:r w:rsidR="00C9060F" w:rsidRPr="004E3A00">
        <w:rPr>
          <w:rFonts w:ascii="Arial" w:eastAsia="Times New Roman" w:hAnsi="Arial" w:cs="Arial"/>
          <w:color w:val="000000"/>
          <w:lang w:eastAsia="en-GB"/>
        </w:rPr>
        <w:t xml:space="preserve">ience management should attempt to stop the development </w:t>
      </w:r>
      <w:r w:rsidR="00550523" w:rsidRPr="004E3A00">
        <w:rPr>
          <w:rFonts w:ascii="Arial" w:eastAsia="Times New Roman" w:hAnsi="Arial" w:cs="Arial"/>
          <w:color w:val="000000"/>
          <w:lang w:eastAsia="en-GB"/>
        </w:rPr>
        <w:t>of such positive feedback loops</w:t>
      </w:r>
      <w:r w:rsidR="00C9060F" w:rsidRPr="004E3A00">
        <w:rPr>
          <w:rFonts w:ascii="Arial" w:eastAsia="Times New Roman" w:hAnsi="Arial" w:cs="Arial"/>
          <w:color w:val="000000"/>
          <w:lang w:eastAsia="en-GB"/>
        </w:rPr>
        <w:t>. In our study area fencing off forest areas to reduce seedling mortality caused by browsing of ponies and deer may reduce feedbacks related to juvenile death. However, reducing the feedbacks related to mortality of larger trees will be more challeng</w:t>
      </w:r>
      <w:r w:rsidR="0056725C" w:rsidRPr="004E3A00">
        <w:rPr>
          <w:rFonts w:ascii="Arial" w:eastAsia="Times New Roman" w:hAnsi="Arial" w:cs="Arial"/>
          <w:color w:val="000000"/>
          <w:lang w:eastAsia="en-GB"/>
        </w:rPr>
        <w:t>ing as these may be related to larger scale drivers relating to climate change</w:t>
      </w:r>
      <w:r w:rsidR="00C9060F" w:rsidRPr="004E3A00">
        <w:rPr>
          <w:rFonts w:ascii="Arial" w:eastAsia="Times New Roman" w:hAnsi="Arial" w:cs="Arial"/>
          <w:color w:val="000000"/>
          <w:lang w:eastAsia="en-GB"/>
        </w:rPr>
        <w:t>.</w:t>
      </w:r>
    </w:p>
    <w:p w:rsidR="00C9060F" w:rsidRPr="004E3A00" w:rsidRDefault="00C9060F" w:rsidP="00F11B0B">
      <w:pPr>
        <w:spacing w:after="0" w:line="360" w:lineRule="auto"/>
        <w:contextualSpacing/>
        <w:rPr>
          <w:rFonts w:ascii="Times New Roman" w:eastAsia="Times New Roman" w:hAnsi="Times New Roman" w:cs="Times New Roman"/>
          <w:sz w:val="24"/>
          <w:szCs w:val="24"/>
          <w:lang w:eastAsia="en-GB"/>
        </w:rPr>
      </w:pPr>
    </w:p>
    <w:p w:rsidR="0056725C" w:rsidRPr="004E3A00" w:rsidRDefault="0056725C">
      <w:pPr>
        <w:rPr>
          <w:rFonts w:ascii="Arial" w:eastAsia="Times New Roman" w:hAnsi="Arial" w:cs="Arial"/>
          <w:b/>
          <w:bCs/>
          <w:color w:val="000000"/>
          <w:lang w:eastAsia="en-GB"/>
        </w:rPr>
      </w:pPr>
      <w:r w:rsidRPr="004E3A00">
        <w:rPr>
          <w:rFonts w:ascii="Arial" w:eastAsia="Times New Roman" w:hAnsi="Arial" w:cs="Arial"/>
          <w:b/>
          <w:bCs/>
          <w:color w:val="000000"/>
          <w:lang w:eastAsia="en-GB"/>
        </w:rPr>
        <w:br w:type="page"/>
      </w:r>
    </w:p>
    <w:p w:rsidR="00C9060F" w:rsidRPr="004E3A00" w:rsidRDefault="00C9060F" w:rsidP="00F11B0B">
      <w:pPr>
        <w:spacing w:before="40" w:after="140" w:line="360" w:lineRule="auto"/>
        <w:contextualSpacing/>
        <w:rPr>
          <w:rFonts w:ascii="Times New Roman" w:eastAsia="Times New Roman" w:hAnsi="Times New Roman" w:cs="Times New Roman"/>
          <w:sz w:val="24"/>
          <w:szCs w:val="24"/>
          <w:lang w:eastAsia="en-GB"/>
        </w:rPr>
      </w:pPr>
      <w:commentRangeStart w:id="1"/>
      <w:r w:rsidRPr="004E3A00">
        <w:rPr>
          <w:rFonts w:ascii="Arial" w:eastAsia="Times New Roman" w:hAnsi="Arial" w:cs="Arial"/>
          <w:b/>
          <w:bCs/>
          <w:color w:val="000000"/>
          <w:lang w:eastAsia="en-GB"/>
        </w:rPr>
        <w:lastRenderedPageBreak/>
        <w:t>Introduction (</w:t>
      </w:r>
      <w:r w:rsidR="006D6CD3" w:rsidRPr="004E3A00">
        <w:rPr>
          <w:rFonts w:ascii="Arial" w:eastAsia="Times New Roman" w:hAnsi="Arial" w:cs="Arial"/>
          <w:b/>
          <w:bCs/>
          <w:color w:val="000000"/>
          <w:lang w:eastAsia="en-GB"/>
        </w:rPr>
        <w:t>aim for ~</w:t>
      </w:r>
      <w:r w:rsidR="00C16F43" w:rsidRPr="004E3A00">
        <w:rPr>
          <w:rFonts w:ascii="Arial" w:eastAsia="Times New Roman" w:hAnsi="Arial" w:cs="Arial"/>
          <w:b/>
          <w:bCs/>
          <w:color w:val="000000"/>
          <w:lang w:eastAsia="en-GB"/>
        </w:rPr>
        <w:t>800</w:t>
      </w:r>
      <w:r w:rsidRPr="004E3A00">
        <w:rPr>
          <w:rFonts w:ascii="Arial" w:eastAsia="Times New Roman" w:hAnsi="Arial" w:cs="Arial"/>
          <w:b/>
          <w:bCs/>
          <w:color w:val="000000"/>
          <w:lang w:eastAsia="en-GB"/>
        </w:rPr>
        <w:t xml:space="preserve"> words)</w:t>
      </w:r>
      <w:commentRangeEnd w:id="1"/>
      <w:r w:rsidR="006D6CD3" w:rsidRPr="004E3A00">
        <w:rPr>
          <w:rStyle w:val="CommentReference"/>
        </w:rPr>
        <w:commentReference w:id="1"/>
      </w:r>
    </w:p>
    <w:p w:rsidR="006F0C2D" w:rsidRPr="004E3A00" w:rsidRDefault="006F0C2D" w:rsidP="00F11B0B">
      <w:pPr>
        <w:spacing w:before="40" w:after="0" w:line="360" w:lineRule="auto"/>
        <w:ind w:firstLine="720"/>
        <w:contextualSpacing/>
        <w:textAlignment w:val="baseline"/>
        <w:rPr>
          <w:rFonts w:ascii="Arial" w:eastAsia="Times New Roman" w:hAnsi="Arial" w:cs="Arial"/>
          <w:color w:val="000000"/>
          <w:lang w:eastAsia="en-GB"/>
        </w:rPr>
      </w:pPr>
      <w:r w:rsidRPr="004E3A00">
        <w:rPr>
          <w:rFonts w:ascii="Arial" w:eastAsia="Times New Roman" w:hAnsi="Arial" w:cs="Arial"/>
          <w:color w:val="000000"/>
          <w:lang w:eastAsia="en-GB"/>
        </w:rPr>
        <w:t xml:space="preserve">There is widespread concern that </w:t>
      </w:r>
      <w:r w:rsidR="00B6284F">
        <w:rPr>
          <w:rFonts w:ascii="Arial" w:eastAsia="Times New Roman" w:hAnsi="Arial" w:cs="Arial"/>
          <w:color w:val="000000"/>
          <w:lang w:eastAsia="en-GB"/>
        </w:rPr>
        <w:t>increases in tree mortality</w:t>
      </w:r>
      <w:r w:rsidRPr="004E3A00">
        <w:rPr>
          <w:rFonts w:ascii="Arial" w:eastAsia="Times New Roman" w:hAnsi="Arial" w:cs="Arial"/>
          <w:color w:val="000000"/>
          <w:lang w:eastAsia="en-GB"/>
        </w:rPr>
        <w:t xml:space="preserve"> may result in shifts to </w:t>
      </w:r>
      <w:r w:rsidR="00780DF1" w:rsidRPr="004E3A00">
        <w:rPr>
          <w:rFonts w:ascii="Arial" w:eastAsia="Times New Roman" w:hAnsi="Arial" w:cs="Arial"/>
          <w:color w:val="000000"/>
          <w:lang w:eastAsia="en-GB"/>
        </w:rPr>
        <w:t>treeless</w:t>
      </w:r>
      <w:r w:rsidRPr="004E3A00">
        <w:rPr>
          <w:rFonts w:ascii="Arial" w:eastAsia="Times New Roman" w:hAnsi="Arial" w:cs="Arial"/>
          <w:color w:val="000000"/>
          <w:lang w:eastAsia="en-GB"/>
        </w:rPr>
        <w:t xml:space="preserve"> states </w:t>
      </w:r>
      <w:r w:rsidRPr="004E3A00">
        <w:rPr>
          <w:rFonts w:ascii="Arial" w:eastAsia="Times New Roman" w:hAnsi="Arial" w:cs="Arial"/>
          <w:color w:val="000000"/>
          <w:lang w:eastAsia="en-GB"/>
        </w:rPr>
        <w:fldChar w:fldCharType="begin" w:fldLock="1"/>
      </w:r>
      <w:r w:rsidR="00EC6C08" w:rsidRPr="004E3A00">
        <w:rPr>
          <w:rFonts w:ascii="Arial" w:eastAsia="Times New Roman" w:hAnsi="Arial" w:cs="Arial"/>
          <w:color w:val="000000"/>
          <w:lang w:eastAsia="en-GB"/>
        </w:rPr>
        <w:instrText>ADDIN CSL_CITATION { "citationItems" : [ { "id" : "ITEM-1", "itemData" : { "DOI" : "10.1111/1365-2745.12337", "ISSN" : "00220477", "author" : [ { "dropping-particle" : "", "family" : "Reyer", "given" : "Christopher P. O.", "non-dropping-particle" : "", "parse-names" : false, "suffix" : "" }, { "dropping-particle" : "", "family" : "Brouwers", "given" : "Niels", "non-dropping-particle" : "", "parse-names" : false, "suffix" : "" }, { "dropping-particle" : "", "family" : "Rammig", "given" : "Anja", "non-dropping-particle" : "", "parse-names" : false, "suffix" : "" }, { "dropping-particle" : "", "family" : "Brook", "given" : "Barry W.", "non-dropping-particle" : "", "parse-names" : false, "suffix" : "" }, { "dropping-particle" : "", "family" : "Epila", "given" : "Jackie", "non-dropping-particle" : "", "parse-names" : false, "suffix" : "" }, { "dropping-particle" : "", "family" : "Grant", "given" : "Robert F.", "non-dropping-particle" : "", "parse-names" : false, "suffix" : "" }, { "dropping-particle" : "", "family" : "Holmgren", "given" : "Milena", "non-dropping-particle" : "", "parse-names" : false, "suffix" : "" }, { "dropping-particle" : "", "family" : "Langerwisch", "given" : "Fanny", "non-dropping-particle" : "", "parse-names" : false, "suffix" : "" }, { "dropping-particle" : "", "family" : "Leuzinger", "given" : "Sebastian", "non-dropping-particle" : "", "parse-names" : false, "suffix" : "" }, { "dropping-particle" : "", "family" : "Lucht", "given" : "Wolfgang", "non-dropping-particle" : "", "parse-names" : false, "suffix" : "" }, { "dropping-particle" : "", "family" : "Medlyn", "given" : "Belinda", "non-dropping-particle" : "", "parse-names" : false, "suffix" : "" }, { "dropping-particle" : "", "family" : "Pfeifer", "given" : "Marion", "non-dropping-particle" : "", "parse-names" : false, "suffix" : "" }, { "dropping-particle" : "", "family" : "Steinkamp", "given" : "J\u00f6rg", "non-dropping-particle" : "", "parse-names" : false, "suffix" : "" }, { "dropping-particle" : "", "family" : "Vanderwel", "given" : "Mark C.", "non-dropping-particle" : "", "parse-names" : false, "suffix" : "" }, { "dropping-particle" : "", "family" : "Verbeeck", "given" : "Hans", "non-dropping-particle" : "", "parse-names" : false, "suffix" : "" }, { "dropping-particle" : "", "family" : "Villela", "given" : "Dora M.", "non-dropping-particle" : "", "parse-names" : false, "suffix" : "" } ], "container-title" : "Journal of Ecology", "editor" : [ { "dropping-particle" : "", "family" : "Coomes", "given" : "David", "non-dropping-particle" : "", "parse-names" : false, "suffix" : "" } ], "id" : "ITEM-1", "issue" : "1", "issued" : { "date-parts" : [ [ "2015", "1", "7" ] ] }, "page" : "5-15", "title" : "Forest resilience and tipping points at different spatio-temporal scales: approaches and challenges", "type" : "article-journal", "volume" : "103" }, "uris" : [ "http://www.mendeley.com/documents/?uuid=838c8ef7-b421-4b35-83a6-2bf42bfe2ed9" ] } ], "mendeley" : { "formattedCitation" : "(Reyer &lt;i&gt;et al.&lt;/i&gt; 2015)", "plainTextFormattedCitation" : "(Reyer et al. 2015)", "previouslyFormattedCitation" : "(Reyer &lt;i&gt;et al.&lt;/i&gt; 2015)" }, "properties" : { "noteIndex" : 0 }, "schema" : "https://github.com/citation-style-language/schema/raw/master/csl-citation.json" }</w:instrText>
      </w:r>
      <w:r w:rsidRPr="004E3A00">
        <w:rPr>
          <w:rFonts w:ascii="Arial" w:eastAsia="Times New Roman" w:hAnsi="Arial" w:cs="Arial"/>
          <w:color w:val="000000"/>
          <w:lang w:eastAsia="en-GB"/>
        </w:rPr>
        <w:fldChar w:fldCharType="separate"/>
      </w:r>
      <w:r w:rsidR="00732C7B" w:rsidRPr="004E3A00">
        <w:rPr>
          <w:rFonts w:ascii="Arial" w:eastAsia="Times New Roman" w:hAnsi="Arial" w:cs="Arial"/>
          <w:noProof/>
          <w:color w:val="000000"/>
          <w:lang w:eastAsia="en-GB"/>
        </w:rPr>
        <w:t xml:space="preserve">(Reyer </w:t>
      </w:r>
      <w:r w:rsidR="00732C7B" w:rsidRPr="004E3A00">
        <w:rPr>
          <w:rFonts w:ascii="Arial" w:eastAsia="Times New Roman" w:hAnsi="Arial" w:cs="Arial"/>
          <w:i/>
          <w:noProof/>
          <w:color w:val="000000"/>
          <w:lang w:eastAsia="en-GB"/>
        </w:rPr>
        <w:t>et al.</w:t>
      </w:r>
      <w:r w:rsidR="00732C7B" w:rsidRPr="004E3A00">
        <w:rPr>
          <w:rFonts w:ascii="Arial" w:eastAsia="Times New Roman" w:hAnsi="Arial" w:cs="Arial"/>
          <w:noProof/>
          <w:color w:val="000000"/>
          <w:lang w:eastAsia="en-GB"/>
        </w:rPr>
        <w:t xml:space="preserve"> 2015)</w:t>
      </w:r>
      <w:r w:rsidRPr="004E3A00">
        <w:rPr>
          <w:rFonts w:ascii="Arial" w:eastAsia="Times New Roman" w:hAnsi="Arial" w:cs="Arial"/>
          <w:color w:val="000000"/>
          <w:lang w:eastAsia="en-GB"/>
        </w:rPr>
        <w:fldChar w:fldCharType="end"/>
      </w:r>
      <w:r w:rsidRPr="004E3A00">
        <w:rPr>
          <w:rFonts w:ascii="Arial" w:eastAsia="Times New Roman" w:hAnsi="Arial" w:cs="Arial"/>
          <w:color w:val="000000"/>
          <w:lang w:eastAsia="en-GB"/>
        </w:rPr>
        <w:t xml:space="preserve">. </w:t>
      </w:r>
      <w:r w:rsidR="00310344" w:rsidRPr="004E3A00">
        <w:rPr>
          <w:rFonts w:ascii="Arial" w:eastAsia="Times New Roman" w:hAnsi="Arial" w:cs="Arial"/>
          <w:color w:val="000000"/>
          <w:lang w:eastAsia="en-GB"/>
        </w:rPr>
        <w:t xml:space="preserve">Over the past decade research has suggested such shifts </w:t>
      </w:r>
      <w:r w:rsidR="00CB7AA1" w:rsidRPr="004E3A00">
        <w:rPr>
          <w:rFonts w:ascii="Arial" w:eastAsia="Times New Roman" w:hAnsi="Arial" w:cs="Arial"/>
          <w:color w:val="000000"/>
          <w:lang w:eastAsia="en-GB"/>
        </w:rPr>
        <w:t>may occur</w:t>
      </w:r>
      <w:r w:rsidR="00310344" w:rsidRPr="004E3A00">
        <w:rPr>
          <w:rFonts w:ascii="Arial" w:eastAsia="Times New Roman" w:hAnsi="Arial" w:cs="Arial"/>
          <w:color w:val="000000"/>
          <w:lang w:eastAsia="en-GB"/>
        </w:rPr>
        <w:t xml:space="preserve"> in both tropical </w:t>
      </w:r>
      <w:r w:rsidR="00310344" w:rsidRPr="004E3A00">
        <w:rPr>
          <w:rFonts w:ascii="Arial" w:eastAsia="Times New Roman" w:hAnsi="Arial" w:cs="Arial"/>
          <w:color w:val="000000"/>
          <w:lang w:eastAsia="en-GB"/>
        </w:rPr>
        <w:fldChar w:fldCharType="begin" w:fldLock="1"/>
      </w:r>
      <w:r w:rsidR="00EC6C08" w:rsidRPr="004E3A00">
        <w:rPr>
          <w:rFonts w:ascii="Arial" w:eastAsia="Times New Roman" w:hAnsi="Arial" w:cs="Arial"/>
          <w:color w:val="000000"/>
          <w:lang w:eastAsia="en-GB"/>
        </w:rPr>
        <w:instrText>ADDIN CSL_CITATION { "citationItems" : [ { "id" : "ITEM-1", "itemData" : { "DOI" : "10.1098/rstb.2007.0013", "abstract" : "The only fully coupled land\u2013atmosphere global climate model predicts a widespread dieback of Amazonian forest cover through reduced precipitation. Although these predictions are controversial, the structural and compositional resilience of Amazonian forests may also have been overestimated, as current vegetation models fail to consider the potential role of fire in the degradation of forest ecosystems. We examine forest structure and composition in the Arapiuns River basin in the central Brazilian Amazon, evaluating post-fire forest recovery and the consequences of recurrent fires for the patterns of dominance of tree species. We surveyed tree plots in unburned and once-burned forests examined 1, 3 and 9 years after an unprecedented fire event, in twice-burned forests examined 3 and 9 years after fire and in thrice-burned forests examined 5 years after the most recent fire event. The number of trees recorded in unburned primary forest control plots was stable over time. However, in both once- and twice-burned forest plots, there was a marked recruitment into the 10\u201320\u200acm diameter at breast height tree size classes between 3 and 9 years post-fire. Considering tree assemblage composition 9 years after the first fire contact, we observed (i) a clear pattern of community turnover among small trees and the most abundant shrubs and saplings, and (ii) that species that were common in any of the four burn treatments (unburned, once-, twice- and thrice-burned) were often rare or entirely absent in other burn treatments. We conclude that episodic wildfires can lead to drastic changes in forest structure and composition, with cascading shifts in forest composition following each additional fire event. Finally, we use these results to evaluate the validity of the savannization paradigm.", "author" : [ { "dropping-particle" : "", "family" : "Barlow", "given" : "Jos", "non-dropping-particle" : "", "parse-names" : false, "suffix" : "" }, { "dropping-particle" : "", "family" : "Peres", "given" : "Carlos A", "non-dropping-particle" : "", "parse-names" : false, "suffix" : "" } ], "container-title" : "Philosophical Transactions of the Royal Society B: Biological Sciences", "id" : "ITEM-1", "issue" : "1498", "issued" : { "date-parts" : [ [ "2008" ] ] }, "page" : "1787-1794", "title" : "Fire-mediated dieback and compositional cascade in an Amazonian forest", "type" : "article-journal", "volume" : "363" }, "uris" : [ "http://www.mendeley.com/documents/?uuid=1aa4f099-c13b-4a2f-91e1-9288d28b143d" ] }, { "id" : "ITEM-2", "itemData" : { "DOI" : "10.1126/science.1210657", "ISBN" : "0036-8075", "ISSN" : "1095-9203", "PMID" : "21998390", "abstract" : "It has been suggested that tropical forest and savanna could represent alternative stable states, implying critical transitions at tipping points in response to altered climate or other drivers. So far, evidence for this idea has remained elusive, and integrated climate models assume smooth vegetation responses. We analyzed data on the distribution of tree cover in Africa, Australia, and South America to reveal strong evidence for the existence of three distinct attractors: forest, savanna, and a treeless state. Empirical reconstruction of the basins of attraction indicates that the resilience of the states varies in a universal way with precipitation. These results allow the identification of regions where forest or savanna may most easily tip into an alternative state, and they pave the way to a new generation of coupled climate models.", "author" : [ { "dropping-particle" : "", "family" : "Hirota", "given" : "Marina", "non-dropping-particle" : "", "parse-names" : false, "suffix" : "" }, { "dropping-particle" : "", "family" : "Holmgren", "given" : "Milena", "non-dropping-particle" : "", "parse-names" : false, "suffix" : "" }, { "dropping-particle" : "", "family" : "Nes", "given" : "Egbert H", "non-dropping-particle" : "Van", "parse-names" : false, "suffix" : "" }, { "dropping-particle" : "", "family" : "Scheffer", "given" : "Marten", "non-dropping-particle" : "", "parse-names" : false, "suffix" : "" } ], "container-title" : "Science", "id" : "ITEM-2", "issue" : "6053", "issued" : { "date-parts" : [ [ "2011", "10" ] ] }, "page" : "232-235", "title" : "Global resilience of tropical forest and savanna to critical transitions.", "type" : "article-journal", "volume" : "334" }, "uris" : [ "http://www.mendeley.com/documents/?uuid=f7d6c510-3107-4308-8119-0495e8b5b80c" ] } ], "mendeley" : { "formattedCitation" : "(Barlow &amp; Peres 2008; Hirota &lt;i&gt;et al.&lt;/i&gt; 2011)", "plainTextFormattedCitation" : "(Barlow &amp; Peres 2008; Hirota et al. 2011)", "previouslyFormattedCitation" : "(Barlow &amp; Peres 2008; Hirota &lt;i&gt;et al.&lt;/i&gt; 2011)" }, "properties" : { "noteIndex" : 0 }, "schema" : "https://github.com/citation-style-language/schema/raw/master/csl-citation.json" }</w:instrText>
      </w:r>
      <w:r w:rsidR="00310344" w:rsidRPr="004E3A00">
        <w:rPr>
          <w:rFonts w:ascii="Arial" w:eastAsia="Times New Roman" w:hAnsi="Arial" w:cs="Arial"/>
          <w:color w:val="000000"/>
          <w:lang w:eastAsia="en-GB"/>
        </w:rPr>
        <w:fldChar w:fldCharType="separate"/>
      </w:r>
      <w:r w:rsidR="00732C7B" w:rsidRPr="004E3A00">
        <w:rPr>
          <w:rFonts w:ascii="Arial" w:eastAsia="Times New Roman" w:hAnsi="Arial" w:cs="Arial"/>
          <w:noProof/>
          <w:color w:val="000000"/>
          <w:lang w:eastAsia="en-GB"/>
        </w:rPr>
        <w:t xml:space="preserve">(Barlow &amp; Peres 2008; Hirota </w:t>
      </w:r>
      <w:r w:rsidR="00732C7B" w:rsidRPr="004E3A00">
        <w:rPr>
          <w:rFonts w:ascii="Arial" w:eastAsia="Times New Roman" w:hAnsi="Arial" w:cs="Arial"/>
          <w:i/>
          <w:noProof/>
          <w:color w:val="000000"/>
          <w:lang w:eastAsia="en-GB"/>
        </w:rPr>
        <w:t>et al.</w:t>
      </w:r>
      <w:r w:rsidR="00732C7B" w:rsidRPr="004E3A00">
        <w:rPr>
          <w:rFonts w:ascii="Arial" w:eastAsia="Times New Roman" w:hAnsi="Arial" w:cs="Arial"/>
          <w:noProof/>
          <w:color w:val="000000"/>
          <w:lang w:eastAsia="en-GB"/>
        </w:rPr>
        <w:t xml:space="preserve"> 2011)</w:t>
      </w:r>
      <w:r w:rsidR="00310344" w:rsidRPr="004E3A00">
        <w:rPr>
          <w:rFonts w:ascii="Arial" w:eastAsia="Times New Roman" w:hAnsi="Arial" w:cs="Arial"/>
          <w:color w:val="000000"/>
          <w:lang w:eastAsia="en-GB"/>
        </w:rPr>
        <w:fldChar w:fldCharType="end"/>
      </w:r>
      <w:r w:rsidR="00310344" w:rsidRPr="004E3A00">
        <w:rPr>
          <w:rFonts w:ascii="Arial" w:eastAsia="Times New Roman" w:hAnsi="Arial" w:cs="Arial"/>
          <w:color w:val="000000"/>
          <w:lang w:eastAsia="en-GB"/>
        </w:rPr>
        <w:t xml:space="preserve"> and boreal regions </w:t>
      </w:r>
      <w:r w:rsidR="00310344" w:rsidRPr="004E3A00">
        <w:rPr>
          <w:rFonts w:ascii="Arial" w:eastAsia="Times New Roman" w:hAnsi="Arial" w:cs="Arial"/>
          <w:color w:val="000000"/>
          <w:lang w:eastAsia="en-GB"/>
        </w:rPr>
        <w:fldChar w:fldCharType="begin" w:fldLock="1"/>
      </w:r>
      <w:r w:rsidR="00EC6C08" w:rsidRPr="004E3A00">
        <w:rPr>
          <w:rFonts w:ascii="Arial" w:eastAsia="Times New Roman" w:hAnsi="Arial" w:cs="Arial"/>
          <w:color w:val="000000"/>
          <w:lang w:eastAsia="en-GB"/>
        </w:rPr>
        <w:instrText>ADDIN CSL_CITATION { "citationItems" : [ { "id" : "ITEM-1", "itemData" : { "DOI" : "10.1073/pnas.1219844110", "ISSN" : "1091-6490", "PMID" : "23236159", "abstract" : "Although the boreal region is warming twice as fast as the global average, the way in which the vast boreal forests and tundras may respond is poorly understood. Using satellite data, we reveal marked alternative modes in the frequency distributions of boreal tree cover. At the northern end and at the dry continental southern extremes, treeless tundra and steppe, respectively, are the only possible states. However, over a broad intermediate temperature range, these treeless states coexist with boreal forest (\u223c75% tree cover) and with two more open woodland states (\u223c20% and \u223c45% tree cover). Intermediate tree covers (e.g., \u223c10%, \u223c30%, and \u223c60% tree cover) between these distinct states are relatively rare, suggesting that they may represent unstable states where the system dwells only transiently. Mechanisms for such instabilities remain to be unraveled, but our results have important implications for the anticipated response of these ecosystems to climatic change. The data reveal that boreal forest shows no gradual decline in tree cover toward its limits. Instead, our analysis suggests that it becomes less resilient in the sense that it may more easily shift into a sparse woodland or treeless state. Similarly, the relative scarcity of the intermediate \u223c10% tree cover suggests that tundra may shift relatively abruptly to a more abundant tree cover. If our inferences are correct, climate change may invoke massive nonlinear shifts in boreal biomes.", "author" : [ { "dropping-particle" : "", "family" : "Scheffer", "given" : "Marten", "non-dropping-particle" : "", "parse-names" : false, "suffix" : "" }, { "dropping-particle" : "", "family" : "Hirota", "given" : "Marina", "non-dropping-particle" : "", "parse-names" : false, "suffix" : "" }, { "dropping-particle" : "", "family" : "Holmgren", "given" : "Milena", "non-dropping-particle" : "", "parse-names" : false, "suffix" : "" }, { "dropping-particle" : "", "family" : "Nes", "given" : "Egbert H", "non-dropping-particle" : "Van", "parse-names" : false, "suffix" : "" }, { "dropping-particle" : "", "family" : "Chapin", "given" : "F Stuart", "non-dropping-particle" : "", "parse-names" : false, "suffix" : "" } ], "container-title" : "Proceedings of the National Academy of Sciences of the United States of America", "id" : "ITEM-1", "issue" : "52", "issued" : { "date-parts" : [ [ "2012", "12", "26" ] ] }, "page" : "21384-9", "title" : "Thresholds for boreal biome transitions.", "type" : "article-journal", "volume" : "109" }, "uris" : [ "http://www.mendeley.com/documents/?uuid=e8bd7493-960e-430d-9bb7-2a828d9f2b6b" ] } ], "mendeley" : { "formattedCitation" : "(Scheffer &lt;i&gt;et al.&lt;/i&gt; 2012)", "plainTextFormattedCitation" : "(Scheffer et al. 2012)", "previouslyFormattedCitation" : "(Scheffer &lt;i&gt;et al.&lt;/i&gt; 2012)" }, "properties" : { "noteIndex" : 0 }, "schema" : "https://github.com/citation-style-language/schema/raw/master/csl-citation.json" }</w:instrText>
      </w:r>
      <w:r w:rsidR="00310344" w:rsidRPr="004E3A00">
        <w:rPr>
          <w:rFonts w:ascii="Arial" w:eastAsia="Times New Roman" w:hAnsi="Arial" w:cs="Arial"/>
          <w:color w:val="000000"/>
          <w:lang w:eastAsia="en-GB"/>
        </w:rPr>
        <w:fldChar w:fldCharType="separate"/>
      </w:r>
      <w:r w:rsidR="00732C7B" w:rsidRPr="004E3A00">
        <w:rPr>
          <w:rFonts w:ascii="Arial" w:eastAsia="Times New Roman" w:hAnsi="Arial" w:cs="Arial"/>
          <w:noProof/>
          <w:color w:val="000000"/>
          <w:lang w:eastAsia="en-GB"/>
        </w:rPr>
        <w:t xml:space="preserve">(Scheffer </w:t>
      </w:r>
      <w:r w:rsidR="00732C7B" w:rsidRPr="004E3A00">
        <w:rPr>
          <w:rFonts w:ascii="Arial" w:eastAsia="Times New Roman" w:hAnsi="Arial" w:cs="Arial"/>
          <w:i/>
          <w:noProof/>
          <w:color w:val="000000"/>
          <w:lang w:eastAsia="en-GB"/>
        </w:rPr>
        <w:t>et al.</w:t>
      </w:r>
      <w:r w:rsidR="00732C7B" w:rsidRPr="004E3A00">
        <w:rPr>
          <w:rFonts w:ascii="Arial" w:eastAsia="Times New Roman" w:hAnsi="Arial" w:cs="Arial"/>
          <w:noProof/>
          <w:color w:val="000000"/>
          <w:lang w:eastAsia="en-GB"/>
        </w:rPr>
        <w:t xml:space="preserve"> 2012)</w:t>
      </w:r>
      <w:r w:rsidR="00310344" w:rsidRPr="004E3A00">
        <w:rPr>
          <w:rFonts w:ascii="Arial" w:eastAsia="Times New Roman" w:hAnsi="Arial" w:cs="Arial"/>
          <w:color w:val="000000"/>
          <w:lang w:eastAsia="en-GB"/>
        </w:rPr>
        <w:fldChar w:fldCharType="end"/>
      </w:r>
      <w:r w:rsidR="004E7D34" w:rsidRPr="004E3A00">
        <w:rPr>
          <w:rFonts w:ascii="Arial" w:eastAsia="Times New Roman" w:hAnsi="Arial" w:cs="Arial"/>
          <w:color w:val="000000"/>
          <w:lang w:eastAsia="en-GB"/>
        </w:rPr>
        <w:t xml:space="preserve"> as a result of </w:t>
      </w:r>
      <w:r w:rsidR="00D232FE">
        <w:rPr>
          <w:rFonts w:ascii="Arial" w:eastAsia="Times New Roman" w:hAnsi="Arial" w:cs="Arial"/>
          <w:color w:val="000000"/>
          <w:lang w:eastAsia="en-GB"/>
        </w:rPr>
        <w:t>climate change</w:t>
      </w:r>
      <w:r w:rsidR="004E7D34" w:rsidRPr="004E3A00">
        <w:rPr>
          <w:rFonts w:ascii="Arial" w:eastAsia="Times New Roman" w:hAnsi="Arial" w:cs="Arial"/>
          <w:color w:val="000000"/>
          <w:lang w:eastAsia="en-GB"/>
        </w:rPr>
        <w:t xml:space="preserve"> and </w:t>
      </w:r>
      <w:r w:rsidR="00D232FE">
        <w:rPr>
          <w:rFonts w:ascii="Arial" w:eastAsia="Times New Roman" w:hAnsi="Arial" w:cs="Arial"/>
          <w:color w:val="000000"/>
          <w:lang w:eastAsia="en-GB"/>
        </w:rPr>
        <w:t xml:space="preserve">anthropogenic </w:t>
      </w:r>
      <w:r w:rsidR="004E7D34" w:rsidRPr="004E3A00">
        <w:rPr>
          <w:rFonts w:ascii="Arial" w:eastAsia="Times New Roman" w:hAnsi="Arial" w:cs="Arial"/>
          <w:color w:val="000000"/>
          <w:lang w:eastAsia="en-GB"/>
        </w:rPr>
        <w:t>disturbance</w:t>
      </w:r>
      <w:r w:rsidR="00D232FE">
        <w:rPr>
          <w:rFonts w:ascii="Arial" w:eastAsia="Times New Roman" w:hAnsi="Arial" w:cs="Arial"/>
          <w:color w:val="000000"/>
          <w:lang w:eastAsia="en-GB"/>
        </w:rPr>
        <w:t>s</w:t>
      </w:r>
      <w:r w:rsidR="00310344" w:rsidRPr="004E3A00">
        <w:rPr>
          <w:rFonts w:ascii="Arial" w:eastAsia="Times New Roman" w:hAnsi="Arial" w:cs="Arial"/>
          <w:color w:val="000000"/>
          <w:lang w:eastAsia="en-GB"/>
        </w:rPr>
        <w:t xml:space="preserve">. </w:t>
      </w:r>
      <w:r w:rsidR="0011596D" w:rsidRPr="004E3A00">
        <w:rPr>
          <w:rFonts w:ascii="Arial" w:eastAsia="Times New Roman" w:hAnsi="Arial" w:cs="Arial"/>
          <w:color w:val="000000"/>
          <w:lang w:eastAsia="en-GB"/>
        </w:rPr>
        <w:t>Forests may be particularly vulnerable to rapid changes because trees are long lived, immobile organism</w:t>
      </w:r>
      <w:r w:rsidR="00E64C63">
        <w:rPr>
          <w:rFonts w:ascii="Arial" w:eastAsia="Times New Roman" w:hAnsi="Arial" w:cs="Arial"/>
          <w:color w:val="000000"/>
          <w:lang w:eastAsia="en-GB"/>
        </w:rPr>
        <w:t>s,</w:t>
      </w:r>
      <w:r w:rsidR="0011596D" w:rsidRPr="004E3A00">
        <w:rPr>
          <w:rFonts w:ascii="Arial" w:eastAsia="Times New Roman" w:hAnsi="Arial" w:cs="Arial"/>
          <w:color w:val="000000"/>
          <w:lang w:eastAsia="en-GB"/>
        </w:rPr>
        <w:t xml:space="preserve"> that consequently find it difficult to adapt to new environmental conditions </w:t>
      </w:r>
      <w:r w:rsidR="0011596D" w:rsidRPr="004E3A00">
        <w:rPr>
          <w:rFonts w:ascii="Arial" w:eastAsia="Times New Roman" w:hAnsi="Arial" w:cs="Arial"/>
          <w:color w:val="000000"/>
          <w:lang w:eastAsia="en-GB"/>
        </w:rPr>
        <w:fldChar w:fldCharType="begin" w:fldLock="1"/>
      </w:r>
      <w:r w:rsidR="00EC6C08" w:rsidRPr="004E3A00">
        <w:rPr>
          <w:rFonts w:ascii="Arial" w:eastAsia="Times New Roman" w:hAnsi="Arial" w:cs="Arial"/>
          <w:color w:val="000000"/>
          <w:lang w:eastAsia="en-GB"/>
        </w:rPr>
        <w:instrText>ADDIN CSL_CITATION { "citationItems" : [ { "id" : "ITEM-1", "itemData" : { "DOI" : "10.1126/science.1210288", "ISBN" : "1095-9203 (Electronic)\\r0036-8075 (Linking)", "ISSN" : "0036-8075", "PMID" : "22053045", "abstract" : "Climate change challenges organisms to adapt or move to track changes in environments in space and time. We used two measures of thermal shifts from analyses of global temperatures over the past 50 years to describe the pace of climate change that species should track: the velocity of climate change (geographic shifts of isotherms over time) and the shift in seasonal timing of temperatures. Both measures are higher in the ocean than on land at some latitudes, despite slower ocean warming. These indices give a complex mosaic of predicted range shifts and phenology changes that deviate from simple poleward migration and earlier springs or later falls. They also emphasize potential conservation concerns, because areas of high marine biodiversity often have greater velocities of climate change and seasonal shifts.", "author" : [ { "dropping-particle" : "", "family" : "Burrows", "given" : "M. T.", "non-dropping-particle" : "", "parse-names" : false, "suffix" : "" }, { "dropping-particle" : "", "family" : "Schoeman", "given" : "D. S.", "non-dropping-particle" : "", "parse-names" : false, "suffix" : "" }, { "dropping-particle" : "", "family" : "Buckley", "given" : "L. B.", "non-dropping-particle" : "", "parse-names" : false, "suffix" : "" }, { "dropping-particle" : "", "family" : "Moore", "given" : "P.", "non-dropping-particle" : "", "parse-names" : false, "suffix" : "" }, { "dropping-particle" : "", "family" : "Poloczanska", "given" : "E. S.", "non-dropping-particle" : "", "parse-names" : false, "suffix" : "" }, { "dropping-particle" : "", "family" : "Brander", "given" : "K. M.", "non-dropping-particle" : "", "parse-names" : false, "suffix" : "" }, { "dropping-particle" : "", "family" : "Brown", "given" : "C.", "non-dropping-particle" : "", "parse-names" : false, "suffix" : "" }, { "dropping-particle" : "", "family" : "Bruno", "given" : "J. F.", "non-dropping-particle" : "", "parse-names" : false, "suffix" : "" }, { "dropping-particle" : "", "family" : "Duarte", "given" : "C. M.", "non-dropping-particle" : "", "parse-names" : false, "suffix" : "" }, { "dropping-particle" : "", "family" : "Halpern", "given" : "B. S.", "non-dropping-particle" : "", "parse-names" : false, "suffix" : "" }, { "dropping-particle" : "", "family" : "Holding", "given" : "J.", "non-dropping-particle" : "", "parse-names" : false, "suffix" : "" }, { "dropping-particle" : "V.", "family" : "Kappel", "given" : "C.", "non-dropping-particle" : "", "parse-names" : false, "suffix" : "" }, { "dropping-particle" : "", "family" : "Kiessling", "given" : "W.", "non-dropping-particle" : "", "parse-names" : false, "suffix" : "" }, { "dropping-particle" : "", "family" : "O'Connor", "given" : "M. I.", "non-dropping-particle" : "", "parse-names" : false, "suffix" : "" }, { "dropping-particle" : "", "family" : "Pandolfi", "given" : "J. M.", "non-dropping-particle" : "", "parse-names" : false, "suffix" : "" }, { "dropping-particle" : "", "family" : "Parmesan", "given" : "C.", "non-dropping-particle" : "", "parse-names" : false, "suffix" : "" }, { "dropping-particle" : "", "family" : "Schwing", "given" : "F. B.", "non-dropping-particle" : "", "parse-names" : false, "suffix" : "" }, { "dropping-particle" : "", "family" : "Sydeman", "given" : "W. J.", "non-dropping-particle" : "", "parse-names" : false, "suffix" : "" }, { "dropping-particle" : "", "family" : "Richardson", "given" : "a. J.", "non-dropping-particle" : "", "parse-names" : false, "suffix" : "" } ], "container-title" : "Science", "id" : "ITEM-1", "issue" : "6056", "issued" : { "date-parts" : [ [ "2011" ] ] }, "page" : "652-655", "title" : "The Pace of Shifting Climate in Marine and Terrestrial Ecosystems", "type" : "article-journal", "volume" : "334" }, "uris" : [ "http://www.mendeley.com/documents/?uuid=0c4c1e1e-e1c7-4dc8-9e11-0d9fbcaafb29" ] }, { "id" : "ITEM-2", "itemData" : { "DOI" : "10.1111/1365-2664.12511", "ISSN" : "00218901", "author" : [ { "dropping-particle" : "", "family" : "Seidl", "given" : "Rupert", "non-dropping-particle" : "", "parse-names" : false, "suffix" : "" }, { "dropping-particle" : "", "family" : "Spies", "given" : "Thomas a.", "non-dropping-particle" : "", "parse-names" : false, "suffix" : "" }, { "dropping-particle" : "", "family" : "Peterson", "given" : "David L.", "non-dropping-particle" : "", "parse-names" : false, "suffix" : "" }, { "dropping-particle" : "", "family" : "Stephens", "given" : "Scott L.", "non-dropping-particle" : "", "parse-names" : false, "suffix" : "" }, { "dropping-particle" : "", "family" : "Hicke", "given" : "Jeffrey a.", "non-dropping-particle" : "", "parse-names" : false, "suffix" : "" } ], "container-title" : "Journal of Applied Ecology", "id" : "ITEM-2", "issued" : { "date-parts" : [ [ "2015" ] ] }, "page" : "n/a-n/a", "title" : "Searching for resilience: addressing the impacts of changing disturbance regimes on forest ecosystem services", "type" : "article-journal" }, "uris" : [ "http://www.mendeley.com/documents/?uuid=3c13684d-8850-41a2-95e7-a1a3b57d3efe" ] } ], "mendeley" : { "formattedCitation" : "(Burrows &lt;i&gt;et al.&lt;/i&gt; 2011; Seidl &lt;i&gt;et al.&lt;/i&gt; 2015)", "plainTextFormattedCitation" : "(Burrows et al. 2011; Seidl et al. 2015)", "previouslyFormattedCitation" : "(Burrows &lt;i&gt;et al.&lt;/i&gt; 2011; Seidl &lt;i&gt;et al.&lt;/i&gt; 2015)" }, "properties" : { "noteIndex" : 0 }, "schema" : "https://github.com/citation-style-language/schema/raw/master/csl-citation.json" }</w:instrText>
      </w:r>
      <w:r w:rsidR="0011596D" w:rsidRPr="004E3A00">
        <w:rPr>
          <w:rFonts w:ascii="Arial" w:eastAsia="Times New Roman" w:hAnsi="Arial" w:cs="Arial"/>
          <w:color w:val="000000"/>
          <w:lang w:eastAsia="en-GB"/>
        </w:rPr>
        <w:fldChar w:fldCharType="separate"/>
      </w:r>
      <w:r w:rsidR="00732C7B" w:rsidRPr="004E3A00">
        <w:rPr>
          <w:rFonts w:ascii="Arial" w:eastAsia="Times New Roman" w:hAnsi="Arial" w:cs="Arial"/>
          <w:noProof/>
          <w:color w:val="000000"/>
          <w:lang w:eastAsia="en-GB"/>
        </w:rPr>
        <w:t xml:space="preserve">(Burrows </w:t>
      </w:r>
      <w:r w:rsidR="00732C7B" w:rsidRPr="004E3A00">
        <w:rPr>
          <w:rFonts w:ascii="Arial" w:eastAsia="Times New Roman" w:hAnsi="Arial" w:cs="Arial"/>
          <w:i/>
          <w:noProof/>
          <w:color w:val="000000"/>
          <w:lang w:eastAsia="en-GB"/>
        </w:rPr>
        <w:t>et al.</w:t>
      </w:r>
      <w:r w:rsidR="00732C7B" w:rsidRPr="004E3A00">
        <w:rPr>
          <w:rFonts w:ascii="Arial" w:eastAsia="Times New Roman" w:hAnsi="Arial" w:cs="Arial"/>
          <w:noProof/>
          <w:color w:val="000000"/>
          <w:lang w:eastAsia="en-GB"/>
        </w:rPr>
        <w:t xml:space="preserve"> 2011; Seidl </w:t>
      </w:r>
      <w:r w:rsidR="00732C7B" w:rsidRPr="004E3A00">
        <w:rPr>
          <w:rFonts w:ascii="Arial" w:eastAsia="Times New Roman" w:hAnsi="Arial" w:cs="Arial"/>
          <w:i/>
          <w:noProof/>
          <w:color w:val="000000"/>
          <w:lang w:eastAsia="en-GB"/>
        </w:rPr>
        <w:t>et al.</w:t>
      </w:r>
      <w:r w:rsidR="00732C7B" w:rsidRPr="004E3A00">
        <w:rPr>
          <w:rFonts w:ascii="Arial" w:eastAsia="Times New Roman" w:hAnsi="Arial" w:cs="Arial"/>
          <w:noProof/>
          <w:color w:val="000000"/>
          <w:lang w:eastAsia="en-GB"/>
        </w:rPr>
        <w:t xml:space="preserve"> 2015)</w:t>
      </w:r>
      <w:r w:rsidR="0011596D" w:rsidRPr="004E3A00">
        <w:rPr>
          <w:rFonts w:ascii="Arial" w:eastAsia="Times New Roman" w:hAnsi="Arial" w:cs="Arial"/>
          <w:color w:val="000000"/>
          <w:lang w:eastAsia="en-GB"/>
        </w:rPr>
        <w:fldChar w:fldCharType="end"/>
      </w:r>
      <w:r w:rsidR="0011596D" w:rsidRPr="004E3A00">
        <w:rPr>
          <w:rFonts w:ascii="Arial" w:eastAsia="Times New Roman" w:hAnsi="Arial" w:cs="Arial"/>
          <w:color w:val="000000"/>
          <w:lang w:eastAsia="en-GB"/>
        </w:rPr>
        <w:t xml:space="preserve">. </w:t>
      </w:r>
      <w:r w:rsidR="004E7D34" w:rsidRPr="004E3A00">
        <w:rPr>
          <w:rFonts w:ascii="Arial" w:eastAsia="Times New Roman" w:hAnsi="Arial" w:cs="Arial"/>
          <w:color w:val="000000"/>
          <w:lang w:eastAsia="en-GB"/>
        </w:rPr>
        <w:t>Any s</w:t>
      </w:r>
      <w:r w:rsidR="0011596D" w:rsidRPr="004E3A00">
        <w:rPr>
          <w:rFonts w:ascii="Arial" w:eastAsia="Times New Roman" w:hAnsi="Arial" w:cs="Arial"/>
          <w:color w:val="000000"/>
          <w:lang w:eastAsia="en-GB"/>
        </w:rPr>
        <w:t>hift</w:t>
      </w:r>
      <w:r w:rsidR="00310344" w:rsidRPr="004E3A00">
        <w:rPr>
          <w:rFonts w:ascii="Arial" w:eastAsia="Times New Roman" w:hAnsi="Arial" w:cs="Arial"/>
          <w:color w:val="000000"/>
          <w:lang w:eastAsia="en-GB"/>
        </w:rPr>
        <w:t xml:space="preserve"> to </w:t>
      </w:r>
      <w:r w:rsidR="0011596D" w:rsidRPr="004E3A00">
        <w:rPr>
          <w:rFonts w:ascii="Arial" w:eastAsia="Times New Roman" w:hAnsi="Arial" w:cs="Arial"/>
          <w:color w:val="000000"/>
          <w:lang w:eastAsia="en-GB"/>
        </w:rPr>
        <w:t xml:space="preserve">relatively treeless, </w:t>
      </w:r>
      <w:r w:rsidR="00310344" w:rsidRPr="004E3A00">
        <w:rPr>
          <w:rFonts w:ascii="Arial" w:eastAsia="Times New Roman" w:hAnsi="Arial" w:cs="Arial"/>
          <w:color w:val="000000"/>
          <w:lang w:eastAsia="en-GB"/>
        </w:rPr>
        <w:t xml:space="preserve">non-forest states would </w:t>
      </w:r>
      <w:r w:rsidR="0011596D" w:rsidRPr="004E3A00">
        <w:rPr>
          <w:rFonts w:ascii="Arial" w:eastAsia="Times New Roman" w:hAnsi="Arial" w:cs="Arial"/>
          <w:color w:val="000000"/>
          <w:lang w:eastAsia="en-GB"/>
        </w:rPr>
        <w:t>cause</w:t>
      </w:r>
      <w:r w:rsidR="00780DF1" w:rsidRPr="004E3A00">
        <w:rPr>
          <w:rFonts w:ascii="Arial" w:eastAsia="Times New Roman" w:hAnsi="Arial" w:cs="Arial"/>
          <w:color w:val="000000"/>
          <w:lang w:eastAsia="en-GB"/>
        </w:rPr>
        <w:t xml:space="preserve"> </w:t>
      </w:r>
      <w:r w:rsidR="00310344" w:rsidRPr="004E3A00">
        <w:rPr>
          <w:rFonts w:ascii="Arial" w:eastAsia="Times New Roman" w:hAnsi="Arial" w:cs="Arial"/>
          <w:color w:val="000000"/>
          <w:lang w:eastAsia="en-GB"/>
        </w:rPr>
        <w:t xml:space="preserve">loss of forest biodiversity as well dramatic changes in the ecosystem services </w:t>
      </w:r>
      <w:r w:rsidR="00CB7AA1" w:rsidRPr="004E3A00">
        <w:rPr>
          <w:rFonts w:ascii="Arial" w:eastAsia="Times New Roman" w:hAnsi="Arial" w:cs="Arial"/>
          <w:color w:val="000000"/>
          <w:lang w:eastAsia="en-GB"/>
        </w:rPr>
        <w:t>provision</w:t>
      </w:r>
      <w:r w:rsidR="00310344" w:rsidRPr="004E3A00">
        <w:rPr>
          <w:rFonts w:ascii="Arial" w:eastAsia="Times New Roman" w:hAnsi="Arial" w:cs="Arial"/>
          <w:color w:val="000000"/>
          <w:lang w:eastAsia="en-GB"/>
        </w:rPr>
        <w:t xml:space="preserve"> </w:t>
      </w:r>
      <w:r w:rsidR="004E7D34" w:rsidRPr="004E3A00">
        <w:rPr>
          <w:rFonts w:ascii="Arial" w:eastAsia="Times New Roman" w:hAnsi="Arial" w:cs="Arial"/>
          <w:color w:val="000000"/>
          <w:lang w:eastAsia="en-GB"/>
        </w:rPr>
        <w:fldChar w:fldCharType="begin" w:fldLock="1"/>
      </w:r>
      <w:r w:rsidR="00EC6C08" w:rsidRPr="004E3A00">
        <w:rPr>
          <w:rFonts w:ascii="Arial" w:eastAsia="Times New Roman" w:hAnsi="Arial" w:cs="Arial"/>
          <w:color w:val="000000"/>
          <w:lang w:eastAsia="en-GB"/>
        </w:rPr>
        <w:instrText>ADDIN CSL_CITATION { "citationItems" : [ { "id" : "ITEM-1", "itemData" : { "author" : [ { "dropping-particle" : "", "family" : "Scholes", "given" : "R.", "non-dropping-particle" : "", "parse-names" : false, "suffix" : "" }, { "dropping-particle" : "", "family" : "Settele", "given" : "J.", "non-dropping-particle" : "", "parse-names" : false, "suffix" : "" }, { "dropping-particle" : "", "family" : "Betts", "given" : "R.", "non-dropping-particle" : "", "parse-names" : false, "suffix" : "" }, { "dropping-particle" : "", "family" : "Bunn", "given" : "S.", "non-dropping-particle" : "", "parse-names" : false, "suffix" : "" }, { "dropping-particle" : "", "family" : "Leadley", "given" : "P.", "non-dropping-particle" : "", "parse-names" : false, "suffix" : "" }, { "dropping-particle" : "", "family" : "Nepstad", "given" : "D.", "non-dropping-particle" : "", "parse-names" : false, "suffix" : "" }, { "dropping-particle" : "", "family" : "Overpeck", "given" : "J.", "non-dropping-particle" : "", "parse-names" : false, "suffix" : "" }, { "dropping-particle" : "", "family" : "Taboada", "given" : "M.G.", "non-dropping-particle" : "", "parse-names" : false, "suffix" : "" } ], "container-title" : "Climate Change 2014: Impacts, Adaptation, and Vulnerability", "editor" : [ { "dropping-particle" : "", "family" : "Field", "given" : "C", "non-dropping-particle" : "", "parse-names" : false, "suffix" : "" }, { "dropping-particle" : "", "family" : "Barros", "given" : "V", "non-dropping-particle" : "", "parse-names" : false, "suffix" : "" }, { "dropping-particle" : "", "family" : "Mach", "given" : "K", "non-dropping-particle" : "", "parse-names" : false, "suffix" : "" }, { "dropping-particle" : "", "family" : "Mastrandrea", "given" : "M", "non-dropping-particle" : "", "parse-names" : false, "suffix" : "" } ], "id" : "ITEM-1", "issued" : { "date-parts" : [ [ "2014" ] ] }, "page" : "271\u2013360", "publisher" : "Cambridge University Press", "publisher-place" : "Cambridge", "title" : "Terrestrial and inland water systems", "type" : "chapter" }, "uris" : [ "http://www.mendeley.com/documents/?uuid=d11b5bbe-fc7b-4f8d-8c19-6f02a6cdbfc8" ] } ], "mendeley" : { "formattedCitation" : "(Scholes &lt;i&gt;et al.&lt;/i&gt; 2014)", "plainTextFormattedCitation" : "(Scholes et al. 2014)", "previouslyFormattedCitation" : "(Scholes &lt;i&gt;et al.&lt;/i&gt; 2014)" }, "properties" : { "noteIndex" : 0 }, "schema" : "https://github.com/citation-style-language/schema/raw/master/csl-citation.json" }</w:instrText>
      </w:r>
      <w:r w:rsidR="004E7D34" w:rsidRPr="004E3A00">
        <w:rPr>
          <w:rFonts w:ascii="Arial" w:eastAsia="Times New Roman" w:hAnsi="Arial" w:cs="Arial"/>
          <w:color w:val="000000"/>
          <w:lang w:eastAsia="en-GB"/>
        </w:rPr>
        <w:fldChar w:fldCharType="separate"/>
      </w:r>
      <w:r w:rsidR="00732C7B" w:rsidRPr="004E3A00">
        <w:rPr>
          <w:rFonts w:ascii="Arial" w:eastAsia="Times New Roman" w:hAnsi="Arial" w:cs="Arial"/>
          <w:noProof/>
          <w:color w:val="000000"/>
          <w:lang w:eastAsia="en-GB"/>
        </w:rPr>
        <w:t xml:space="preserve">(Scholes </w:t>
      </w:r>
      <w:r w:rsidR="00732C7B" w:rsidRPr="004E3A00">
        <w:rPr>
          <w:rFonts w:ascii="Arial" w:eastAsia="Times New Roman" w:hAnsi="Arial" w:cs="Arial"/>
          <w:i/>
          <w:noProof/>
          <w:color w:val="000000"/>
          <w:lang w:eastAsia="en-GB"/>
        </w:rPr>
        <w:t>et al.</w:t>
      </w:r>
      <w:r w:rsidR="00732C7B" w:rsidRPr="004E3A00">
        <w:rPr>
          <w:rFonts w:ascii="Arial" w:eastAsia="Times New Roman" w:hAnsi="Arial" w:cs="Arial"/>
          <w:noProof/>
          <w:color w:val="000000"/>
          <w:lang w:eastAsia="en-GB"/>
        </w:rPr>
        <w:t xml:space="preserve"> 2014)</w:t>
      </w:r>
      <w:r w:rsidR="004E7D34" w:rsidRPr="004E3A00">
        <w:rPr>
          <w:rFonts w:ascii="Arial" w:eastAsia="Times New Roman" w:hAnsi="Arial" w:cs="Arial"/>
          <w:color w:val="000000"/>
          <w:lang w:eastAsia="en-GB"/>
        </w:rPr>
        <w:fldChar w:fldCharType="end"/>
      </w:r>
      <w:r w:rsidR="00310344" w:rsidRPr="004E3A00">
        <w:rPr>
          <w:rFonts w:ascii="Arial" w:eastAsia="Times New Roman" w:hAnsi="Arial" w:cs="Arial"/>
          <w:color w:val="000000"/>
          <w:lang w:eastAsia="en-GB"/>
        </w:rPr>
        <w:t xml:space="preserve">. </w:t>
      </w:r>
      <w:r w:rsidR="004E7D34" w:rsidRPr="004E3A00">
        <w:rPr>
          <w:rFonts w:ascii="Arial" w:eastAsia="Times New Roman" w:hAnsi="Arial" w:cs="Arial"/>
          <w:color w:val="000000"/>
          <w:lang w:eastAsia="en-GB"/>
        </w:rPr>
        <w:t>Due to these risks a recent IPCC assessment concluded that forest die</w:t>
      </w:r>
      <w:r w:rsidR="00CB7AA1" w:rsidRPr="004E3A00">
        <w:rPr>
          <w:rFonts w:ascii="Arial" w:eastAsia="Times New Roman" w:hAnsi="Arial" w:cs="Arial"/>
          <w:color w:val="000000"/>
          <w:lang w:eastAsia="en-GB"/>
        </w:rPr>
        <w:t xml:space="preserve">back has the potential to cause </w:t>
      </w:r>
      <w:r w:rsidR="004E7D34" w:rsidRPr="004E3A00">
        <w:rPr>
          <w:rFonts w:ascii="Arial" w:eastAsia="Times New Roman" w:hAnsi="Arial" w:cs="Arial"/>
          <w:color w:val="000000"/>
          <w:lang w:eastAsia="en-GB"/>
        </w:rPr>
        <w:t xml:space="preserve">major </w:t>
      </w:r>
      <w:r w:rsidR="00B6284F">
        <w:rPr>
          <w:rFonts w:ascii="Arial" w:eastAsia="Times New Roman" w:hAnsi="Arial" w:cs="Arial"/>
          <w:color w:val="000000"/>
          <w:lang w:eastAsia="en-GB"/>
        </w:rPr>
        <w:t xml:space="preserve">global </w:t>
      </w:r>
      <w:r w:rsidR="00CB7AA1" w:rsidRPr="004E3A00">
        <w:rPr>
          <w:rFonts w:ascii="Arial" w:eastAsia="Times New Roman" w:hAnsi="Arial" w:cs="Arial"/>
          <w:color w:val="000000"/>
          <w:lang w:eastAsia="en-GB"/>
        </w:rPr>
        <w:t xml:space="preserve">economic impacts </w:t>
      </w:r>
      <w:r w:rsidR="00CB7AA1" w:rsidRPr="004E3A00">
        <w:rPr>
          <w:rFonts w:ascii="Arial" w:eastAsia="Times New Roman" w:hAnsi="Arial" w:cs="Arial"/>
          <w:color w:val="000000"/>
          <w:lang w:eastAsia="en-GB"/>
        </w:rPr>
        <w:fldChar w:fldCharType="begin" w:fldLock="1"/>
      </w:r>
      <w:r w:rsidR="00EC6C08" w:rsidRPr="004E3A00">
        <w:rPr>
          <w:rFonts w:ascii="Arial" w:eastAsia="Times New Roman" w:hAnsi="Arial" w:cs="Arial"/>
          <w:color w:val="000000"/>
          <w:lang w:eastAsia="en-GB"/>
        </w:rPr>
        <w:instrText>ADDIN CSL_CITATION { "citationItems" : [ { "id" : "ITEM-1", "itemData" : { "author" : [ { "dropping-particle" : "", "family" : "Scholes", "given" : "R.", "non-dropping-particle" : "", "parse-names" : false, "suffix" : "" }, { "dropping-particle" : "", "family" : "Settele", "given" : "J.", "non-dropping-particle" : "", "parse-names" : false, "suffix" : "" }, { "dropping-particle" : "", "family" : "Betts", "given" : "R.", "non-dropping-particle" : "", "parse-names" : false, "suffix" : "" }, { "dropping-particle" : "", "family" : "Bunn", "given" : "S.", "non-dropping-particle" : "", "parse-names" : false, "suffix" : "" }, { "dropping-particle" : "", "family" : "Leadley", "given" : "P.", "non-dropping-particle" : "", "parse-names" : false, "suffix" : "" }, { "dropping-particle" : "", "family" : "Nepstad", "given" : "D.", "non-dropping-particle" : "", "parse-names" : false, "suffix" : "" }, { "dropping-particle" : "", "family" : "Overpeck", "given" : "J.", "non-dropping-particle" : "", "parse-names" : false, "suffix" : "" }, { "dropping-particle" : "", "family" : "Taboada", "given" : "M.G.", "non-dropping-particle" : "", "parse-names" : false, "suffix" : "" } ], "container-title" : "Climate Change 2014: Impacts, Adaptation, and Vulnerability", "editor" : [ { "dropping-particle" : "", "family" : "Field", "given" : "C", "non-dropping-particle" : "", "parse-names" : false, "suffix" : "" }, { "dropping-particle" : "", "family" : "Barros", "given" : "V", "non-dropping-particle" : "", "parse-names" : false, "suffix" : "" }, { "dropping-particle" : "", "family" : "Mach", "given" : "K", "non-dropping-particle" : "", "parse-names" : false, "suffix" : "" }, { "dropping-particle" : "", "family" : "Mastrandrea", "given" : "M", "non-dropping-particle" : "", "parse-names" : false, "suffix" : "" } ], "id" : "ITEM-1", "issued" : { "date-parts" : [ [ "2014" ] ] }, "page" : "271\u2013360", "publisher" : "Cambridge University Press", "publisher-place" : "Cambridge", "title" : "Terrestrial and inland water systems", "type" : "chapter" }, "uris" : [ "http://www.mendeley.com/documents/?uuid=d11b5bbe-fc7b-4f8d-8c19-6f02a6cdbfc8" ] } ], "mendeley" : { "formattedCitation" : "(Scholes &lt;i&gt;et al.&lt;/i&gt; 2014)", "plainTextFormattedCitation" : "(Scholes et al. 2014)", "previouslyFormattedCitation" : "(Scholes &lt;i&gt;et al.&lt;/i&gt; 2014)" }, "properties" : { "noteIndex" : 0 }, "schema" : "https://github.com/citation-style-language/schema/raw/master/csl-citation.json" }</w:instrText>
      </w:r>
      <w:r w:rsidR="00CB7AA1" w:rsidRPr="004E3A00">
        <w:rPr>
          <w:rFonts w:ascii="Arial" w:eastAsia="Times New Roman" w:hAnsi="Arial" w:cs="Arial"/>
          <w:color w:val="000000"/>
          <w:lang w:eastAsia="en-GB"/>
        </w:rPr>
        <w:fldChar w:fldCharType="separate"/>
      </w:r>
      <w:r w:rsidR="00732C7B" w:rsidRPr="004E3A00">
        <w:rPr>
          <w:rFonts w:ascii="Arial" w:eastAsia="Times New Roman" w:hAnsi="Arial" w:cs="Arial"/>
          <w:noProof/>
          <w:color w:val="000000"/>
          <w:lang w:eastAsia="en-GB"/>
        </w:rPr>
        <w:t xml:space="preserve">(Scholes </w:t>
      </w:r>
      <w:r w:rsidR="00732C7B" w:rsidRPr="004E3A00">
        <w:rPr>
          <w:rFonts w:ascii="Arial" w:eastAsia="Times New Roman" w:hAnsi="Arial" w:cs="Arial"/>
          <w:i/>
          <w:noProof/>
          <w:color w:val="000000"/>
          <w:lang w:eastAsia="en-GB"/>
        </w:rPr>
        <w:t>et al.</w:t>
      </w:r>
      <w:r w:rsidR="00732C7B" w:rsidRPr="004E3A00">
        <w:rPr>
          <w:rFonts w:ascii="Arial" w:eastAsia="Times New Roman" w:hAnsi="Arial" w:cs="Arial"/>
          <w:noProof/>
          <w:color w:val="000000"/>
          <w:lang w:eastAsia="en-GB"/>
        </w:rPr>
        <w:t xml:space="preserve"> 2014)</w:t>
      </w:r>
      <w:r w:rsidR="00CB7AA1" w:rsidRPr="004E3A00">
        <w:rPr>
          <w:rFonts w:ascii="Arial" w:eastAsia="Times New Roman" w:hAnsi="Arial" w:cs="Arial"/>
          <w:color w:val="000000"/>
          <w:lang w:eastAsia="en-GB"/>
        </w:rPr>
        <w:fldChar w:fldCharType="end"/>
      </w:r>
      <w:r w:rsidR="00CB7AA1" w:rsidRPr="004E3A00">
        <w:rPr>
          <w:rFonts w:ascii="Arial" w:eastAsia="Times New Roman" w:hAnsi="Arial" w:cs="Arial"/>
          <w:color w:val="000000"/>
          <w:lang w:eastAsia="en-GB"/>
        </w:rPr>
        <w:t>.</w:t>
      </w:r>
      <w:r w:rsidR="000E25C9" w:rsidRPr="004E3A00">
        <w:rPr>
          <w:rFonts w:ascii="Arial" w:eastAsia="Times New Roman" w:hAnsi="Arial" w:cs="Arial"/>
          <w:color w:val="000000"/>
          <w:lang w:eastAsia="en-GB"/>
        </w:rPr>
        <w:t xml:space="preserve"> However, despite these concerns there is relatively little known about the mechanisms that </w:t>
      </w:r>
      <w:r w:rsidR="00780DF1" w:rsidRPr="004E3A00">
        <w:rPr>
          <w:rFonts w:ascii="Arial" w:eastAsia="Times New Roman" w:hAnsi="Arial" w:cs="Arial"/>
          <w:color w:val="000000"/>
          <w:lang w:eastAsia="en-GB"/>
        </w:rPr>
        <w:t>cause</w:t>
      </w:r>
      <w:r w:rsidR="000E25C9" w:rsidRPr="004E3A00">
        <w:rPr>
          <w:rFonts w:ascii="Arial" w:eastAsia="Times New Roman" w:hAnsi="Arial" w:cs="Arial"/>
          <w:color w:val="000000"/>
          <w:lang w:eastAsia="en-GB"/>
        </w:rPr>
        <w:t xml:space="preserve"> transition </w:t>
      </w:r>
      <w:r w:rsidR="00780DF1" w:rsidRPr="004E3A00">
        <w:rPr>
          <w:rFonts w:ascii="Arial" w:eastAsia="Times New Roman" w:hAnsi="Arial" w:cs="Arial"/>
          <w:color w:val="000000"/>
          <w:lang w:eastAsia="en-GB"/>
        </w:rPr>
        <w:t xml:space="preserve">of forests </w:t>
      </w:r>
      <w:r w:rsidR="000E25C9" w:rsidRPr="004E3A00">
        <w:rPr>
          <w:rFonts w:ascii="Arial" w:eastAsia="Times New Roman" w:hAnsi="Arial" w:cs="Arial"/>
          <w:color w:val="000000"/>
          <w:lang w:eastAsia="en-GB"/>
        </w:rPr>
        <w:t xml:space="preserve">to </w:t>
      </w:r>
      <w:r w:rsidR="00780DF1" w:rsidRPr="004E3A00">
        <w:rPr>
          <w:rFonts w:ascii="Arial" w:eastAsia="Times New Roman" w:hAnsi="Arial" w:cs="Arial"/>
          <w:color w:val="000000"/>
          <w:lang w:eastAsia="en-GB"/>
        </w:rPr>
        <w:t>relatively treeless</w:t>
      </w:r>
      <w:r w:rsidR="000E25C9" w:rsidRPr="004E3A00">
        <w:rPr>
          <w:rFonts w:ascii="Arial" w:eastAsia="Times New Roman" w:hAnsi="Arial" w:cs="Arial"/>
          <w:color w:val="000000"/>
          <w:lang w:eastAsia="en-GB"/>
        </w:rPr>
        <w:t xml:space="preserve"> states </w:t>
      </w:r>
      <w:r w:rsidR="000E25C9" w:rsidRPr="004E3A00">
        <w:rPr>
          <w:rFonts w:ascii="Arial" w:eastAsia="Times New Roman" w:hAnsi="Arial" w:cs="Arial"/>
          <w:color w:val="000000"/>
          <w:lang w:eastAsia="en-GB"/>
        </w:rPr>
        <w:fldChar w:fldCharType="begin" w:fldLock="1"/>
      </w:r>
      <w:r w:rsidR="00EC6C08" w:rsidRPr="004E3A00">
        <w:rPr>
          <w:rFonts w:ascii="Arial" w:eastAsia="Times New Roman" w:hAnsi="Arial" w:cs="Arial"/>
          <w:color w:val="000000"/>
          <w:lang w:eastAsia="en-GB"/>
        </w:rPr>
        <w:instrText>ADDIN CSL_CITATION { "citationItems" : [ { "id" : "ITEM-1", "itemData" : { "DOI" : "10.1111/1365-2745.12337", "ISSN" : "00220477", "author" : [ { "dropping-particle" : "", "family" : "Reyer", "given" : "Christopher P. O.", "non-dropping-particle" : "", "parse-names" : false, "suffix" : "" }, { "dropping-particle" : "", "family" : "Brouwers", "given" : "Niels", "non-dropping-particle" : "", "parse-names" : false, "suffix" : "" }, { "dropping-particle" : "", "family" : "Rammig", "given" : "Anja", "non-dropping-particle" : "", "parse-names" : false, "suffix" : "" }, { "dropping-particle" : "", "family" : "Brook", "given" : "Barry W.", "non-dropping-particle" : "", "parse-names" : false, "suffix" : "" }, { "dropping-particle" : "", "family" : "Epila", "given" : "Jackie", "non-dropping-particle" : "", "parse-names" : false, "suffix" : "" }, { "dropping-particle" : "", "family" : "Grant", "given" : "Robert F.", "non-dropping-particle" : "", "parse-names" : false, "suffix" : "" }, { "dropping-particle" : "", "family" : "Holmgren", "given" : "Milena", "non-dropping-particle" : "", "parse-names" : false, "suffix" : "" }, { "dropping-particle" : "", "family" : "Langerwisch", "given" : "Fanny", "non-dropping-particle" : "", "parse-names" : false, "suffix" : "" }, { "dropping-particle" : "", "family" : "Leuzinger", "given" : "Sebastian", "non-dropping-particle" : "", "parse-names" : false, "suffix" : "" }, { "dropping-particle" : "", "family" : "Lucht", "given" : "Wolfgang", "non-dropping-particle" : "", "parse-names" : false, "suffix" : "" }, { "dropping-particle" : "", "family" : "Medlyn", "given" : "Belinda", "non-dropping-particle" : "", "parse-names" : false, "suffix" : "" }, { "dropping-particle" : "", "family" : "Pfeifer", "given" : "Marion", "non-dropping-particle" : "", "parse-names" : false, "suffix" : "" }, { "dropping-particle" : "", "family" : "Steinkamp", "given" : "J\u00f6rg", "non-dropping-particle" : "", "parse-names" : false, "suffix" : "" }, { "dropping-particle" : "", "family" : "Vanderwel", "given" : "Mark C.", "non-dropping-particle" : "", "parse-names" : false, "suffix" : "" }, { "dropping-particle" : "", "family" : "Verbeeck", "given" : "Hans", "non-dropping-particle" : "", "parse-names" : false, "suffix" : "" }, { "dropping-particle" : "", "family" : "Villela", "given" : "Dora M.", "non-dropping-particle" : "", "parse-names" : false, "suffix" : "" } ], "container-title" : "Journal of Ecology", "editor" : [ { "dropping-particle" : "", "family" : "Coomes", "given" : "David", "non-dropping-particle" : "", "parse-names" : false, "suffix" : "" } ], "id" : "ITEM-1", "issue" : "1", "issued" : { "date-parts" : [ [ "2015", "1", "7" ] ] }, "page" : "5-15", "title" : "Forest resilience and tipping points at different spatio-temporal scales: approaches and challenges", "type" : "article-journal", "volume" : "103" }, "uris" : [ "http://www.mendeley.com/documents/?uuid=838c8ef7-b421-4b35-83a6-2bf42bfe2ed9" ] } ], "mendeley" : { "formattedCitation" : "(Reyer &lt;i&gt;et al.&lt;/i&gt; 2015)", "plainTextFormattedCitation" : "(Reyer et al. 2015)", "previouslyFormattedCitation" : "(Reyer &lt;i&gt;et al.&lt;/i&gt; 2015)" }, "properties" : { "noteIndex" : 0 }, "schema" : "https://github.com/citation-style-language/schema/raw/master/csl-citation.json" }</w:instrText>
      </w:r>
      <w:r w:rsidR="000E25C9" w:rsidRPr="004E3A00">
        <w:rPr>
          <w:rFonts w:ascii="Arial" w:eastAsia="Times New Roman" w:hAnsi="Arial" w:cs="Arial"/>
          <w:color w:val="000000"/>
          <w:lang w:eastAsia="en-GB"/>
        </w:rPr>
        <w:fldChar w:fldCharType="separate"/>
      </w:r>
      <w:r w:rsidR="00732C7B" w:rsidRPr="004E3A00">
        <w:rPr>
          <w:rFonts w:ascii="Arial" w:eastAsia="Times New Roman" w:hAnsi="Arial" w:cs="Arial"/>
          <w:noProof/>
          <w:color w:val="000000"/>
          <w:lang w:eastAsia="en-GB"/>
        </w:rPr>
        <w:t xml:space="preserve">(Reyer </w:t>
      </w:r>
      <w:r w:rsidR="00732C7B" w:rsidRPr="004E3A00">
        <w:rPr>
          <w:rFonts w:ascii="Arial" w:eastAsia="Times New Roman" w:hAnsi="Arial" w:cs="Arial"/>
          <w:i/>
          <w:noProof/>
          <w:color w:val="000000"/>
          <w:lang w:eastAsia="en-GB"/>
        </w:rPr>
        <w:t>et al.</w:t>
      </w:r>
      <w:r w:rsidR="00732C7B" w:rsidRPr="004E3A00">
        <w:rPr>
          <w:rFonts w:ascii="Arial" w:eastAsia="Times New Roman" w:hAnsi="Arial" w:cs="Arial"/>
          <w:noProof/>
          <w:color w:val="000000"/>
          <w:lang w:eastAsia="en-GB"/>
        </w:rPr>
        <w:t xml:space="preserve"> 2015)</w:t>
      </w:r>
      <w:r w:rsidR="000E25C9" w:rsidRPr="004E3A00">
        <w:rPr>
          <w:rFonts w:ascii="Arial" w:eastAsia="Times New Roman" w:hAnsi="Arial" w:cs="Arial"/>
          <w:color w:val="000000"/>
          <w:lang w:eastAsia="en-GB"/>
        </w:rPr>
        <w:fldChar w:fldCharType="end"/>
      </w:r>
      <w:r w:rsidR="000E25C9" w:rsidRPr="004E3A00">
        <w:rPr>
          <w:rFonts w:ascii="Arial" w:eastAsia="Times New Roman" w:hAnsi="Arial" w:cs="Arial"/>
          <w:color w:val="000000"/>
          <w:lang w:eastAsia="en-GB"/>
        </w:rPr>
        <w:t>.</w:t>
      </w:r>
    </w:p>
    <w:p w:rsidR="004F6967" w:rsidRDefault="00C94F83" w:rsidP="004F6967">
      <w:pPr>
        <w:spacing w:after="0" w:line="360" w:lineRule="auto"/>
        <w:ind w:firstLine="720"/>
        <w:contextualSpacing/>
        <w:textAlignment w:val="baseline"/>
        <w:rPr>
          <w:rFonts w:ascii="Arial" w:eastAsia="Times New Roman" w:hAnsi="Arial" w:cs="Arial"/>
          <w:color w:val="000000"/>
          <w:lang w:eastAsia="en-GB"/>
        </w:rPr>
      </w:pPr>
      <w:r w:rsidRPr="004E3A00">
        <w:rPr>
          <w:rFonts w:ascii="Arial" w:eastAsia="Times New Roman" w:hAnsi="Arial" w:cs="Arial"/>
          <w:color w:val="000000"/>
          <w:lang w:eastAsia="en-GB"/>
        </w:rPr>
        <w:t xml:space="preserve">Transitions from one ecosystem state to another </w:t>
      </w:r>
      <w:r w:rsidR="004C5D56" w:rsidRPr="004E3A00">
        <w:rPr>
          <w:rFonts w:ascii="Arial" w:eastAsia="Times New Roman" w:hAnsi="Arial" w:cs="Arial"/>
          <w:color w:val="000000"/>
          <w:lang w:eastAsia="en-GB"/>
        </w:rPr>
        <w:t xml:space="preserve">occur when </w:t>
      </w:r>
      <w:r w:rsidR="00D415C3">
        <w:rPr>
          <w:rFonts w:ascii="Arial" w:eastAsia="Times New Roman" w:hAnsi="Arial" w:cs="Arial"/>
          <w:color w:val="000000"/>
          <w:lang w:eastAsia="en-GB"/>
        </w:rPr>
        <w:t>disturbances</w:t>
      </w:r>
      <w:r w:rsidR="004C5D56" w:rsidRPr="004E3A00">
        <w:rPr>
          <w:rFonts w:ascii="Arial" w:eastAsia="Times New Roman" w:hAnsi="Arial" w:cs="Arial"/>
          <w:color w:val="000000"/>
          <w:lang w:eastAsia="en-GB"/>
        </w:rPr>
        <w:t xml:space="preserve"> </w:t>
      </w:r>
      <w:r w:rsidR="00D415C3">
        <w:rPr>
          <w:rFonts w:ascii="Arial" w:eastAsia="Times New Roman" w:hAnsi="Arial" w:cs="Arial"/>
          <w:color w:val="000000"/>
          <w:lang w:eastAsia="en-GB"/>
        </w:rPr>
        <w:fldChar w:fldCharType="begin" w:fldLock="1"/>
      </w:r>
      <w:r w:rsidR="008D6CB8">
        <w:rPr>
          <w:rFonts w:ascii="Arial" w:eastAsia="Times New Roman" w:hAnsi="Arial" w:cs="Arial"/>
          <w:color w:val="000000"/>
          <w:lang w:eastAsia="en-GB"/>
        </w:rPr>
        <w:instrText>ADDIN CSL_CITATION { "citationItems" : [ { "id" : "ITEM-1", "itemData" : { "author" : [ { "dropping-particle" : "", "family" : "Sousa", "given" : "W.P", "non-dropping-particle" : "", "parse-names" : false, "suffix" : "" } ], "container-title" : "Marine Community Ecology", "editor" : [ { "dropping-particle" : "", "family" : "Bertness", "given" : "M.D.", "non-dropping-particle" : "", "parse-names" : false, "suffix" : "" }, { "dropping-particle" : "", "family" : "Gaines", "given" : "S.", "non-dropping-particle" : "", "parse-names" : false, "suffix" : "" }, { "dropping-particle" : "", "family" : "Hay", "given" : "M.E.", "non-dropping-particle" : "", "parse-names" : false, "suffix" : "" } ], "id" : "ITEM-1", "issued" : { "date-parts" : [ [ "2001" ] ] }, "page" : "85-130", "publisher" : "Sinauer Associates Inc.", "publisher-place" : "Sunderland , MA", "title" : "Natural disturbance and the dynamics of marine benthic communities", "type" : "chapter" }, "label" : "line", "prefix" : "sensu ", "uris" : [ "http://www.mendeley.com/documents/?uuid=6763bd4d-1f78-4f7d-b572-bbcca7c01808" ] } ], "mendeley" : { "formattedCitation" : "(sensu Sousa 2001)", "plainTextFormattedCitation" : "(sensu Sousa 2001)", "previouslyFormattedCitation" : "(sensu Sousa 2001)" }, "properties" : { "noteIndex" : 0 }, "schema" : "https://github.com/citation-style-language/schema/raw/master/csl-citation.json" }</w:instrText>
      </w:r>
      <w:r w:rsidR="00D415C3">
        <w:rPr>
          <w:rFonts w:ascii="Arial" w:eastAsia="Times New Roman" w:hAnsi="Arial" w:cs="Arial"/>
          <w:color w:val="000000"/>
          <w:lang w:eastAsia="en-GB"/>
        </w:rPr>
        <w:fldChar w:fldCharType="separate"/>
      </w:r>
      <w:r w:rsidR="00D415C3" w:rsidRPr="00D415C3">
        <w:rPr>
          <w:rFonts w:ascii="Arial" w:eastAsia="Times New Roman" w:hAnsi="Arial" w:cs="Arial"/>
          <w:noProof/>
          <w:color w:val="000000"/>
          <w:lang w:eastAsia="en-GB"/>
        </w:rPr>
        <w:t>(</w:t>
      </w:r>
      <w:r w:rsidR="00D415C3" w:rsidRPr="00D415C3">
        <w:rPr>
          <w:rFonts w:ascii="Arial" w:eastAsia="Times New Roman" w:hAnsi="Arial" w:cs="Arial"/>
          <w:i/>
          <w:noProof/>
          <w:color w:val="000000"/>
          <w:lang w:eastAsia="en-GB"/>
        </w:rPr>
        <w:t>sensu</w:t>
      </w:r>
      <w:r w:rsidR="00D415C3" w:rsidRPr="00D415C3">
        <w:rPr>
          <w:rFonts w:ascii="Arial" w:eastAsia="Times New Roman" w:hAnsi="Arial" w:cs="Arial"/>
          <w:noProof/>
          <w:color w:val="000000"/>
          <w:lang w:eastAsia="en-GB"/>
        </w:rPr>
        <w:t xml:space="preserve"> Sousa 2001)</w:t>
      </w:r>
      <w:r w:rsidR="00D415C3">
        <w:rPr>
          <w:rFonts w:ascii="Arial" w:eastAsia="Times New Roman" w:hAnsi="Arial" w:cs="Arial"/>
          <w:color w:val="000000"/>
          <w:lang w:eastAsia="en-GB"/>
        </w:rPr>
        <w:fldChar w:fldCharType="end"/>
      </w:r>
      <w:r w:rsidR="00D415C3">
        <w:rPr>
          <w:rFonts w:ascii="Arial" w:eastAsia="Times New Roman" w:hAnsi="Arial" w:cs="Arial"/>
          <w:color w:val="000000"/>
          <w:lang w:eastAsia="en-GB"/>
        </w:rPr>
        <w:t xml:space="preserve"> </w:t>
      </w:r>
      <w:r w:rsidR="00075D5E">
        <w:rPr>
          <w:rFonts w:ascii="Arial" w:eastAsia="Times New Roman" w:hAnsi="Arial" w:cs="Arial"/>
          <w:color w:val="000000"/>
          <w:lang w:eastAsia="en-GB"/>
        </w:rPr>
        <w:t xml:space="preserve">resulting in death of organisms </w:t>
      </w:r>
      <w:r w:rsidR="00E64C63">
        <w:rPr>
          <w:rFonts w:ascii="Arial" w:eastAsia="Times New Roman" w:hAnsi="Arial" w:cs="Arial"/>
          <w:color w:val="000000"/>
          <w:lang w:eastAsia="en-GB"/>
        </w:rPr>
        <w:t>cause</w:t>
      </w:r>
      <w:r w:rsidR="004C5D56" w:rsidRPr="004E3A00">
        <w:rPr>
          <w:rFonts w:ascii="Arial" w:eastAsia="Times New Roman" w:hAnsi="Arial" w:cs="Arial"/>
          <w:color w:val="000000"/>
          <w:lang w:eastAsia="en-GB"/>
        </w:rPr>
        <w:t xml:space="preserve"> changes to a system from which it fails to recover </w:t>
      </w:r>
      <w:r w:rsidR="004C5D56" w:rsidRPr="004E3A00">
        <w:rPr>
          <w:rFonts w:ascii="Arial" w:eastAsia="Times New Roman" w:hAnsi="Arial" w:cs="Arial"/>
          <w:color w:val="000000"/>
          <w:lang w:eastAsia="en-GB"/>
        </w:rPr>
        <w:fldChar w:fldCharType="begin" w:fldLock="1"/>
      </w:r>
      <w:r w:rsidR="00EC6C08" w:rsidRPr="004E3A00">
        <w:rPr>
          <w:rFonts w:ascii="Arial" w:eastAsia="Times New Roman" w:hAnsi="Arial" w:cs="Arial"/>
          <w:color w:val="000000"/>
          <w:lang w:eastAsia="en-GB"/>
        </w:rPr>
        <w:instrText>ADDIN CSL_CITATION { "citationItems" : [ { "id" : "ITEM-1", "itemData" : { "DOI" : "10.1016/j.tree.2015.07.008", "ISSN" : "01695347", "author" : [ { "dropping-particle" : "", "family" : "Nimmo", "given" : "D.G.", "non-dropping-particle" : "", "parse-names" : false, "suffix" : "" }, { "dropping-particle" : "", "family" : "Nally", "given" : "R.", "non-dropping-particle" : "Mac", "parse-names" : false, "suffix" : "" }, { "dropping-particle" : "", "family" : "Cunningham", "given" : "S.C.", "non-dropping-particle" : "", "parse-names" : false, "suffix" : "" }, { "dropping-particle" : "", "family" : "Haslem", "given" : "a.", "non-dropping-particle" : "", "parse-names" : false, "suffix" : "" }, { "dropping-particle" : "", "family" : "Bennett", "given" : "a.F.", "non-dropping-particle" : "", "parse-names" : false, "suffix" : "" } ], "container-title" : "Trends in Ecology &amp; Evolution", "id" : "ITEM-1", "issue" : "i", "issued" : { "date-parts" : [ [ "2015" ] ] }, "page" : "1-8", "publisher" : "Elsevier Ltd", "title" : "Vive la r\u00e9sistance: reviving resistance for 21st century conservation", "type" : "article-journal" }, "uris" : [ "http://www.mendeley.com/documents/?uuid=603a1718-8af2-417d-8b8b-683041e3b635" ] } ], "mendeley" : { "formattedCitation" : "(Nimmo &lt;i&gt;et al.&lt;/i&gt; 2015)", "plainTextFormattedCitation" : "(Nimmo et al. 2015)", "previouslyFormattedCitation" : "(Nimmo &lt;i&gt;et al.&lt;/i&gt; 2015)" }, "properties" : { "noteIndex" : 0 }, "schema" : "https://github.com/citation-style-language/schema/raw/master/csl-citation.json" }</w:instrText>
      </w:r>
      <w:r w:rsidR="004C5D56" w:rsidRPr="004E3A00">
        <w:rPr>
          <w:rFonts w:ascii="Arial" w:eastAsia="Times New Roman" w:hAnsi="Arial" w:cs="Arial"/>
          <w:color w:val="000000"/>
          <w:lang w:eastAsia="en-GB"/>
        </w:rPr>
        <w:fldChar w:fldCharType="separate"/>
      </w:r>
      <w:r w:rsidR="00732C7B" w:rsidRPr="004E3A00">
        <w:rPr>
          <w:rFonts w:ascii="Arial" w:eastAsia="Times New Roman" w:hAnsi="Arial" w:cs="Arial"/>
          <w:noProof/>
          <w:color w:val="000000"/>
          <w:lang w:eastAsia="en-GB"/>
        </w:rPr>
        <w:t xml:space="preserve">(Nimmo </w:t>
      </w:r>
      <w:r w:rsidR="00732C7B" w:rsidRPr="004E3A00">
        <w:rPr>
          <w:rFonts w:ascii="Arial" w:eastAsia="Times New Roman" w:hAnsi="Arial" w:cs="Arial"/>
          <w:i/>
          <w:noProof/>
          <w:color w:val="000000"/>
          <w:lang w:eastAsia="en-GB"/>
        </w:rPr>
        <w:t>et al.</w:t>
      </w:r>
      <w:r w:rsidR="00732C7B" w:rsidRPr="004E3A00">
        <w:rPr>
          <w:rFonts w:ascii="Arial" w:eastAsia="Times New Roman" w:hAnsi="Arial" w:cs="Arial"/>
          <w:noProof/>
          <w:color w:val="000000"/>
          <w:lang w:eastAsia="en-GB"/>
        </w:rPr>
        <w:t xml:space="preserve"> 2015)</w:t>
      </w:r>
      <w:r w:rsidR="004C5D56" w:rsidRPr="004E3A00">
        <w:rPr>
          <w:rFonts w:ascii="Arial" w:eastAsia="Times New Roman" w:hAnsi="Arial" w:cs="Arial"/>
          <w:color w:val="000000"/>
          <w:lang w:eastAsia="en-GB"/>
        </w:rPr>
        <w:fldChar w:fldCharType="end"/>
      </w:r>
      <w:r w:rsidR="004C5D56" w:rsidRPr="004E3A00">
        <w:rPr>
          <w:rFonts w:ascii="Arial" w:eastAsia="Times New Roman" w:hAnsi="Arial" w:cs="Arial"/>
          <w:color w:val="000000"/>
          <w:lang w:eastAsia="en-GB"/>
        </w:rPr>
        <w:t>.</w:t>
      </w:r>
      <w:r w:rsidR="00075D5E">
        <w:rPr>
          <w:rFonts w:ascii="Arial" w:eastAsia="Times New Roman" w:hAnsi="Arial" w:cs="Arial"/>
          <w:color w:val="000000"/>
          <w:lang w:eastAsia="en-GB"/>
        </w:rPr>
        <w:t xml:space="preserve"> These disturbances may represent instantaneous or continuous alteration of </w:t>
      </w:r>
      <w:r w:rsidR="008D6CB8">
        <w:rPr>
          <w:rFonts w:ascii="Arial" w:eastAsia="Times New Roman" w:hAnsi="Arial" w:cs="Arial"/>
          <w:color w:val="000000"/>
          <w:lang w:eastAsia="en-GB"/>
        </w:rPr>
        <w:t xml:space="preserve">species abundances, which are respectively termed pulse and press disturbances </w:t>
      </w:r>
      <w:r w:rsidR="008D6CB8">
        <w:rPr>
          <w:rFonts w:ascii="Arial" w:eastAsia="Times New Roman" w:hAnsi="Arial" w:cs="Arial"/>
          <w:color w:val="000000"/>
          <w:lang w:eastAsia="en-GB"/>
        </w:rPr>
        <w:fldChar w:fldCharType="begin" w:fldLock="1"/>
      </w:r>
      <w:r w:rsidR="004F6967">
        <w:rPr>
          <w:rFonts w:ascii="Arial" w:eastAsia="Times New Roman" w:hAnsi="Arial" w:cs="Arial"/>
          <w:color w:val="000000"/>
          <w:lang w:eastAsia="en-GB"/>
        </w:rPr>
        <w:instrText>ADDIN CSL_CITATION { "citationItems" : [ { "id" : "ITEM-1", "itemData" : { "DOI" : "10.2307/1939452", "ISSN" : "00129658", "abstract" : "We analyze perturbation experiments performed on real and ealized ecological communities. A community may be considered as a black box in the sense that the individual species grow and interact in complicated ways that are difficult to discern. Yet, by observing the response (output) of the system to natural or human\u2014induced disturbances (inputs), information can be gained regarding the character and strengths of species interactions. We decline a perturbation as selective alteration of the density of one or more members of the community, and we distinguish two quite different kinds of perturbations. A PULSE perturbation is a relatively instantaneous alteration of species numbers, after which the system is studied as it \"relaxes\" back to its previous equilibrium state. A PRESS perturbation is a sustained alteration of species densities (often a complete elimination of particular species): it is maintained until the unperturbed species reach a new equilibrium. The measure of interest in PRESS perturbation ...", "author" : [ { "dropping-particle" : "", "family" : "Bender", "given" : "Edward A.", "non-dropping-particle" : "", "parse-names" : false, "suffix" : "" }, { "dropping-particle" : "", "family" : "Case", "given" : "Ted J.", "non-dropping-particle" : "", "parse-names" : false, "suffix" : "" }, { "dropping-particle" : "", "family" : "Gilpin", "given" : "Michael E.", "non-dropping-particle" : "", "parse-names" : false, "suffix" : "" } ], "container-title" : "Ecology", "id" : "ITEM-1", "issue" : "1", "issued" : { "date-parts" : [ [ "1984", "2", "11" ] ] }, "language" : "EN", "page" : "1", "title" : "Perturbation Experiments in Community Ecology: Theory and Practice", "type" : "article-journal", "volume" : "65" }, "uris" : [ "http://www.mendeley.com/documents/?uuid=b8a91f67-469b-4905-ac36-ed3723b5a3c3" ] } ], "mendeley" : { "formattedCitation" : "(Bender, Case &amp; Gilpin 1984)", "plainTextFormattedCitation" : "(Bender, Case &amp; Gilpin 1984)", "previouslyFormattedCitation" : "(Bender, Case &amp; Gilpin 1984)" }, "properties" : { "noteIndex" : 0 }, "schema" : "https://github.com/citation-style-language/schema/raw/master/csl-citation.json" }</w:instrText>
      </w:r>
      <w:r w:rsidR="008D6CB8">
        <w:rPr>
          <w:rFonts w:ascii="Arial" w:eastAsia="Times New Roman" w:hAnsi="Arial" w:cs="Arial"/>
          <w:color w:val="000000"/>
          <w:lang w:eastAsia="en-GB"/>
        </w:rPr>
        <w:fldChar w:fldCharType="separate"/>
      </w:r>
      <w:r w:rsidR="008D6CB8" w:rsidRPr="008D6CB8">
        <w:rPr>
          <w:rFonts w:ascii="Arial" w:eastAsia="Times New Roman" w:hAnsi="Arial" w:cs="Arial"/>
          <w:noProof/>
          <w:color w:val="000000"/>
          <w:lang w:eastAsia="en-GB"/>
        </w:rPr>
        <w:t>(Bender, Case &amp; Gilpin 1984)</w:t>
      </w:r>
      <w:r w:rsidR="008D6CB8">
        <w:rPr>
          <w:rFonts w:ascii="Arial" w:eastAsia="Times New Roman" w:hAnsi="Arial" w:cs="Arial"/>
          <w:color w:val="000000"/>
          <w:lang w:eastAsia="en-GB"/>
        </w:rPr>
        <w:fldChar w:fldCharType="end"/>
      </w:r>
      <w:r w:rsidR="008D6CB8">
        <w:rPr>
          <w:rFonts w:ascii="Arial" w:eastAsia="Times New Roman" w:hAnsi="Arial" w:cs="Arial"/>
          <w:color w:val="000000"/>
          <w:lang w:eastAsia="en-GB"/>
        </w:rPr>
        <w:t xml:space="preserve">. </w:t>
      </w:r>
      <w:r w:rsidR="004F6967">
        <w:rPr>
          <w:rFonts w:ascii="Arial" w:eastAsia="Times New Roman" w:hAnsi="Arial" w:cs="Arial"/>
          <w:color w:val="000000"/>
          <w:lang w:eastAsia="en-GB"/>
        </w:rPr>
        <w:t xml:space="preserve">Critically, what is considered to be ‘instantaneous’ or ‘continuous’ depends on the generation time of the organisms in an assembly </w:t>
      </w:r>
      <w:r w:rsidR="004F6967">
        <w:rPr>
          <w:rFonts w:ascii="Arial" w:eastAsia="Times New Roman" w:hAnsi="Arial" w:cs="Arial"/>
          <w:color w:val="000000"/>
          <w:lang w:eastAsia="en-GB"/>
        </w:rPr>
        <w:fldChar w:fldCharType="begin" w:fldLock="1"/>
      </w:r>
      <w:r w:rsidR="004C4BD3">
        <w:rPr>
          <w:rFonts w:ascii="Arial" w:eastAsia="Times New Roman" w:hAnsi="Arial" w:cs="Arial"/>
          <w:color w:val="000000"/>
          <w:lang w:eastAsia="en-GB"/>
        </w:rPr>
        <w:instrText>ADDIN CSL_CITATION { "citationItems" : [ { "id" : "ITEM-1", "itemData" : { "DOI" : "10.3389/fmicb.2012.00417", "ISSN" : "1664-302X", "author" : [ { "dropping-particle" : "", "family" : "Shade", "given" : "Ashley", "non-dropping-particle" : "", "parse-names" : false, "suffix" : "" }, { "dropping-particle" : "", "family" : "Peter", "given" : "Hannes", "non-dropping-particle" : "", "parse-names" : false, "suffix" : "" }, { "dropping-particle" : "", "family" : "Allison", "given" : "Steven D.", "non-dropping-particle" : "", "parse-names" : false, "suffix" : "" }, { "dropping-particle" : "", "family" : "Baho", "given" : "Didier L.", "non-dropping-particle" : "", "parse-names" : false, "suffix" : "" }, { "dropping-particle" : "", "family" : "Berga", "given" : "Merc\u00e8", "non-dropping-particle" : "", "parse-names" : false, "suffix" : "" }, { "dropping-particle" : "", "family" : "B\u00fcrgmann", "given" : "Helmut", "non-dropping-particle" : "", "parse-names" : false, "suffix" : "" }, { "dropping-particle" : "", "family" : "Huber", "given" : "David H.", "non-dropping-particle" : "", "parse-names" : false, "suffix" : "" }, { "dropping-particle" : "", "family" : "Langenheder", "given" : "Silke", "non-dropping-particle" : "", "parse-names" : false, "suffix" : "" }, { "dropping-particle" : "", "family" : "Lennon", "given" : "Jay T.", "non-dropping-particle" : "", "parse-names" : false, "suffix" : "" }, { "dropping-particle" : "", "family" : "Martiny", "given" : "Jennifer B. H.", "non-dropping-particle" : "", "parse-names" : false, "suffix" : "" }, { "dropping-particle" : "", "family" : "Matulich", "given" : "Kristin L.", "non-dropping-particle" : "", "parse-names" : false, "suffix" : "" }, { "dropping-particle" : "", "family" : "Schmidt", "given" : "Thomas M.", "non-dropping-particle" : "", "parse-names" : false, "suffix" : "" }, { "dropping-particle" : "", "family" : "Handelsman", "given" : "Jo", "non-dropping-particle" : "", "parse-names" : false, "suffix" : "" } ], "container-title" : "Frontiers in Microbiology", "id" : "ITEM-1", "issue" : "December", "issued" : { "date-parts" : [ [ "2012" ] ] }, "page" : "1-19", "title" : "Fundamentals of Microbial Community Resistance and Resilience", "type" : "article-journal", "volume" : "3" }, "uris" : [ "http://www.mendeley.com/documents/?uuid=cb896f97-fd05-40eb-b696-3e4b9e780019" ] } ], "mendeley" : { "formattedCitation" : "(Shade &lt;i&gt;et al.&lt;/i&gt; 2012)", "plainTextFormattedCitation" : "(Shade et al. 2012)", "previouslyFormattedCitation" : "(Shade &lt;i&gt;et al.&lt;/i&gt; 2012)" }, "properties" : { "noteIndex" : 0 }, "schema" : "https://github.com/citation-style-language/schema/raw/master/csl-citation.json" }</w:instrText>
      </w:r>
      <w:r w:rsidR="004F6967">
        <w:rPr>
          <w:rFonts w:ascii="Arial" w:eastAsia="Times New Roman" w:hAnsi="Arial" w:cs="Arial"/>
          <w:color w:val="000000"/>
          <w:lang w:eastAsia="en-GB"/>
        </w:rPr>
        <w:fldChar w:fldCharType="separate"/>
      </w:r>
      <w:r w:rsidR="004F6967" w:rsidRPr="004F6967">
        <w:rPr>
          <w:rFonts w:ascii="Arial" w:eastAsia="Times New Roman" w:hAnsi="Arial" w:cs="Arial"/>
          <w:noProof/>
          <w:color w:val="000000"/>
          <w:lang w:eastAsia="en-GB"/>
        </w:rPr>
        <w:t xml:space="preserve">(Shade </w:t>
      </w:r>
      <w:r w:rsidR="004F6967" w:rsidRPr="004F6967">
        <w:rPr>
          <w:rFonts w:ascii="Arial" w:eastAsia="Times New Roman" w:hAnsi="Arial" w:cs="Arial"/>
          <w:i/>
          <w:noProof/>
          <w:color w:val="000000"/>
          <w:lang w:eastAsia="en-GB"/>
        </w:rPr>
        <w:t>et al.</w:t>
      </w:r>
      <w:r w:rsidR="004F6967" w:rsidRPr="004F6967">
        <w:rPr>
          <w:rFonts w:ascii="Arial" w:eastAsia="Times New Roman" w:hAnsi="Arial" w:cs="Arial"/>
          <w:noProof/>
          <w:color w:val="000000"/>
          <w:lang w:eastAsia="en-GB"/>
        </w:rPr>
        <w:t xml:space="preserve"> 2012)</w:t>
      </w:r>
      <w:r w:rsidR="004F6967">
        <w:rPr>
          <w:rFonts w:ascii="Arial" w:eastAsia="Times New Roman" w:hAnsi="Arial" w:cs="Arial"/>
          <w:color w:val="000000"/>
          <w:lang w:eastAsia="en-GB"/>
        </w:rPr>
        <w:fldChar w:fldCharType="end"/>
      </w:r>
      <w:r w:rsidR="004F6967">
        <w:rPr>
          <w:rFonts w:ascii="Arial" w:eastAsia="Times New Roman" w:hAnsi="Arial" w:cs="Arial"/>
          <w:color w:val="000000"/>
          <w:lang w:eastAsia="en-GB"/>
        </w:rPr>
        <w:t xml:space="preserve">. </w:t>
      </w:r>
      <w:r w:rsidR="004C5D56" w:rsidRPr="004E3A00">
        <w:rPr>
          <w:rFonts w:ascii="Arial" w:eastAsia="Times New Roman" w:hAnsi="Arial" w:cs="Arial"/>
          <w:color w:val="000000"/>
          <w:lang w:eastAsia="en-GB"/>
        </w:rPr>
        <w:t xml:space="preserve">Theory relating to ecosystem resilience suggests that </w:t>
      </w:r>
      <w:r w:rsidR="00E64C63">
        <w:rPr>
          <w:rFonts w:ascii="Arial" w:eastAsia="Times New Roman" w:hAnsi="Arial" w:cs="Arial"/>
          <w:color w:val="000000"/>
          <w:lang w:eastAsia="en-GB"/>
        </w:rPr>
        <w:t xml:space="preserve">interactions between different drivers may </w:t>
      </w:r>
      <w:r w:rsidR="00D232FE">
        <w:rPr>
          <w:rFonts w:ascii="Arial" w:eastAsia="Times New Roman" w:hAnsi="Arial" w:cs="Arial"/>
          <w:color w:val="000000"/>
          <w:lang w:eastAsia="en-GB"/>
        </w:rPr>
        <w:t>cause</w:t>
      </w:r>
      <w:r w:rsidR="004C5D56" w:rsidRPr="004E3A00">
        <w:rPr>
          <w:rFonts w:ascii="Arial" w:eastAsia="Times New Roman" w:hAnsi="Arial" w:cs="Arial"/>
          <w:color w:val="000000"/>
          <w:lang w:eastAsia="en-GB"/>
        </w:rPr>
        <w:t xml:space="preserve"> positive feedbacks driving the system into a different state </w:t>
      </w:r>
      <w:r w:rsidR="004F6967">
        <w:rPr>
          <w:rFonts w:ascii="Arial" w:eastAsia="Times New Roman" w:hAnsi="Arial" w:cs="Arial"/>
          <w:color w:val="000000"/>
          <w:lang w:eastAsia="en-GB"/>
        </w:rPr>
        <w:t xml:space="preserve">as a result of rapid non-linear regime shifts </w:t>
      </w:r>
      <w:r w:rsidR="006F3166" w:rsidRPr="004E3A00">
        <w:rPr>
          <w:rFonts w:ascii="Arial" w:eastAsia="Times New Roman" w:hAnsi="Arial" w:cs="Arial"/>
          <w:color w:val="000000"/>
          <w:lang w:eastAsia="en-GB"/>
        </w:rPr>
        <w:fldChar w:fldCharType="begin" w:fldLock="1"/>
      </w:r>
      <w:r w:rsidR="00EC6C08" w:rsidRPr="004E3A00">
        <w:rPr>
          <w:rFonts w:ascii="Arial" w:eastAsia="Times New Roman" w:hAnsi="Arial" w:cs="Arial"/>
          <w:color w:val="000000"/>
          <w:lang w:eastAsia="en-GB"/>
        </w:rPr>
        <w:instrText>ADDIN CSL_CITATION { "citationItems" : [ { "id" : "ITEM-1", "itemData" : { "DOI" : "10.1038/35098000", "ISSN" : "0028-0836", "PMID" : "11595939", "abstract" : "All ecosystems are exposed to gradual changes in climate, nutrient loading, habitat fragmentation or biotic exploitation. Nature is usually assumed to respond to gradual change in a smooth way. However, studies on lakes, coral reefs, oceans, forests and arid lands have shown that smooth change can be interrupted by sudden drastic switches to a contrasting state. Although diverse events can trigger such shifts, recent studies show that a loss of resilience usually paves the way for a switch to an alternative state. This suggests that strategies for sustainable management of such ecosystems should focus on maintaining resilience.", "author" : [ { "dropping-particle" : "", "family" : "Scheffer", "given" : "M", "non-dropping-particle" : "", "parse-names" : false, "suffix" : "" }, { "dropping-particle" : "", "family" : "Carpenter", "given" : "S", "non-dropping-particle" : "", "parse-names" : false, "suffix" : "" }, { "dropping-particle" : "", "family" : "Foley", "given" : "J A", "non-dropping-particle" : "", "parse-names" : false, "suffix" : "" }, { "dropping-particle" : "", "family" : "Folke", "given" : "C", "non-dropping-particle" : "", "parse-names" : false, "suffix" : "" }, { "dropping-particle" : "", "family" : "Walker", "given" : "B", "non-dropping-particle" : "", "parse-names" : false, "suffix" : "" } ], "container-title" : "Nature", "id" : "ITEM-1", "issue" : "6856", "issued" : { "date-parts" : [ [ "2001", "10", "11" ] ] }, "page" : "591-6", "title" : "Catastrophic shifts in ecosystems.", "title-short" : "Nature", "type" : "article-journal", "volume" : "413" }, "uris" : [ "http://www.mendeley.com/documents/?uuid=b4d7a99c-ef34-49f7-b602-b5758cd6934a" ] } ], "mendeley" : { "formattedCitation" : "(Scheffer &lt;i&gt;et al.&lt;/i&gt; 2001)", "plainTextFormattedCitation" : "(Scheffer et al. 2001)", "previouslyFormattedCitation" : "(Scheffer &lt;i&gt;et al.&lt;/i&gt; 2001)" }, "properties" : { "noteIndex" : 0 }, "schema" : "https://github.com/citation-style-language/schema/raw/master/csl-citation.json" }</w:instrText>
      </w:r>
      <w:r w:rsidR="006F3166" w:rsidRPr="004E3A00">
        <w:rPr>
          <w:rFonts w:ascii="Arial" w:eastAsia="Times New Roman" w:hAnsi="Arial" w:cs="Arial"/>
          <w:color w:val="000000"/>
          <w:lang w:eastAsia="en-GB"/>
        </w:rPr>
        <w:fldChar w:fldCharType="separate"/>
      </w:r>
      <w:r w:rsidR="00732C7B" w:rsidRPr="004E3A00">
        <w:rPr>
          <w:rFonts w:ascii="Arial" w:eastAsia="Times New Roman" w:hAnsi="Arial" w:cs="Arial"/>
          <w:noProof/>
          <w:color w:val="000000"/>
          <w:lang w:eastAsia="en-GB"/>
        </w:rPr>
        <w:t xml:space="preserve">(Scheffer </w:t>
      </w:r>
      <w:r w:rsidR="00732C7B" w:rsidRPr="004E3A00">
        <w:rPr>
          <w:rFonts w:ascii="Arial" w:eastAsia="Times New Roman" w:hAnsi="Arial" w:cs="Arial"/>
          <w:i/>
          <w:noProof/>
          <w:color w:val="000000"/>
          <w:lang w:eastAsia="en-GB"/>
        </w:rPr>
        <w:t>et al.</w:t>
      </w:r>
      <w:r w:rsidR="00732C7B" w:rsidRPr="004E3A00">
        <w:rPr>
          <w:rFonts w:ascii="Arial" w:eastAsia="Times New Roman" w:hAnsi="Arial" w:cs="Arial"/>
          <w:noProof/>
          <w:color w:val="000000"/>
          <w:lang w:eastAsia="en-GB"/>
        </w:rPr>
        <w:t xml:space="preserve"> 2001)</w:t>
      </w:r>
      <w:r w:rsidR="006F3166" w:rsidRPr="004E3A00">
        <w:rPr>
          <w:rFonts w:ascii="Arial" w:eastAsia="Times New Roman" w:hAnsi="Arial" w:cs="Arial"/>
          <w:color w:val="000000"/>
          <w:lang w:eastAsia="en-GB"/>
        </w:rPr>
        <w:fldChar w:fldCharType="end"/>
      </w:r>
      <w:r w:rsidR="00CB7AA1" w:rsidRPr="004E3A00">
        <w:rPr>
          <w:rFonts w:ascii="Arial" w:eastAsia="Times New Roman" w:hAnsi="Arial" w:cs="Arial"/>
          <w:color w:val="000000"/>
          <w:lang w:eastAsia="en-GB"/>
        </w:rPr>
        <w:t xml:space="preserve">. </w:t>
      </w:r>
      <w:r w:rsidR="004F6967">
        <w:rPr>
          <w:rFonts w:ascii="Arial" w:eastAsia="Times New Roman" w:hAnsi="Arial" w:cs="Arial"/>
          <w:color w:val="000000"/>
          <w:lang w:eastAsia="en-GB"/>
        </w:rPr>
        <w:t xml:space="preserve">However, linear, gradual changes in </w:t>
      </w:r>
      <w:r w:rsidR="004C4BD3">
        <w:rPr>
          <w:rFonts w:ascii="Arial" w:eastAsia="Times New Roman" w:hAnsi="Arial" w:cs="Arial"/>
          <w:color w:val="000000"/>
          <w:lang w:eastAsia="en-GB"/>
        </w:rPr>
        <w:t xml:space="preserve">ecosystems resulting in a shift to a novel state </w:t>
      </w:r>
      <w:r w:rsidR="00B6284F">
        <w:rPr>
          <w:rFonts w:ascii="Arial" w:eastAsia="Times New Roman" w:hAnsi="Arial" w:cs="Arial"/>
          <w:color w:val="000000"/>
          <w:lang w:eastAsia="en-GB"/>
        </w:rPr>
        <w:t xml:space="preserve">can </w:t>
      </w:r>
      <w:r w:rsidR="004C4BD3">
        <w:rPr>
          <w:rFonts w:ascii="Arial" w:eastAsia="Times New Roman" w:hAnsi="Arial" w:cs="Arial"/>
          <w:color w:val="000000"/>
          <w:lang w:eastAsia="en-GB"/>
        </w:rPr>
        <w:t xml:space="preserve">also occur </w:t>
      </w:r>
      <w:r w:rsidR="004C4BD3">
        <w:rPr>
          <w:rFonts w:ascii="Arial" w:eastAsia="Times New Roman" w:hAnsi="Arial" w:cs="Arial"/>
          <w:color w:val="000000"/>
          <w:lang w:eastAsia="en-GB"/>
        </w:rPr>
        <w:fldChar w:fldCharType="begin" w:fldLock="1"/>
      </w:r>
      <w:r w:rsidR="00812C49">
        <w:rPr>
          <w:rFonts w:ascii="Arial" w:eastAsia="Times New Roman" w:hAnsi="Arial" w:cs="Arial"/>
          <w:color w:val="000000"/>
          <w:lang w:eastAsia="en-GB"/>
        </w:rPr>
        <w:instrText>ADDIN CSL_CITATION { "citationItems" : [ { "id" : "ITEM-1", "itemData" : { "ISBN" : "0199569347", "abstract" : "One of the most interesting and vexing problems in ecology is how distinctly different communities of plants and animals can occur in the same ecosystem. The theory of these systems, known as multiple stable states, is well understood, but whether multiple stable states actually exist in nature has remained a hotly debated subject. Multiple Stable States in Natural EcosystemsR provides a broad and synthetic critique of recent advances in theory and new experimental evidence. Modern models of systems with multiple stable states are placed in historical context. Current theories are covered in a rigorous fashion with the specific goal of identifying testable predictions about multiple stable states. The book provides a more synthetic, more critical, and broader analysis of multiple stable states in natural ecosystems than any previous review. By making the theory more transparent and the analysis of the evidence more comparative, the book broadens the discussion about multiple stable states, leading to a more general consideration of the interplay between theory and experiment in community ecology and environmental management. This accessible research monograph will be suitable for graduate students taking courses in community ecology, theoretical ecology, and restoration ecology. It will also be a valuable reference for professional ecologists and environmental managers requiring a concise overview of the topic.", "author" : [ { "dropping-particle" : "", "family" : "Petraitis", "given" : "Peter", "non-dropping-particle" : "", "parse-names" : false, "suffix" : "" } ], "id" : "ITEM-1", "issued" : { "date-parts" : [ [ "2013" ] ] }, "number-of-pages" : "188", "publisher" : "Oxford University Press", "title" : "Multiple Stable States in Natural Ecosystems", "type" : "book" }, "uris" : [ "http://www.mendeley.com/documents/?uuid=ecd74af5-b198-48d6-b3ba-8ee4b3a0c060" ] }, { "id" : "ITEM-2", "itemData" : { "DOI" : "10.1641/0006-3568(2000)050[0433:EGATEA]2.0.CO;2", "ISBN" : "0006-3568", "ISSN" : "0006-3568", "author" : [ { "dropping-particle" : "", "family" : "Davidson", "given" : "Carlos", "non-dropping-particle" : "", "parse-names" : false, "suffix" : "" } ], "container-title" : "BioScience", "id" : "ITEM-2", "issue" : "5", "issued" : { "date-parts" : [ [ "2000" ] ] }, "page" : "433", "title" : "Economic Growth and the Environment:Alternatives to the Limits Paradigm", "type" : "article-journal", "volume" : "50" }, "uris" : [ "http://www.mendeley.com/documents/?uuid=78afd520-c53f-4249-b9d6-7533b8597c67" ] }, { "id" : "ITEM-3", "itemData" : { "DOI" : "10.3354/meps08691", "ISBN" : "01718630 (ISSN)", "ISSN" : "01718630", "abstract" : "ABSTRACT: The concept of thresholds is applied broadly in ecology to both processes and states that exhibit step-like behavior. Thresholds are observed in parameters, equilibrium states, and in states over time, but presence or absence of thresholds at any of these levels does not provide information about the occurrence of thresholds at the other levels. Here we explore the relationship between thresholds and theory of multiple stable states. We present a 2-species Lotka-Volterra model of competition to illustrate that thresholds and hysteresis-like behavior are possible in linear systems. A grazing model is presented to show that multiple stable states are possible without thresholds in the underlying processes. The concept of thresholds within the context of multiple stable states is reviewed in an attempt to resolve some of the confusion that stems from the different meanings of thresholds.  ", "author" : [ { "dropping-particle" : "", "family" : "Petraitis", "given" : "Peter S.", "non-dropping-particle" : "", "parse-names" : false, "suffix" : "" }, { "dropping-particle" : "", "family" : "Hoffman", "given" : "Catharine", "non-dropping-particle" : "", "parse-names" : false, "suffix" : "" } ], "container-title" : "Marine Ecology Progress Series", "id" : "ITEM-3", "issue" : "1", "issued" : { "date-parts" : [ [ "2010" ] ] }, "page" : "189-200", "title" : "Multiple stable states and relationship between thresholds in processes and states", "type" : "article-journal", "volume" : "413" }, "uris" : [ "http://www.mendeley.com/documents/?uuid=21d0aba0-71f4-4d8b-ab3f-c69b14c93602" ] } ], "mendeley" : { "formattedCitation" : "(Davidson 2000; Petraitis &amp; Hoffman 2010; Petraitis 2013)", "plainTextFormattedCitation" : "(Davidson 2000; Petraitis &amp; Hoffman 2010; Petraitis 2013)", "previouslyFormattedCitation" : "(Davidson 2000; Petraitis &amp; Hoffman 2010; Petraitis 2013)" }, "properties" : { "noteIndex" : 0 }, "schema" : "https://github.com/citation-style-language/schema/raw/master/csl-citation.json" }</w:instrText>
      </w:r>
      <w:r w:rsidR="004C4BD3">
        <w:rPr>
          <w:rFonts w:ascii="Arial" w:eastAsia="Times New Roman" w:hAnsi="Arial" w:cs="Arial"/>
          <w:color w:val="000000"/>
          <w:lang w:eastAsia="en-GB"/>
        </w:rPr>
        <w:fldChar w:fldCharType="separate"/>
      </w:r>
      <w:r w:rsidR="00812C49" w:rsidRPr="00812C49">
        <w:rPr>
          <w:rFonts w:ascii="Arial" w:eastAsia="Times New Roman" w:hAnsi="Arial" w:cs="Arial"/>
          <w:noProof/>
          <w:color w:val="000000"/>
          <w:lang w:eastAsia="en-GB"/>
        </w:rPr>
        <w:t>(Davidson 2000; Petraitis &amp; Hoffman 2010; Petraitis 2013)</w:t>
      </w:r>
      <w:r w:rsidR="004C4BD3">
        <w:rPr>
          <w:rFonts w:ascii="Arial" w:eastAsia="Times New Roman" w:hAnsi="Arial" w:cs="Arial"/>
          <w:color w:val="000000"/>
          <w:lang w:eastAsia="en-GB"/>
        </w:rPr>
        <w:fldChar w:fldCharType="end"/>
      </w:r>
      <w:r w:rsidR="004C4BD3">
        <w:rPr>
          <w:rFonts w:ascii="Arial" w:eastAsia="Times New Roman" w:hAnsi="Arial" w:cs="Arial"/>
          <w:color w:val="000000"/>
          <w:lang w:eastAsia="en-GB"/>
        </w:rPr>
        <w:t>, though have received less attention in the ecological literature.</w:t>
      </w:r>
      <w:r w:rsidR="00812C49">
        <w:rPr>
          <w:rFonts w:ascii="Arial" w:eastAsia="Times New Roman" w:hAnsi="Arial" w:cs="Arial"/>
          <w:color w:val="000000"/>
          <w:lang w:eastAsia="en-GB"/>
        </w:rPr>
        <w:t xml:space="preserve"> Importantly, the presence of positive feedbacks may make recovery of a system to a desired state difficult, while linear change may be more easily reversed via management </w:t>
      </w:r>
      <w:r w:rsidR="00812C49">
        <w:rPr>
          <w:rFonts w:ascii="Arial" w:eastAsia="Times New Roman" w:hAnsi="Arial" w:cs="Arial"/>
          <w:color w:val="000000"/>
          <w:lang w:eastAsia="en-GB"/>
        </w:rPr>
        <w:fldChar w:fldCharType="begin" w:fldLock="1"/>
      </w:r>
      <w:r w:rsidR="002324D1">
        <w:rPr>
          <w:rFonts w:ascii="Arial" w:eastAsia="Times New Roman" w:hAnsi="Arial" w:cs="Arial"/>
          <w:color w:val="000000"/>
          <w:lang w:eastAsia="en-GB"/>
        </w:rPr>
        <w:instrText>ADDIN CSL_CITATION { "citationItems" : [ { "id" : "ITEM-1", "itemData" : { "DOI" : "10.1038/nnano.2011.191", "ISBN" : "1708-3087", "ISSN" : "17083087", "PMID" : "22056728", "abstract" : "Resilience thinking addresses the dynamics and development of complex social-ecological systems (SES). Three aspects are central: resilience, adaptability and transformability. These aspects interrelate across multiple scales. Resilience in this context is the capacity of a SES to continually change and adapt yet remain within critical thresholds. Adaptability is part of resilience. It represents the capacity to adjust responses to changing external drivers and internal processes and thereby allow for development along the current trajectory (stability domain). Transformability is the capacity to cross thresholds into new development trajectories. Transformational change at smaller scales enables resilience at larger scales. The capacity to transform at smaller scales draws on resilience from multiple scales, making use of crises as windows of opportunity for novelty and innovation, and recombining sources of experience and knowledge to navigate social-ecological transitions. Society must seriously consider ways to foster resilience of smaller more manageable SESs that contribute to Earth System resilience and to explore options for deliberate transformation of SESs that threaten Earth System resilience.", "author" : [ { "dropping-particle" : "", "family" : "Folke", "given" : "Carl", "non-dropping-particle" : "", "parse-names" : false, "suffix" : "" }, { "dropping-particle" : "", "family" : "Carpenter", "given" : "Stephen R.", "non-dropping-particle" : "", "parse-names" : false, "suffix" : "" }, { "dropping-particle" : "", "family" : "Walker", "given" : "Brian", "non-dropping-particle" : "", "parse-names" : false, "suffix" : "" }, { "dropping-particle" : "", "family" : "Scheffer", "given" : "Marten", "non-dropping-particle" : "", "parse-names" : false, "suffix" : "" }, { "dropping-particle" : "", "family" : "Chapin", "given" : "Terry", "non-dropping-particle" : "", "parse-names" : false, "suffix" : "" }, { "dropping-particle" : "", "family" : "Rockstr\u00f6m", "given" : "Johan", "non-dropping-particle" : "", "parse-names" : false, "suffix" : "" } ], "container-title" : "Ecology and Society", "id" : "ITEM-1", "issue" : "4", "issued" : { "date-parts" : [ [ "2010" ] ] }, "title" : "Resilience thinking: Integrating resilience, adaptability and transformability", "type" : "article-journal", "volume" : "15" }, "uris" : [ "http://www.mendeley.com/documents/?uuid=020e0458-45a8-41cd-9248-b6fcd3e75175" ] } ], "mendeley" : { "formattedCitation" : "(Folke &lt;i&gt;et al.&lt;/i&gt; 2010)", "plainTextFormattedCitation" : "(Folke et al. 2010)", "previouslyFormattedCitation" : "(Folke &lt;i&gt;et al.&lt;/i&gt; 2010)" }, "properties" : { "noteIndex" : 0 }, "schema" : "https://github.com/citation-style-language/schema/raw/master/csl-citation.json" }</w:instrText>
      </w:r>
      <w:r w:rsidR="00812C49">
        <w:rPr>
          <w:rFonts w:ascii="Arial" w:eastAsia="Times New Roman" w:hAnsi="Arial" w:cs="Arial"/>
          <w:color w:val="000000"/>
          <w:lang w:eastAsia="en-GB"/>
        </w:rPr>
        <w:fldChar w:fldCharType="separate"/>
      </w:r>
      <w:r w:rsidR="00812C49" w:rsidRPr="00812C49">
        <w:rPr>
          <w:rFonts w:ascii="Arial" w:eastAsia="Times New Roman" w:hAnsi="Arial" w:cs="Arial"/>
          <w:noProof/>
          <w:color w:val="000000"/>
          <w:lang w:eastAsia="en-GB"/>
        </w:rPr>
        <w:t xml:space="preserve">(Folke </w:t>
      </w:r>
      <w:r w:rsidR="00812C49" w:rsidRPr="00812C49">
        <w:rPr>
          <w:rFonts w:ascii="Arial" w:eastAsia="Times New Roman" w:hAnsi="Arial" w:cs="Arial"/>
          <w:i/>
          <w:noProof/>
          <w:color w:val="000000"/>
          <w:lang w:eastAsia="en-GB"/>
        </w:rPr>
        <w:t>et al.</w:t>
      </w:r>
      <w:r w:rsidR="00812C49" w:rsidRPr="00812C49">
        <w:rPr>
          <w:rFonts w:ascii="Arial" w:eastAsia="Times New Roman" w:hAnsi="Arial" w:cs="Arial"/>
          <w:noProof/>
          <w:color w:val="000000"/>
          <w:lang w:eastAsia="en-GB"/>
        </w:rPr>
        <w:t xml:space="preserve"> 2010)</w:t>
      </w:r>
      <w:r w:rsidR="00812C49">
        <w:rPr>
          <w:rFonts w:ascii="Arial" w:eastAsia="Times New Roman" w:hAnsi="Arial" w:cs="Arial"/>
          <w:color w:val="000000"/>
          <w:lang w:eastAsia="en-GB"/>
        </w:rPr>
        <w:fldChar w:fldCharType="end"/>
      </w:r>
      <w:r w:rsidR="00812C49">
        <w:rPr>
          <w:rFonts w:ascii="Arial" w:eastAsia="Times New Roman" w:hAnsi="Arial" w:cs="Arial"/>
          <w:color w:val="000000"/>
          <w:lang w:eastAsia="en-GB"/>
        </w:rPr>
        <w:t>.</w:t>
      </w:r>
    </w:p>
    <w:p w:rsidR="00527DD8" w:rsidRDefault="002324D1" w:rsidP="00527DD8">
      <w:pPr>
        <w:spacing w:after="0" w:line="360" w:lineRule="auto"/>
        <w:ind w:firstLine="720"/>
        <w:contextualSpacing/>
        <w:textAlignment w:val="baseline"/>
        <w:rPr>
          <w:rFonts w:ascii="Arial" w:eastAsia="Times New Roman" w:hAnsi="Arial" w:cs="Arial"/>
          <w:color w:val="000000"/>
          <w:lang w:eastAsia="en-GB"/>
        </w:rPr>
      </w:pPr>
      <w:r>
        <w:rPr>
          <w:rFonts w:ascii="Arial" w:eastAsia="Times New Roman" w:hAnsi="Arial" w:cs="Arial"/>
          <w:color w:val="000000"/>
          <w:lang w:eastAsia="en-GB"/>
        </w:rPr>
        <w:t>From the perspective of forest conservation</w:t>
      </w:r>
      <w:r w:rsidR="00780DF1" w:rsidRPr="004E3A00">
        <w:rPr>
          <w:rFonts w:ascii="Arial" w:eastAsia="Times New Roman" w:hAnsi="Arial" w:cs="Arial"/>
          <w:color w:val="000000"/>
          <w:lang w:eastAsia="en-GB"/>
        </w:rPr>
        <w:t xml:space="preserve">, feedbacks of particular concern </w:t>
      </w:r>
      <w:r w:rsidR="004618A6" w:rsidRPr="004E3A00">
        <w:rPr>
          <w:rFonts w:ascii="Arial" w:eastAsia="Times New Roman" w:hAnsi="Arial" w:cs="Arial"/>
          <w:color w:val="000000"/>
          <w:lang w:eastAsia="en-GB"/>
        </w:rPr>
        <w:t xml:space="preserve">are </w:t>
      </w:r>
      <w:r w:rsidR="00780DF1" w:rsidRPr="004E3A00">
        <w:rPr>
          <w:rFonts w:ascii="Arial" w:eastAsia="Times New Roman" w:hAnsi="Arial" w:cs="Arial"/>
          <w:color w:val="000000"/>
          <w:lang w:eastAsia="en-GB"/>
        </w:rPr>
        <w:t>those</w:t>
      </w:r>
      <w:r w:rsidR="004618A6" w:rsidRPr="004E3A00">
        <w:rPr>
          <w:rFonts w:ascii="Arial" w:eastAsia="Times New Roman" w:hAnsi="Arial" w:cs="Arial"/>
          <w:color w:val="000000"/>
          <w:lang w:eastAsia="en-GB"/>
        </w:rPr>
        <w:t xml:space="preserve"> between local disturbances </w:t>
      </w:r>
      <w:r w:rsidR="00780DF1" w:rsidRPr="004E3A00">
        <w:rPr>
          <w:rFonts w:ascii="Arial" w:eastAsia="Times New Roman" w:hAnsi="Arial" w:cs="Arial"/>
          <w:color w:val="000000"/>
          <w:lang w:eastAsia="en-GB"/>
        </w:rPr>
        <w:t xml:space="preserve">(e.g. </w:t>
      </w:r>
      <w:r w:rsidR="004618A6" w:rsidRPr="004E3A00">
        <w:rPr>
          <w:rFonts w:ascii="Arial" w:eastAsia="Times New Roman" w:hAnsi="Arial" w:cs="Arial"/>
          <w:color w:val="000000"/>
          <w:lang w:eastAsia="en-GB"/>
        </w:rPr>
        <w:t>fire, pests, drought or deforestation</w:t>
      </w:r>
      <w:r w:rsidR="00780DF1" w:rsidRPr="004E3A00">
        <w:rPr>
          <w:rFonts w:ascii="Arial" w:eastAsia="Times New Roman" w:hAnsi="Arial" w:cs="Arial"/>
          <w:color w:val="000000"/>
          <w:lang w:eastAsia="en-GB"/>
        </w:rPr>
        <w:t>)</w:t>
      </w:r>
      <w:r w:rsidR="004618A6" w:rsidRPr="004E3A00">
        <w:rPr>
          <w:rFonts w:ascii="Arial" w:eastAsia="Times New Roman" w:hAnsi="Arial" w:cs="Arial"/>
          <w:color w:val="000000"/>
          <w:lang w:eastAsia="en-GB"/>
        </w:rPr>
        <w:t xml:space="preserve"> and </w:t>
      </w:r>
      <w:r w:rsidR="00B6284F">
        <w:rPr>
          <w:rFonts w:ascii="Arial" w:eastAsia="Times New Roman" w:hAnsi="Arial" w:cs="Arial"/>
          <w:color w:val="000000"/>
          <w:lang w:eastAsia="en-GB"/>
        </w:rPr>
        <w:t xml:space="preserve">regional </w:t>
      </w:r>
      <w:r w:rsidR="004618A6" w:rsidRPr="004E3A00">
        <w:rPr>
          <w:rFonts w:ascii="Arial" w:eastAsia="Times New Roman" w:hAnsi="Arial" w:cs="Arial"/>
          <w:color w:val="000000"/>
          <w:lang w:eastAsia="en-GB"/>
        </w:rPr>
        <w:t xml:space="preserve">climatic changes that impair regeneration of tree species </w:t>
      </w:r>
      <w:r w:rsidR="004618A6" w:rsidRPr="004E3A00">
        <w:rPr>
          <w:rFonts w:ascii="Arial" w:eastAsia="Times New Roman" w:hAnsi="Arial" w:cs="Arial"/>
          <w:color w:val="000000"/>
          <w:lang w:eastAsia="en-GB"/>
        </w:rPr>
        <w:fldChar w:fldCharType="begin" w:fldLock="1"/>
      </w:r>
      <w:r w:rsidR="00EC6C08" w:rsidRPr="004E3A00">
        <w:rPr>
          <w:rFonts w:ascii="Arial" w:eastAsia="Times New Roman" w:hAnsi="Arial" w:cs="Arial"/>
          <w:color w:val="000000"/>
          <w:lang w:eastAsia="en-GB"/>
        </w:rPr>
        <w:instrText>ADDIN CSL_CITATION { "citationItems" : [ { "id" : "ITEM-1", "itemData" : { "DOI" : "10.1111/1365-2745.12337", "ISSN" : "00220477", "author" : [ { "dropping-particle" : "", "family" : "Reyer", "given" : "Christopher P. O.", "non-dropping-particle" : "", "parse-names" : false, "suffix" : "" }, { "dropping-particle" : "", "family" : "Brouwers", "given" : "Niels", "non-dropping-particle" : "", "parse-names" : false, "suffix" : "" }, { "dropping-particle" : "", "family" : "Rammig", "given" : "Anja", "non-dropping-particle" : "", "parse-names" : false, "suffix" : "" }, { "dropping-particle" : "", "family" : "Brook", "given" : "Barry W.", "non-dropping-particle" : "", "parse-names" : false, "suffix" : "" }, { "dropping-particle" : "", "family" : "Epila", "given" : "Jackie", "non-dropping-particle" : "", "parse-names" : false, "suffix" : "" }, { "dropping-particle" : "", "family" : "Grant", "given" : "Robert F.", "non-dropping-particle" : "", "parse-names" : false, "suffix" : "" }, { "dropping-particle" : "", "family" : "Holmgren", "given" : "Milena", "non-dropping-particle" : "", "parse-names" : false, "suffix" : "" }, { "dropping-particle" : "", "family" : "Langerwisch", "given" : "Fanny", "non-dropping-particle" : "", "parse-names" : false, "suffix" : "" }, { "dropping-particle" : "", "family" : "Leuzinger", "given" : "Sebastian", "non-dropping-particle" : "", "parse-names" : false, "suffix" : "" }, { "dropping-particle" : "", "family" : "Lucht", "given" : "Wolfgang", "non-dropping-particle" : "", "parse-names" : false, "suffix" : "" }, { "dropping-particle" : "", "family" : "Medlyn", "given" : "Belinda", "non-dropping-particle" : "", "parse-names" : false, "suffix" : "" }, { "dropping-particle" : "", "family" : "Pfeifer", "given" : "Marion", "non-dropping-particle" : "", "parse-names" : false, "suffix" : "" }, { "dropping-particle" : "", "family" : "Steinkamp", "given" : "J\u00f6rg", "non-dropping-particle" : "", "parse-names" : false, "suffix" : "" }, { "dropping-particle" : "", "family" : "Vanderwel", "given" : "Mark C.", "non-dropping-particle" : "", "parse-names" : false, "suffix" : "" }, { "dropping-particle" : "", "family" : "Verbeeck", "given" : "Hans", "non-dropping-particle" : "", "parse-names" : false, "suffix" : "" }, { "dropping-particle" : "", "family" : "Villela", "given" : "Dora M.", "non-dropping-particle" : "", "parse-names" : false, "suffix" : "" } ], "container-title" : "Journal of Ecology", "editor" : [ { "dropping-particle" : "", "family" : "Coomes", "given" : "David", "non-dropping-particle" : "", "parse-names" : false, "suffix" : "" } ], "id" : "ITEM-1", "issue" : "1", "issued" : { "date-parts" : [ [ "2015", "1", "7" ] ] }, "page" : "5-15", "title" : "Forest resilience and tipping points at different spatio-temporal scales: approaches and challenges", "type" : "article-journal", "volume" : "103" }, "uris" : [ "http://www.mendeley.com/documents/?uuid=838c8ef7-b421-4b35-83a6-2bf42bfe2ed9" ] } ], "mendeley" : { "formattedCitation" : "(Reyer &lt;i&gt;et al.&lt;/i&gt; 2015)", "plainTextFormattedCitation" : "(Reyer et al. 2015)", "previouslyFormattedCitation" : "(Reyer &lt;i&gt;et al.&lt;/i&gt; 2015)" }, "properties" : { "noteIndex" : 0 }, "schema" : "https://github.com/citation-style-language/schema/raw/master/csl-citation.json" }</w:instrText>
      </w:r>
      <w:r w:rsidR="004618A6" w:rsidRPr="004E3A00">
        <w:rPr>
          <w:rFonts w:ascii="Arial" w:eastAsia="Times New Roman" w:hAnsi="Arial" w:cs="Arial"/>
          <w:color w:val="000000"/>
          <w:lang w:eastAsia="en-GB"/>
        </w:rPr>
        <w:fldChar w:fldCharType="separate"/>
      </w:r>
      <w:r w:rsidR="00732C7B" w:rsidRPr="004E3A00">
        <w:rPr>
          <w:rFonts w:ascii="Arial" w:eastAsia="Times New Roman" w:hAnsi="Arial" w:cs="Arial"/>
          <w:noProof/>
          <w:color w:val="000000"/>
          <w:lang w:eastAsia="en-GB"/>
        </w:rPr>
        <w:t xml:space="preserve">(Reyer </w:t>
      </w:r>
      <w:r w:rsidR="00732C7B" w:rsidRPr="004E3A00">
        <w:rPr>
          <w:rFonts w:ascii="Arial" w:eastAsia="Times New Roman" w:hAnsi="Arial" w:cs="Arial"/>
          <w:i/>
          <w:noProof/>
          <w:color w:val="000000"/>
          <w:lang w:eastAsia="en-GB"/>
        </w:rPr>
        <w:t>et al.</w:t>
      </w:r>
      <w:r w:rsidR="00732C7B" w:rsidRPr="004E3A00">
        <w:rPr>
          <w:rFonts w:ascii="Arial" w:eastAsia="Times New Roman" w:hAnsi="Arial" w:cs="Arial"/>
          <w:noProof/>
          <w:color w:val="000000"/>
          <w:lang w:eastAsia="en-GB"/>
        </w:rPr>
        <w:t xml:space="preserve"> 2015)</w:t>
      </w:r>
      <w:r w:rsidR="004618A6" w:rsidRPr="004E3A00">
        <w:rPr>
          <w:rFonts w:ascii="Arial" w:eastAsia="Times New Roman" w:hAnsi="Arial" w:cs="Arial"/>
          <w:color w:val="000000"/>
          <w:lang w:eastAsia="en-GB"/>
        </w:rPr>
        <w:fldChar w:fldCharType="end"/>
      </w:r>
      <w:r w:rsidR="004618A6" w:rsidRPr="004E3A00">
        <w:rPr>
          <w:rFonts w:ascii="Arial" w:eastAsia="Times New Roman" w:hAnsi="Arial" w:cs="Arial"/>
          <w:color w:val="000000"/>
          <w:lang w:eastAsia="en-GB"/>
        </w:rPr>
        <w:t xml:space="preserve">. </w:t>
      </w:r>
      <w:r w:rsidR="00CB7AA1" w:rsidRPr="004E3A00">
        <w:rPr>
          <w:rFonts w:ascii="Arial" w:eastAsia="Times New Roman" w:hAnsi="Arial" w:cs="Arial"/>
          <w:color w:val="000000"/>
          <w:lang w:eastAsia="en-GB"/>
        </w:rPr>
        <w:t xml:space="preserve">For example, logging and deforestation in tropical forests combined with drought and increased </w:t>
      </w:r>
      <w:r>
        <w:rPr>
          <w:rFonts w:ascii="Arial" w:eastAsia="Times New Roman" w:hAnsi="Arial" w:cs="Arial"/>
          <w:color w:val="000000"/>
          <w:lang w:eastAsia="en-GB"/>
        </w:rPr>
        <w:t>fire frequency</w:t>
      </w:r>
      <w:r w:rsidR="00CB7AA1" w:rsidRPr="004E3A00">
        <w:rPr>
          <w:rFonts w:ascii="Arial" w:eastAsia="Times New Roman" w:hAnsi="Arial" w:cs="Arial"/>
          <w:color w:val="000000"/>
          <w:lang w:eastAsia="en-GB"/>
        </w:rPr>
        <w:t xml:space="preserve"> may lead to a shift to </w:t>
      </w:r>
      <w:r>
        <w:rPr>
          <w:rFonts w:ascii="Arial" w:eastAsia="Times New Roman" w:hAnsi="Arial" w:cs="Arial"/>
          <w:color w:val="000000"/>
          <w:lang w:eastAsia="en-GB"/>
        </w:rPr>
        <w:t xml:space="preserve">a </w:t>
      </w:r>
      <w:r w:rsidR="00CB7AA1" w:rsidRPr="004E3A00">
        <w:rPr>
          <w:rFonts w:ascii="Arial" w:eastAsia="Times New Roman" w:hAnsi="Arial" w:cs="Arial"/>
          <w:color w:val="000000"/>
          <w:lang w:eastAsia="en-GB"/>
        </w:rPr>
        <w:t xml:space="preserve">savannah-like vegetation structure </w:t>
      </w:r>
      <w:r w:rsidR="00CB7AA1" w:rsidRPr="004E3A00">
        <w:rPr>
          <w:rFonts w:ascii="Arial" w:eastAsia="Times New Roman" w:hAnsi="Arial" w:cs="Arial"/>
          <w:color w:val="000000"/>
          <w:lang w:eastAsia="en-GB"/>
        </w:rPr>
        <w:fldChar w:fldCharType="begin" w:fldLock="1"/>
      </w:r>
      <w:r w:rsidR="00EC6C08" w:rsidRPr="004E3A00">
        <w:rPr>
          <w:rFonts w:ascii="Arial" w:eastAsia="Times New Roman" w:hAnsi="Arial" w:cs="Arial"/>
          <w:color w:val="000000"/>
          <w:lang w:eastAsia="en-GB"/>
        </w:rPr>
        <w:instrText>ADDIN CSL_CITATION { "citationItems" : [ { "id" : "ITEM-1", "itemData" : { "DOI" : "10.1098/rstb.2007.0013", "abstract" : "The only fully coupled land\u2013atmosphere global climate model predicts a widespread dieback of Amazonian forest cover through reduced precipitation. Although these predictions are controversial, the structural and compositional resilience of Amazonian forests may also have been overestimated, as current vegetation models fail to consider the potential role of fire in the degradation of forest ecosystems. We examine forest structure and composition in the Arapiuns River basin in the central Brazilian Amazon, evaluating post-fire forest recovery and the consequences of recurrent fires for the patterns of dominance of tree species. We surveyed tree plots in unburned and once-burned forests examined 1, 3 and 9 years after an unprecedented fire event, in twice-burned forests examined 3 and 9 years after fire and in thrice-burned forests examined 5 years after the most recent fire event. The number of trees recorded in unburned primary forest control plots was stable over time. However, in both once- and twice-burned forest plots, there was a marked recruitment into the 10\u201320\u200acm diameter at breast height tree size classes between 3 and 9 years post-fire. Considering tree assemblage composition 9 years after the first fire contact, we observed (i) a clear pattern of community turnover among small trees and the most abundant shrubs and saplings, and (ii) that species that were common in any of the four burn treatments (unburned, once-, twice- and thrice-burned) were often rare or entirely absent in other burn treatments. We conclude that episodic wildfires can lead to drastic changes in forest structure and composition, with cascading shifts in forest composition following each additional fire event. Finally, we use these results to evaluate the validity of the savannization paradigm.", "author" : [ { "dropping-particle" : "", "family" : "Barlow", "given" : "Jos", "non-dropping-particle" : "", "parse-names" : false, "suffix" : "" }, { "dropping-particle" : "", "family" : "Peres", "given" : "Carlos A", "non-dropping-particle" : "", "parse-names" : false, "suffix" : "" } ], "container-title" : "Philosophical Transactions of the Royal Society B: Biological Sciences", "id" : "ITEM-1", "issue" : "1498", "issued" : { "date-parts" : [ [ "2008" ] ] }, "page" : "1787-1794", "title" : "Fire-mediated dieback and compositional cascade in an Amazonian forest", "type" : "article-journal", "volume" : "363" }, "uris" : [ "http://www.mendeley.com/documents/?uuid=1aa4f099-c13b-4a2f-91e1-9288d28b143d" ] }, { "id" : "ITEM-2", "itemData" : { "DOI" : "10.1038/19066", "ISBN" : "0028-0836", "ISSN" : "0028-0836", "abstract" : "Amazonian deforestation rates are used to determine human effects on the global carbon cycle and to measure Brazil's progress in curbing forest impoverishment. But this widely used measure of tropical land use tells only part of the story. Here we present field surveys of wood mills and forest burning across Brazilian Amazonia which show that logging crews severly damage 10,000 to 15,000 km2yr-1 of forest that are not included in deforestation mapping programmes. Moreover, we find that surface fires burn additional large areas of standing forest, the destruction of which is normally not documented. Forest impoverishment due to such fires may increase dramatically when severe droughts provoke forest leaf-shedding and greater flammability; our regional water-balance model indicates that an estimated 270,000 km2 of forest become vulnerable to fire in the 1998 dry season. Overall, we find that present estimates of annual deforestation for Brazilian Amazonia capture less than half of the forest area that is impoverished each year, and fire increases forest vulnerability to future burning and release forest carbon stocks to the atmoshphere, potentially doubling net carbon emissions from regional land-use during severe El Nino episodes. If this forest impoverishment is to be controlled, then logging activities need to be restricted or replaced with low-impact timber harvest techniques, and more effective strategies to prevent accidental forest fires need to be implemented.", "author" : [ { "dropping-particle" : "", "family" : "Nepstad", "given" : "Daniel C", "non-dropping-particle" : "", "parse-names" : false, "suffix" : "" }, { "dropping-particle" : "", "family" : "Verissimo", "given" : "Adalberto", "non-dropping-particle" : "", "parse-names" : false, "suffix" : "" }, { "dropping-particle" : "", "family" : "Alencar", "given" : "Ane", "non-dropping-particle" : "", "parse-names" : false, "suffix" : "" }, { "dropping-particle" : "", "family" : "Nobre", "given" : "Carlos", "non-dropping-particle" : "", "parse-names" : false, "suffix" : "" }, { "dropping-particle" : "", "family" : "Lima", "given" : "Eirivelthon", "non-dropping-particle" : "", "parse-names" : false, "suffix" : "" }, { "dropping-particle" : "", "family" : "Lefebvre", "given" : "Paul", "non-dropping-particle" : "", "parse-names" : false, "suffix" : "" }, { "dropping-particle" : "", "family" : "Schlesinger", "given" : "Peter", "non-dropping-particle" : "", "parse-names" : false, "suffix" : "" }, { "dropping-particle" : "", "family" : "Potter", "given" : "Christopher", "non-dropping-particle" : "", "parse-names" : false, "suffix" : "" }, { "dropping-particle" : "", "family" : "Moutinho", "given" : "Paulo", "non-dropping-particle" : "", "parse-names" : false, "suffix" : "" }, { "dropping-particle" : "", "family" : "Mendoza", "given" : "Elsa", "non-dropping-particle" : "", "parse-names" : false, "suffix" : "" }, { "dropping-particle" : "", "family" : "Cochrane", "given" : "Mark", "non-dropping-particle" : "", "parse-names" : false, "suffix" : "" }, { "dropping-particle" : "", "family" : "Brooks", "given" : "Vanessa", "non-dropping-particle" : "", "parse-names" : false, "suffix" : "" } ], "container-title" : "Nature", "id" : "ITEM-2", "issue" : "1997", "issued" : { "date-parts" : [ [ "1999" ] ] }, "page" : "505-508", "title" : "Large-scale impoverishment of Amazonian forests by logging and fire", "type" : "article-journal", "volume" : "398" }, "uris" : [ "http://www.mendeley.com/documents/?uuid=c427347e-4300-402e-a2c4-4a49df403492" ] } ], "mendeley" : { "formattedCitation" : "(Nepstad &lt;i&gt;et al.&lt;/i&gt; 1999; Barlow &amp; Peres 2008)", "plainTextFormattedCitation" : "(Nepstad et al. 1999; Barlow &amp; Peres 2008)", "previouslyFormattedCitation" : "(Nepstad &lt;i&gt;et al.&lt;/i&gt; 1999; Barlow &amp; Peres 2008)" }, "properties" : { "noteIndex" : 0 }, "schema" : "https://github.com/citation-style-language/schema/raw/master/csl-citation.json" }</w:instrText>
      </w:r>
      <w:r w:rsidR="00CB7AA1" w:rsidRPr="004E3A00">
        <w:rPr>
          <w:rFonts w:ascii="Arial" w:eastAsia="Times New Roman" w:hAnsi="Arial" w:cs="Arial"/>
          <w:color w:val="000000"/>
          <w:lang w:eastAsia="en-GB"/>
        </w:rPr>
        <w:fldChar w:fldCharType="separate"/>
      </w:r>
      <w:r w:rsidR="00732C7B" w:rsidRPr="004E3A00">
        <w:rPr>
          <w:rFonts w:ascii="Arial" w:eastAsia="Times New Roman" w:hAnsi="Arial" w:cs="Arial"/>
          <w:noProof/>
          <w:color w:val="000000"/>
          <w:lang w:eastAsia="en-GB"/>
        </w:rPr>
        <w:t xml:space="preserve">(Nepstad </w:t>
      </w:r>
      <w:r w:rsidR="00732C7B" w:rsidRPr="004E3A00">
        <w:rPr>
          <w:rFonts w:ascii="Arial" w:eastAsia="Times New Roman" w:hAnsi="Arial" w:cs="Arial"/>
          <w:i/>
          <w:noProof/>
          <w:color w:val="000000"/>
          <w:lang w:eastAsia="en-GB"/>
        </w:rPr>
        <w:t>et al.</w:t>
      </w:r>
      <w:r w:rsidR="00732C7B" w:rsidRPr="004E3A00">
        <w:rPr>
          <w:rFonts w:ascii="Arial" w:eastAsia="Times New Roman" w:hAnsi="Arial" w:cs="Arial"/>
          <w:noProof/>
          <w:color w:val="000000"/>
          <w:lang w:eastAsia="en-GB"/>
        </w:rPr>
        <w:t xml:space="preserve"> 1999; Barlow &amp; Peres 2008)</w:t>
      </w:r>
      <w:r w:rsidR="00CB7AA1" w:rsidRPr="004E3A00">
        <w:rPr>
          <w:rFonts w:ascii="Arial" w:eastAsia="Times New Roman" w:hAnsi="Arial" w:cs="Arial"/>
          <w:color w:val="000000"/>
          <w:lang w:eastAsia="en-GB"/>
        </w:rPr>
        <w:fldChar w:fldCharType="end"/>
      </w:r>
      <w:r w:rsidR="00780DF1" w:rsidRPr="004E3A00">
        <w:rPr>
          <w:rFonts w:ascii="Arial" w:eastAsia="Times New Roman" w:hAnsi="Arial" w:cs="Arial"/>
          <w:color w:val="000000"/>
          <w:lang w:eastAsia="en-GB"/>
        </w:rPr>
        <w:t>. Similarly,</w:t>
      </w:r>
      <w:r w:rsidR="00741B3C" w:rsidRPr="004E3A00">
        <w:rPr>
          <w:rFonts w:ascii="Arial" w:eastAsia="Times New Roman" w:hAnsi="Arial" w:cs="Arial"/>
          <w:color w:val="000000"/>
          <w:lang w:eastAsia="en-GB"/>
        </w:rPr>
        <w:t xml:space="preserve"> large disturbances </w:t>
      </w:r>
      <w:r w:rsidR="00BE09E1" w:rsidRPr="004E3A00">
        <w:rPr>
          <w:rFonts w:ascii="Arial" w:eastAsia="Times New Roman" w:hAnsi="Arial" w:cs="Arial"/>
          <w:color w:val="000000"/>
          <w:lang w:eastAsia="en-GB"/>
        </w:rPr>
        <w:t xml:space="preserve">in Mediterranean forests </w:t>
      </w:r>
      <w:r w:rsidR="00741B3C" w:rsidRPr="004E3A00">
        <w:rPr>
          <w:rFonts w:ascii="Arial" w:eastAsia="Times New Roman" w:hAnsi="Arial" w:cs="Arial"/>
          <w:color w:val="000000"/>
          <w:lang w:eastAsia="en-GB"/>
        </w:rPr>
        <w:t xml:space="preserve">can lead to reduced seedling recruitment and invasion by grasses and shrubs, which result in increased fire frequency and further suppression of tree cover </w:t>
      </w:r>
      <w:r w:rsidR="00741B3C" w:rsidRPr="004E3A00">
        <w:rPr>
          <w:rFonts w:ascii="Arial" w:hAnsi="Arial" w:cs="Arial"/>
        </w:rPr>
        <w:fldChar w:fldCharType="begin" w:fldLock="1"/>
      </w:r>
      <w:r w:rsidR="00EC6C08" w:rsidRPr="004E3A00">
        <w:rPr>
          <w:rFonts w:ascii="Arial" w:hAnsi="Arial" w:cs="Arial"/>
        </w:rPr>
        <w:instrText>ADDIN CSL_CITATION { "citationItems" : [ { "id" : "ITEM-1", "itemData" : { "DOI" : "10.1007/s10021-007-9089-9", "ISSN" : "1432-9840", "author" : [ { "dropping-particle" : "", "family" : "Ac\u00e1cio", "given" : "Vanda", "non-dropping-particle" : "", "parse-names" : false, "suffix" : "" }, { "dropping-particle" : "", "family" : "Holmgren", "given" : "Milena", "non-dropping-particle" : "", "parse-names" : false, "suffix" : "" }, { "dropping-particle" : "", "family" : "Jansen", "given" : "Patrick A.", "non-dropping-particle" : "", "parse-names" : false, "suffix" : "" }, { "dropping-particle" : "", "family" : "Schrotter", "given" : "Ondrej", "non-dropping-particle" : "", "parse-names" : false, "suffix" : "" } ], "container-title" : "Ecosystems", "id" : "ITEM-1", "issue" : "7", "issued" : { "date-parts" : [ [ "2007", "10", "9" ] ] }, "page" : "1220-1230", "title" : "Multiple Recruitment Limitation Causes Arrested Succession in Mediterranean Cork Oak Systems", "type" : "article-journal", "volume" : "10" }, "uris" : [ "http://www.mendeley.com/documents/?uuid=9c2faf34-ddee-480d-97e1-66109aa85828" ] } ], "mendeley" : { "formattedCitation" : "(Ac\u00e1cio &lt;i&gt;et al.&lt;/i&gt; 2007)", "plainTextFormattedCitation" : "(Ac\u00e1cio et al. 2007)", "previouslyFormattedCitation" : "(Ac\u00e1cio &lt;i&gt;et al.&lt;/i&gt; 2007)" }, "properties" : { "noteIndex" : 0 }, "schema" : "https://github.com/citation-style-language/schema/raw/master/csl-citation.json" }</w:instrText>
      </w:r>
      <w:r w:rsidR="00741B3C" w:rsidRPr="004E3A00">
        <w:rPr>
          <w:rFonts w:ascii="Arial" w:hAnsi="Arial" w:cs="Arial"/>
        </w:rPr>
        <w:fldChar w:fldCharType="separate"/>
      </w:r>
      <w:r w:rsidR="00732C7B" w:rsidRPr="004E3A00">
        <w:rPr>
          <w:rFonts w:ascii="Arial" w:hAnsi="Arial" w:cs="Arial"/>
          <w:noProof/>
        </w:rPr>
        <w:t xml:space="preserve">(Acácio </w:t>
      </w:r>
      <w:r w:rsidR="00732C7B" w:rsidRPr="004E3A00">
        <w:rPr>
          <w:rFonts w:ascii="Arial" w:hAnsi="Arial" w:cs="Arial"/>
          <w:i/>
          <w:noProof/>
        </w:rPr>
        <w:t>et al.</w:t>
      </w:r>
      <w:r w:rsidR="00732C7B" w:rsidRPr="004E3A00">
        <w:rPr>
          <w:rFonts w:ascii="Arial" w:hAnsi="Arial" w:cs="Arial"/>
          <w:noProof/>
        </w:rPr>
        <w:t xml:space="preserve"> 2007)</w:t>
      </w:r>
      <w:r w:rsidR="00741B3C" w:rsidRPr="004E3A00">
        <w:rPr>
          <w:rFonts w:ascii="Arial" w:hAnsi="Arial" w:cs="Arial"/>
        </w:rPr>
        <w:fldChar w:fldCharType="end"/>
      </w:r>
      <w:r w:rsidR="00741B3C" w:rsidRPr="004E3A00">
        <w:rPr>
          <w:rFonts w:ascii="Arial" w:hAnsi="Arial" w:cs="Arial"/>
        </w:rPr>
        <w:t>.</w:t>
      </w:r>
      <w:r>
        <w:rPr>
          <w:rFonts w:ascii="Arial" w:hAnsi="Arial" w:cs="Arial"/>
        </w:rPr>
        <w:t xml:space="preserve"> </w:t>
      </w:r>
      <w:r w:rsidR="002D258C" w:rsidRPr="004E3A00">
        <w:rPr>
          <w:rFonts w:ascii="Arial" w:eastAsia="Times New Roman" w:hAnsi="Arial" w:cs="Arial"/>
          <w:color w:val="000000"/>
          <w:lang w:eastAsia="en-GB"/>
        </w:rPr>
        <w:t>However,</w:t>
      </w:r>
      <w:r w:rsidR="00E177C4" w:rsidRPr="004E3A00">
        <w:rPr>
          <w:rFonts w:ascii="Arial" w:eastAsia="Times New Roman" w:hAnsi="Arial" w:cs="Arial"/>
          <w:color w:val="000000"/>
          <w:lang w:eastAsia="en-GB"/>
        </w:rPr>
        <w:t xml:space="preserve"> dieback is also occurring in temperate </w:t>
      </w:r>
      <w:r>
        <w:rPr>
          <w:rFonts w:ascii="Arial" w:eastAsia="Times New Roman" w:hAnsi="Arial" w:cs="Arial"/>
          <w:color w:val="000000"/>
          <w:lang w:eastAsia="en-GB"/>
        </w:rPr>
        <w:t>forests</w:t>
      </w:r>
      <w:r w:rsidR="00E177C4" w:rsidRPr="004E3A00">
        <w:rPr>
          <w:rFonts w:ascii="Arial" w:eastAsia="Times New Roman" w:hAnsi="Arial" w:cs="Arial"/>
          <w:color w:val="000000"/>
          <w:lang w:eastAsia="en-GB"/>
        </w:rPr>
        <w:t xml:space="preserve"> that do not exhibit </w:t>
      </w:r>
      <w:r w:rsidR="00780DF1" w:rsidRPr="004E3A00">
        <w:rPr>
          <w:rFonts w:ascii="Arial" w:eastAsia="Times New Roman" w:hAnsi="Arial" w:cs="Arial"/>
          <w:color w:val="000000"/>
          <w:lang w:eastAsia="en-GB"/>
        </w:rPr>
        <w:t>feedback mechanisms</w:t>
      </w:r>
      <w:r w:rsidR="00E177C4" w:rsidRPr="004E3A00">
        <w:rPr>
          <w:rFonts w:ascii="Arial" w:eastAsia="Times New Roman" w:hAnsi="Arial" w:cs="Arial"/>
          <w:color w:val="000000"/>
          <w:lang w:eastAsia="en-GB"/>
        </w:rPr>
        <w:t xml:space="preserve"> </w:t>
      </w:r>
      <w:r w:rsidR="00B6284F">
        <w:rPr>
          <w:rFonts w:ascii="Arial" w:eastAsia="Times New Roman" w:hAnsi="Arial" w:cs="Arial"/>
          <w:color w:val="000000"/>
          <w:lang w:eastAsia="en-GB"/>
        </w:rPr>
        <w:t xml:space="preserve">where fire is </w:t>
      </w:r>
      <w:r w:rsidR="00B6284F">
        <w:rPr>
          <w:rFonts w:ascii="Arial" w:eastAsia="Times New Roman" w:hAnsi="Arial" w:cs="Arial"/>
          <w:color w:val="000000"/>
          <w:lang w:eastAsia="en-GB"/>
        </w:rPr>
        <w:lastRenderedPageBreak/>
        <w:t xml:space="preserve">a primary cause of mortality </w:t>
      </w:r>
      <w:r w:rsidR="00E177C4" w:rsidRPr="004E3A00">
        <w:rPr>
          <w:rFonts w:ascii="Arial" w:eastAsia="Times New Roman" w:hAnsi="Arial" w:cs="Arial"/>
          <w:color w:val="000000"/>
          <w:lang w:eastAsia="en-GB"/>
        </w:rPr>
        <w:fldChar w:fldCharType="begin" w:fldLock="1"/>
      </w:r>
      <w:r w:rsidR="00B6284F">
        <w:rPr>
          <w:rFonts w:ascii="Arial" w:eastAsia="Times New Roman" w:hAnsi="Arial" w:cs="Arial"/>
          <w:color w:val="000000"/>
          <w:lang w:eastAsia="en-GB"/>
        </w:rPr>
        <w:instrText>ADDIN CSL_CITATION { "citationItems" : [ { "id" : "ITEM-1", "itemData" : { "DOI" : "10.1016/j.foreco.2015.08.033", "ISSN" : "03781127", "author" : [ { "dropping-particle" : "", "family" : "Martin", "given" : "Philip Anthony", "non-dropping-particle" : "", "parse-names" : false, "suffix" : "" }, { "dropping-particle" : "", "family" : "Newton", "given" : "Adrian Christopher", "non-dropping-particle" : "", "parse-names" : false, "suffix" : "" }, { "dropping-particle" : "", "family" : "Cantarello", "given" : "Elena", "non-dropping-particle" : "", "parse-names" : false, "suffix" : "" }, { "dropping-particle" : "", "family" : "Evans", "given" : "Paul", "non-dropping-particle" : "", "parse-names" : false, "suffix" : "" } ], "container-title" : "Forest Ecology and Management", "id" : "ITEM-1", "issued" : { "date-parts" : [ [ "2015" ] ] }, "page" : "130-138", "publisher" : "Elsevier B.V.", "title" : "Stand dieback and collapse in a temperate forest and its impact on forest structure and biodiversity", "type" : "article-journal", "volume" : "358" }, "uris" : [ "http://www.mendeley.com/documents/?uuid=75d39a02-1354-4c7f-820e-7546ff4862d0" ] } ], "mendeley" : { "formattedCitation" : "(Martin &lt;i&gt;et al.&lt;/i&gt; 2015)", "plainTextFormattedCitation" : "(Martin et al. 2015)", "previouslyFormattedCitation" : "(Martin &lt;i&gt;et al.&lt;/i&gt; 2015)" }, "properties" : { "noteIndex" : 0 }, "schema" : "https://github.com/citation-style-language/schema/raw/master/csl-citation.json" }</w:instrText>
      </w:r>
      <w:r w:rsidR="00E177C4" w:rsidRPr="004E3A00">
        <w:rPr>
          <w:rFonts w:ascii="Arial" w:eastAsia="Times New Roman" w:hAnsi="Arial" w:cs="Arial"/>
          <w:color w:val="000000"/>
          <w:lang w:eastAsia="en-GB"/>
        </w:rPr>
        <w:fldChar w:fldCharType="separate"/>
      </w:r>
      <w:r w:rsidRPr="002324D1">
        <w:rPr>
          <w:rFonts w:ascii="Arial" w:eastAsia="Times New Roman" w:hAnsi="Arial" w:cs="Arial"/>
          <w:noProof/>
          <w:color w:val="000000"/>
          <w:lang w:eastAsia="en-GB"/>
        </w:rPr>
        <w:t xml:space="preserve">(Martin </w:t>
      </w:r>
      <w:r w:rsidRPr="002324D1">
        <w:rPr>
          <w:rFonts w:ascii="Arial" w:eastAsia="Times New Roman" w:hAnsi="Arial" w:cs="Arial"/>
          <w:i/>
          <w:noProof/>
          <w:color w:val="000000"/>
          <w:lang w:eastAsia="en-GB"/>
        </w:rPr>
        <w:t>et al.</w:t>
      </w:r>
      <w:r w:rsidRPr="002324D1">
        <w:rPr>
          <w:rFonts w:ascii="Arial" w:eastAsia="Times New Roman" w:hAnsi="Arial" w:cs="Arial"/>
          <w:noProof/>
          <w:color w:val="000000"/>
          <w:lang w:eastAsia="en-GB"/>
        </w:rPr>
        <w:t xml:space="preserve"> 2015)</w:t>
      </w:r>
      <w:r w:rsidR="00E177C4" w:rsidRPr="004E3A00">
        <w:rPr>
          <w:rFonts w:ascii="Arial" w:eastAsia="Times New Roman" w:hAnsi="Arial" w:cs="Arial"/>
          <w:color w:val="000000"/>
          <w:lang w:eastAsia="en-GB"/>
        </w:rPr>
        <w:fldChar w:fldCharType="end"/>
      </w:r>
      <w:r w:rsidR="00E177C4" w:rsidRPr="004E3A00">
        <w:rPr>
          <w:rFonts w:ascii="Arial" w:eastAsia="Times New Roman" w:hAnsi="Arial" w:cs="Arial"/>
          <w:color w:val="000000"/>
          <w:lang w:eastAsia="en-GB"/>
        </w:rPr>
        <w:t xml:space="preserve">. </w:t>
      </w:r>
      <w:r w:rsidR="00527DD8">
        <w:rPr>
          <w:rFonts w:ascii="Arial" w:eastAsia="Times New Roman" w:hAnsi="Arial" w:cs="Arial"/>
          <w:color w:val="000000"/>
          <w:lang w:eastAsia="en-GB"/>
        </w:rPr>
        <w:t>T</w:t>
      </w:r>
      <w:r w:rsidR="00E177C4" w:rsidRPr="004E3A00">
        <w:rPr>
          <w:rFonts w:ascii="Arial" w:eastAsia="Times New Roman" w:hAnsi="Arial" w:cs="Arial"/>
          <w:color w:val="000000"/>
          <w:lang w:eastAsia="en-GB"/>
        </w:rPr>
        <w:t xml:space="preserve">ree mortality as a result of climate change, pathogens and insect pests is increasing in many temperate forests </w:t>
      </w:r>
      <w:r w:rsidR="00602857" w:rsidRPr="004E3A00">
        <w:rPr>
          <w:rFonts w:ascii="Arial" w:eastAsia="Times New Roman" w:hAnsi="Arial" w:cs="Arial"/>
          <w:color w:val="000000"/>
          <w:lang w:eastAsia="en-GB"/>
        </w:rPr>
        <w:fldChar w:fldCharType="begin" w:fldLock="1"/>
      </w:r>
      <w:r w:rsidR="00EC6C08" w:rsidRPr="004E3A00">
        <w:rPr>
          <w:rFonts w:ascii="Arial" w:eastAsia="Times New Roman" w:hAnsi="Arial" w:cs="Arial"/>
          <w:color w:val="000000"/>
          <w:lang w:eastAsia="en-GB"/>
        </w:rPr>
        <w:instrText>ADDIN CSL_CITATION { "citationItems" : [ { "id" : "ITEM-1", "itemData" : { "DOI" : "10.1038/nclimate2318", "ISBN" : "1758-6798", "ISSN" : "1758-678X", "abstract" : "We present repeated stem measurement data from 20 0.5-ha (100 \u00d7 50 m) permanent rain forest plots in northern Queensland, Australia, from 1971 to 2013. The plots have a rainfall range of 1200 to 3500 mm, represent 11 vegetation types, six parent materials, and range from 15 to 1200 m above sea level. Except for minor disturbances associated with selective logging on two plots, the plots were established in old growth forest and all plots have thereafter been protected. Plots were regularly censused and at each census the diameter at breast height (DBH) of all stems \u226510 cm DBH were recorded. Data is presented for 10 998 individual stems with plot stem densities at establishment ranging from 476 to 1104 stems/ha. Due to the wide geographical range of the plots, no species dominate, although the families Lauraceae, Rutaceae, and Myrtaceae contribute a large number of species. Basal area values at establishment ranged from 28.6 to 63.3 m2/ha and showed no trend of increasing or decreasing over time due mainly to regular disturbance and recovery from natural events such as cyclones. In addition to stems \u226510 cm DBH data, we present height data, floristic data from understory stems (\u226550 cm height to &lt;10 cm DBH), an auxiliary species list (including vines, epiphytes, ferns, grasses, herbs, and other life forms), and a list of voucher specimens lodged in herbaria. The data collected from the 20 plots provides an insight into the floristics, structure, and long-term forest dynamics of Australian tropical rain forests and allows direct comparisons to be made with long-term monitoring plots at a global scale. Read More: http://www.esajournals.org/doi/abs/10.1890/14-0458R.1", "author" : [ { "dropping-particle" : "", "family" : "Seidl", "given" : "Rupert", "non-dropping-particle" : "", "parse-names" : false, "suffix" : "" }, { "dropping-particle" : "", "family" : "Schelhaas", "given" : "Mart-jan", "non-dropping-particle" : "", "parse-names" : false, "suffix" : "" }, { "dropping-particle" : "", "family" : "Rammer", "given" : "Werner", "non-dropping-particle" : "", "parse-names" : false, "suffix" : "" }, { "dropping-particle" : "", "family" : "Verkerk", "given" : "Pieter Johannes", "non-dropping-particle" : "", "parse-names" : false, "suffix" : "" } ], "container-title" : "Nature Climate Change", "id" : "ITEM-1", "issue" : "August", "issued" : { "date-parts" : [ [ "2014" ] ] }, "page" : "1-6", "title" : "Increasing forest disturbances in Europe and their impact on carbon storage", "type" : "article-journal" }, "uris" : [ "http://www.mendeley.com/documents/?uuid=f1579293-1a7d-4e8f-b3ed-61dbd15e6478" ] }, { "id" : "ITEM-2", "itemData" : { "DOI" : "10.1126/science.1165000", "ISBN" : "0036-8075", "ISSN" : "1095-9203", "PMID" : "19164752", "abstract" : "Persistent changes in tree mortality rates can alter forest structure, composition, and ecosystem services such as carbon sequestration. Our analyses of longitudinal data from unmanaged old forests in the western United States showed that background (noncatastrophic) mortality rates have increased rapidly in recent decades, with doubling periods ranging from 17 to 29 years among regions. Increases were also pervasive across elevations, tree sizes, dominant genera, and past fire histories. Forest density and basal area declined slightly, which suggests that increasing mortality was not caused by endogenous increases in competition. Because mortality increased in small trees, the overall increase in mortality rates cannot be attributed solely to aging of large trees. Regional warming and consequent increases in water deficits are likely contributors to the increases in tree mortality rates.", "author" : [ { "dropping-particle" : "", "family" : "Mantgem", "given" : "Phillip J", "non-dropping-particle" : "van", "parse-names" : false, "suffix" : "" }, { "dropping-particle" : "", "family" : "Stephenson", "given" : "Nathan L", "non-dropping-particle" : "", "parse-names" : false, "suffix" : "" }, { "dropping-particle" : "", "family" : "Byrne", "given" : "John C", "non-dropping-particle" : "", "parse-names" : false, "suffix" : "" }, { "dropping-particle" : "", "family" : "Daniels", "given" : "Lori D", "non-dropping-particle" : "", "parse-names" : false, "suffix" : "" }, { "dropping-particle" : "", "family" : "Franklin", "given" : "Jerry F", "non-dropping-particle" : "", "parse-names" : false, "suffix" : "" }, { "dropping-particle" : "", "family" : "Ful\u00e9", "given" : "Peter Z", "non-dropping-particle" : "", "parse-names" : false, "suffix" : "" }, { "dropping-particle" : "", "family" : "Harmon", "given" : "Mark E", "non-dropping-particle" : "", "parse-names" : false, "suffix" : "" }, { "dropping-particle" : "", "family" : "Larson", "given" : "Andrew J", "non-dropping-particle" : "", "parse-names" : false, "suffix" : "" }, { "dropping-particle" : "", "family" : "Smith", "given" : "Jeremy M", "non-dropping-particle" : "", "parse-names" : false, "suffix" : "" }, { "dropping-particle" : "", "family" : "Taylor", "given" : "Alan H", "non-dropping-particle" : "", "parse-names" : false, "suffix" : "" }, { "dropping-particle" : "", "family" : "Veblen", "given" : "Thomas T", "non-dropping-particle" : "", "parse-names" : false, "suffix" : "" } ], "container-title" : "Science (New York, N.Y.)", "id" : "ITEM-2", "issued" : { "date-parts" : [ [ "2009" ] ] }, "page" : "521-524", "title" : "Widespread increase of tree mortality rates in the western United States.", "type" : "article-journal", "volume" : "323" }, "uris" : [ "http://www.mendeley.com/documents/?uuid=15c27db6-6b76-4aeb-9051-176089dca0fb" ] } ], "mendeley" : { "formattedCitation" : "(van Mantgem &lt;i&gt;et al.&lt;/i&gt; 2009; Seidl &lt;i&gt;et al.&lt;/i&gt; 2014)", "plainTextFormattedCitation" : "(van Mantgem et al. 2009; Seidl et al. 2014)", "previouslyFormattedCitation" : "(van Mantgem &lt;i&gt;et al.&lt;/i&gt; 2009; Seidl &lt;i&gt;et al.&lt;/i&gt; 2014)" }, "properties" : { "noteIndex" : 0 }, "schema" : "https://github.com/citation-style-language/schema/raw/master/csl-citation.json" }</w:instrText>
      </w:r>
      <w:r w:rsidR="00602857" w:rsidRPr="004E3A00">
        <w:rPr>
          <w:rFonts w:ascii="Arial" w:eastAsia="Times New Roman" w:hAnsi="Arial" w:cs="Arial"/>
          <w:color w:val="000000"/>
          <w:lang w:eastAsia="en-GB"/>
        </w:rPr>
        <w:fldChar w:fldCharType="separate"/>
      </w:r>
      <w:r w:rsidR="00732C7B" w:rsidRPr="004E3A00">
        <w:rPr>
          <w:rFonts w:ascii="Arial" w:eastAsia="Times New Roman" w:hAnsi="Arial" w:cs="Arial"/>
          <w:noProof/>
          <w:color w:val="000000"/>
          <w:lang w:eastAsia="en-GB"/>
        </w:rPr>
        <w:t xml:space="preserve">(van Mantgem </w:t>
      </w:r>
      <w:r w:rsidR="00732C7B" w:rsidRPr="004E3A00">
        <w:rPr>
          <w:rFonts w:ascii="Arial" w:eastAsia="Times New Roman" w:hAnsi="Arial" w:cs="Arial"/>
          <w:i/>
          <w:noProof/>
          <w:color w:val="000000"/>
          <w:lang w:eastAsia="en-GB"/>
        </w:rPr>
        <w:t>et al.</w:t>
      </w:r>
      <w:r w:rsidR="00732C7B" w:rsidRPr="004E3A00">
        <w:rPr>
          <w:rFonts w:ascii="Arial" w:eastAsia="Times New Roman" w:hAnsi="Arial" w:cs="Arial"/>
          <w:noProof/>
          <w:color w:val="000000"/>
          <w:lang w:eastAsia="en-GB"/>
        </w:rPr>
        <w:t xml:space="preserve"> 2009; Seidl </w:t>
      </w:r>
      <w:r w:rsidR="00732C7B" w:rsidRPr="004E3A00">
        <w:rPr>
          <w:rFonts w:ascii="Arial" w:eastAsia="Times New Roman" w:hAnsi="Arial" w:cs="Arial"/>
          <w:i/>
          <w:noProof/>
          <w:color w:val="000000"/>
          <w:lang w:eastAsia="en-GB"/>
        </w:rPr>
        <w:t>et al.</w:t>
      </w:r>
      <w:r w:rsidR="00732C7B" w:rsidRPr="004E3A00">
        <w:rPr>
          <w:rFonts w:ascii="Arial" w:eastAsia="Times New Roman" w:hAnsi="Arial" w:cs="Arial"/>
          <w:noProof/>
          <w:color w:val="000000"/>
          <w:lang w:eastAsia="en-GB"/>
        </w:rPr>
        <w:t xml:space="preserve"> 2014)</w:t>
      </w:r>
      <w:r w:rsidR="00602857" w:rsidRPr="004E3A00">
        <w:rPr>
          <w:rFonts w:ascii="Arial" w:eastAsia="Times New Roman" w:hAnsi="Arial" w:cs="Arial"/>
          <w:color w:val="000000"/>
          <w:lang w:eastAsia="en-GB"/>
        </w:rPr>
        <w:fldChar w:fldCharType="end"/>
      </w:r>
      <w:r w:rsidR="00602857" w:rsidRPr="004E3A00">
        <w:rPr>
          <w:rFonts w:ascii="Arial" w:eastAsia="Times New Roman" w:hAnsi="Arial" w:cs="Arial"/>
          <w:color w:val="000000"/>
          <w:lang w:eastAsia="en-GB"/>
        </w:rPr>
        <w:t xml:space="preserve"> </w:t>
      </w:r>
      <w:r w:rsidR="00527DD8">
        <w:rPr>
          <w:rFonts w:ascii="Arial" w:eastAsia="Times New Roman" w:hAnsi="Arial" w:cs="Arial"/>
          <w:color w:val="000000"/>
          <w:lang w:eastAsia="en-GB"/>
        </w:rPr>
        <w:t xml:space="preserve">and so </w:t>
      </w:r>
      <w:r w:rsidR="00BE1DE1">
        <w:rPr>
          <w:rFonts w:ascii="Arial" w:eastAsia="Times New Roman" w:hAnsi="Arial" w:cs="Arial"/>
          <w:color w:val="000000"/>
          <w:lang w:eastAsia="en-GB"/>
        </w:rPr>
        <w:t>identification</w:t>
      </w:r>
      <w:r w:rsidR="00E177C4" w:rsidRPr="004E3A00">
        <w:rPr>
          <w:rFonts w:ascii="Arial" w:eastAsia="Times New Roman" w:hAnsi="Arial" w:cs="Arial"/>
          <w:color w:val="000000"/>
          <w:lang w:eastAsia="en-GB"/>
        </w:rPr>
        <w:t xml:space="preserve"> of </w:t>
      </w:r>
      <w:r w:rsidR="00BE1DE1">
        <w:rPr>
          <w:rFonts w:ascii="Arial" w:eastAsia="Times New Roman" w:hAnsi="Arial" w:cs="Arial"/>
          <w:color w:val="000000"/>
          <w:lang w:eastAsia="en-GB"/>
        </w:rPr>
        <w:t xml:space="preserve">potential </w:t>
      </w:r>
      <w:r w:rsidR="00E177C4" w:rsidRPr="004E3A00">
        <w:rPr>
          <w:rFonts w:ascii="Arial" w:eastAsia="Times New Roman" w:hAnsi="Arial" w:cs="Arial"/>
          <w:color w:val="000000"/>
          <w:lang w:eastAsia="en-GB"/>
        </w:rPr>
        <w:t xml:space="preserve">feedbacks that may drive these systems into non-forest states </w:t>
      </w:r>
      <w:r w:rsidR="00527DD8">
        <w:rPr>
          <w:rFonts w:ascii="Arial" w:eastAsia="Times New Roman" w:hAnsi="Arial" w:cs="Arial"/>
          <w:color w:val="000000"/>
          <w:lang w:eastAsia="en-GB"/>
        </w:rPr>
        <w:t xml:space="preserve">is critical to inform </w:t>
      </w:r>
      <w:r w:rsidR="00B6284F">
        <w:rPr>
          <w:rFonts w:ascii="Arial" w:eastAsia="Times New Roman" w:hAnsi="Arial" w:cs="Arial"/>
          <w:color w:val="000000"/>
          <w:lang w:eastAsia="en-GB"/>
        </w:rPr>
        <w:t xml:space="preserve">future </w:t>
      </w:r>
      <w:r w:rsidR="00527DD8">
        <w:rPr>
          <w:rFonts w:ascii="Arial" w:eastAsia="Times New Roman" w:hAnsi="Arial" w:cs="Arial"/>
          <w:color w:val="000000"/>
          <w:lang w:eastAsia="en-GB"/>
        </w:rPr>
        <w:t>management decisions.</w:t>
      </w:r>
    </w:p>
    <w:p w:rsidR="00602857" w:rsidRPr="004E3A00" w:rsidRDefault="00E177C4" w:rsidP="00527DD8">
      <w:pPr>
        <w:spacing w:after="0" w:line="360" w:lineRule="auto"/>
        <w:ind w:firstLine="720"/>
        <w:contextualSpacing/>
        <w:textAlignment w:val="baseline"/>
        <w:rPr>
          <w:rFonts w:ascii="Arial" w:hAnsi="Arial" w:cs="Arial"/>
        </w:rPr>
      </w:pPr>
      <w:r w:rsidRPr="004E3A00">
        <w:rPr>
          <w:rFonts w:ascii="Arial" w:hAnsi="Arial" w:cs="Arial"/>
        </w:rPr>
        <w:t xml:space="preserve">Here we use a </w:t>
      </w:r>
      <w:r w:rsidR="00B6284F">
        <w:rPr>
          <w:rFonts w:ascii="Arial" w:hAnsi="Arial" w:cs="Arial"/>
        </w:rPr>
        <w:t xml:space="preserve">unique </w:t>
      </w:r>
      <w:r w:rsidRPr="004E3A00">
        <w:rPr>
          <w:rFonts w:ascii="Arial" w:hAnsi="Arial" w:cs="Arial"/>
        </w:rPr>
        <w:t xml:space="preserve">long-term data set, collected </w:t>
      </w:r>
      <w:r w:rsidR="00B6284F">
        <w:rPr>
          <w:rFonts w:ascii="Arial" w:hAnsi="Arial" w:cs="Arial"/>
        </w:rPr>
        <w:t xml:space="preserve">over 50 years </w:t>
      </w:r>
      <w:r w:rsidR="00B6284F" w:rsidRPr="004E3A00">
        <w:rPr>
          <w:rFonts w:ascii="Arial" w:hAnsi="Arial" w:cs="Arial"/>
        </w:rPr>
        <w:fldChar w:fldCharType="begin" w:fldLock="1"/>
      </w:r>
      <w:r w:rsidR="00B6284F">
        <w:rPr>
          <w:rFonts w:ascii="Arial" w:hAnsi="Arial" w:cs="Arial"/>
        </w:rPr>
        <w:instrText>ADDIN CSL_CITATION { "citationItems" : [ { "id" : "ITEM-1", "itemData" : { "DOI" : "10.1078/1433-8319-00072", "ISSN" : "14338319", "abstract" : "Long-term changes in stand composition and structure were recorded in Denny Wood (New Forest, UK) by means of a permanent transect covering 2 ha. Denny is an ancient, mixed deciduous wood-pasture dominated by beech (Fagus sylvatica), pedunculate oak (Quercus robur) and holly (Ilex aquifolium) whose canopy trees ranged in age from approximately 70 years to over 300 years when the study began in 1956. Individual trees, shrubs and saplings were mapped and measured at irregular intervals until 1996. During the 40 years of observations, storms and drought disrupted the stand. Considerable volumes of dead wood accumulated, and canopy gaps extended to 30% of the transect area. Small trees and saplings were severely damaged by ponies and grey squirrels. Regeneration ceased after 1964, due principally to heavy grazing and browsing by deer and ponies. Despite the disturbances, most mortality was due to competitive exclusion within well-stocked parts of the stand. Historical records from the 17th century onwards demonstrate a long-term change from oak dominance with groups of beech before 1800 to beech dominance in the late 20th century. The stand through which the transect now runs was enclosed in 1870, and this allowed beech to regenerate abundantly, but in the nearby unenclosed part of Denny Wood holly regenerated more abundantly than beech. The patterns of growth, mortality and regeneration are compared with natural temperate deciduous woodland. The long-term relationship between beech and oak is likely to involve periodic oak regeneration after major disturbances, interspersed with steady increases in the proportion of beech. The implications for managing and monitoring the \u201cAncient and Ornamental Woods\u201d of the New Forest are considered.", "author" : [ { "dropping-particle" : "", "family" : "Mountford", "given" : "Ed P.", "non-dropping-particle" : "", "parse-names" : false, "suffix" : "" }, { "dropping-particle" : "", "family" : "Peterken", "given" : "George F.", "non-dropping-particle" : "", "parse-names" : false, "suffix" : "" }, { "dropping-particle" : "", "family" : "Edwards", "given" : "Peter J.", "non-dropping-particle" : "", "parse-names" : false, "suffix" : "" }, { "dropping-particle" : "", "family" : "Manners", "given" : "John G.", "non-dropping-particle" : "", "parse-names" : false, "suffix" : "" } ], "container-title" : "Perspectives in Plant Ecology, Evolution and Systematics", "id" : "ITEM-1", "issue" : "2", "issued" : { "date-parts" : [ [ "1999", "1" ] ] }, "page" : "223-272", "title" : "Long-term change in growth, mortality and regeneration of trees in Denny Wood, an old-growth wood-pasture in the New Forest (UK)", "type" : "article-journal", "volume" : "2" }, "uris" : [ "http://www.mendeley.com/documents/?uuid=4c9e6a12-6408-465a-ace9-c07370cbacee" ] }, { "id" : "ITEM-2", "itemData" : { "DOI" : "10.1093/forestry/76.1.19", "ISSN" : "0015-752X", "abstract" : "Long-term changes in Denny Wood, an ancient wood-pasture in the New Forest, were recorded on two permanent transects. One was located in an unenclosed part of the wood, which remained open to all large herbivores (ponies, deer, cattle). The other was in an enclosed part, which was fenced against livestock (but not deer) from 1870 to [~]1960, after which ponies regained access. Records of trees, shrubs, seedlings and vascular ground vegetation within the transects were made mainly during 1959-1964 and 1996-2001. The unenclosed transect changed greatly. In 1959 it comprised closed beech-oak Fagus sylvatica-Quercus robur forest with abundant holly Ilex aquifolium understorey and small patches of Agrostis lawn or Pteridium aquilinum grazed by moderate numbers of large herbivores. Forty years later this had become an open oak-beech parkland with little understorey. Species-rich lawns and stands of Pteridium had spread extensively, and large herbivores had become far more numerous. Oak survived much better than beech: the larger beech suffered particularly from drought in 1976 and the medium beech from debarking by grey squirrels Sciurus carolinensis. Many beech were cut and removed in a safety/salvage operation in 1981. Holly was reduced mainly by browsing and debarking by ponies and deer. Tree and shrub seedlings became more abundant, but browsing effectively prevented regeneration. The enclosed transect also comprised closed beech-oak-holly forest in 1959. However, the stand was denser and the ground vegetation was more heavily shaded, species-poor and sparser than on the unenclosed transect. Substantial gaps were created during the next 40 years due mainly to the loss of large beech and oak after drought in 1976 and later storms. Rank, species-poor grassland and stands of Pteridium developed mainly below gaps, but many parts remained as closed high forest with little ground vegetation. No dead trees were removed and dead wood volumes remained consistently high. Holly was much reduced, principally due to browsing and debarking by deer and ponies. Grazing almost completely prevented tree regeneration. The implications for grazing of wood-pastures are discussed. Prolonged exclusion of livestock with reduced deer numbers allowed abundant regeneration of trees with holly, but the ensuing dense, closed stand had an impoverished ground flora. Moderate numbers of livestock (both ponies and cattle) and deer kept some grassy glades, but allowed holly to spread. Hig\u2026", "author" : [ { "dropping-particle" : "", "family" : "Mountford", "given" : "E. P.", "non-dropping-particle" : "", "parse-names" : false, "suffix" : "" }, { "dropping-particle" : "", "family" : "Peterken", "given" : "George F.", "non-dropping-particle" : "", "parse-names" : false, "suffix" : "" } ], "container-title" : "Forestry", "id" : "ITEM-2", "issue" : "1", "issued" : { "date-parts" : [ [ "2003", "1", "1" ] ] }, "page" : "19-43", "title" : "Long-term change and implications for the management of wood-pastures: experience over 40 years from Denny Wood, New Forest", "type" : "article-journal", "volume" : "76" }, "uris" : [ "http://www.mendeley.com/documents/?uuid=39eeadf5-9032-45e9-b85b-9e25d6b96576" ] }, { "id" : "ITEM-3", "itemData" : { "DOI" : "10.1016/j.foreco.2015.08.033", "ISSN" : "03781127", "author" : [ { "dropping-particle" : "", "family" : "Martin", "given" : "Philip Anthony", "non-dropping-particle" : "", "parse-names" : false, "suffix" : "" }, { "dropping-particle" : "", "family" : "Newton", "given" : "Adrian Christopher", "non-dropping-particle" : "", "parse-names" : false, "suffix" : "" }, { "dropping-particle" : "", "family" : "Cantarello", "given" : "Elena", "non-dropping-particle" : "", "parse-names" : false, "suffix" : "" }, { "dropping-particle" : "", "family" : "Evans", "given" : "Paul", "non-dropping-particle" : "", "parse-names" : false, "suffix" : "" } ], "container-title" : "Forest Ecology and Management", "id" : "ITEM-3", "issued" : { "date-parts" : [ [ "2015" ] ] }, "page" : "130-138", "publisher" : "Elsevier B.V.", "title" : "Stand dieback and collapse in a temperate forest and its impact on forest structure and biodiversity", "type" : "article-journal", "volume" : "358" }, "uris" : [ "http://www.mendeley.com/documents/?uuid=75d39a02-1354-4c7f-820e-7546ff4862d0" ] } ], "mendeley" : { "formattedCitation" : "(Mountford &lt;i&gt;et al.&lt;/i&gt; 1999; Mountford &amp; Peterken 2003; Martin &lt;i&gt;et al.&lt;/i&gt; 2015)", "plainTextFormattedCitation" : "(Mountford et al. 1999; Mountford &amp; Peterken 2003; Martin et al. 2015)", "previouslyFormattedCitation" : "(Mountford &lt;i&gt;et al.&lt;/i&gt; 1999; Mountford &amp; Peterken 2003; Martin &lt;i&gt;et al.&lt;/i&gt; 2015)" }, "properties" : { "noteIndex" : 0 }, "schema" : "https://github.com/citation-style-language/schema/raw/master/csl-citation.json" }</w:instrText>
      </w:r>
      <w:r w:rsidR="00B6284F" w:rsidRPr="004E3A00">
        <w:rPr>
          <w:rFonts w:ascii="Arial" w:hAnsi="Arial" w:cs="Arial"/>
        </w:rPr>
        <w:fldChar w:fldCharType="separate"/>
      </w:r>
      <w:r w:rsidR="00B6284F" w:rsidRPr="002324D1">
        <w:rPr>
          <w:rFonts w:ascii="Arial" w:hAnsi="Arial" w:cs="Arial"/>
          <w:noProof/>
        </w:rPr>
        <w:t xml:space="preserve">(Mountford </w:t>
      </w:r>
      <w:r w:rsidR="00B6284F" w:rsidRPr="002324D1">
        <w:rPr>
          <w:rFonts w:ascii="Arial" w:hAnsi="Arial" w:cs="Arial"/>
          <w:i/>
          <w:noProof/>
        </w:rPr>
        <w:t>et al.</w:t>
      </w:r>
      <w:r w:rsidR="00B6284F" w:rsidRPr="002324D1">
        <w:rPr>
          <w:rFonts w:ascii="Arial" w:hAnsi="Arial" w:cs="Arial"/>
          <w:noProof/>
        </w:rPr>
        <w:t xml:space="preserve"> 1999; Mountford &amp; Peterken 2003; Martin </w:t>
      </w:r>
      <w:r w:rsidR="00B6284F" w:rsidRPr="002324D1">
        <w:rPr>
          <w:rFonts w:ascii="Arial" w:hAnsi="Arial" w:cs="Arial"/>
          <w:i/>
          <w:noProof/>
        </w:rPr>
        <w:t>et al.</w:t>
      </w:r>
      <w:r w:rsidR="00B6284F" w:rsidRPr="002324D1">
        <w:rPr>
          <w:rFonts w:ascii="Arial" w:hAnsi="Arial" w:cs="Arial"/>
          <w:noProof/>
        </w:rPr>
        <w:t xml:space="preserve"> 2015)</w:t>
      </w:r>
      <w:r w:rsidR="00B6284F" w:rsidRPr="004E3A00">
        <w:rPr>
          <w:rFonts w:ascii="Arial" w:hAnsi="Arial" w:cs="Arial"/>
        </w:rPr>
        <w:fldChar w:fldCharType="end"/>
      </w:r>
      <w:r w:rsidR="00B6284F">
        <w:rPr>
          <w:rFonts w:ascii="Arial" w:hAnsi="Arial" w:cs="Arial"/>
        </w:rPr>
        <w:t xml:space="preserve"> </w:t>
      </w:r>
      <w:r w:rsidRPr="004E3A00">
        <w:rPr>
          <w:rFonts w:ascii="Arial" w:hAnsi="Arial" w:cs="Arial"/>
        </w:rPr>
        <w:t xml:space="preserve">in a temperate forest ecosystem </w:t>
      </w:r>
      <w:r w:rsidR="00B6284F">
        <w:rPr>
          <w:rFonts w:ascii="Arial" w:hAnsi="Arial" w:cs="Arial"/>
        </w:rPr>
        <w:t xml:space="preserve">in southern England </w:t>
      </w:r>
      <w:r w:rsidRPr="004E3A00">
        <w:rPr>
          <w:rFonts w:ascii="Arial" w:hAnsi="Arial" w:cs="Arial"/>
        </w:rPr>
        <w:t xml:space="preserve">that has undergone partial stand dieback in recent decades. </w:t>
      </w:r>
      <w:r w:rsidR="00602857" w:rsidRPr="004E3A00">
        <w:rPr>
          <w:rFonts w:ascii="Arial" w:hAnsi="Arial" w:cs="Arial"/>
        </w:rPr>
        <w:t xml:space="preserve">Using statistical models we investigate correlates of tree mortality and recruitment, both of which include potential feedback mechanisms. We then use results from these models and information from the </w:t>
      </w:r>
      <w:r w:rsidR="00B6284F">
        <w:rPr>
          <w:rFonts w:ascii="Arial" w:hAnsi="Arial" w:cs="Arial"/>
        </w:rPr>
        <w:t xml:space="preserve">scientific </w:t>
      </w:r>
      <w:r w:rsidR="00602857" w:rsidRPr="004E3A00">
        <w:rPr>
          <w:rFonts w:ascii="Arial" w:hAnsi="Arial" w:cs="Arial"/>
        </w:rPr>
        <w:t>literature to produce an individual based model to test the effects of identified feedbacks on forest structure. Specifically, our aims are:</w:t>
      </w:r>
    </w:p>
    <w:p w:rsidR="00602857" w:rsidRPr="004E3A00" w:rsidRDefault="00602857" w:rsidP="00F11B0B">
      <w:pPr>
        <w:pStyle w:val="ListParagraph"/>
        <w:numPr>
          <w:ilvl w:val="0"/>
          <w:numId w:val="12"/>
        </w:numPr>
        <w:spacing w:after="0" w:line="360" w:lineRule="auto"/>
        <w:rPr>
          <w:rFonts w:ascii="Arial" w:hAnsi="Arial" w:cs="Arial"/>
        </w:rPr>
      </w:pPr>
      <w:r w:rsidRPr="004E3A00">
        <w:rPr>
          <w:rFonts w:ascii="Arial" w:hAnsi="Arial" w:cs="Arial"/>
        </w:rPr>
        <w:t>To test the factors that influenced seedling and sapling density</w:t>
      </w:r>
    </w:p>
    <w:p w:rsidR="00602857" w:rsidRPr="004E3A00" w:rsidRDefault="00602857" w:rsidP="00F11B0B">
      <w:pPr>
        <w:pStyle w:val="ListParagraph"/>
        <w:numPr>
          <w:ilvl w:val="0"/>
          <w:numId w:val="12"/>
        </w:numPr>
        <w:spacing w:after="0" w:line="360" w:lineRule="auto"/>
        <w:rPr>
          <w:rFonts w:ascii="Arial" w:hAnsi="Arial" w:cs="Arial"/>
        </w:rPr>
      </w:pPr>
      <w:r w:rsidRPr="004E3A00">
        <w:rPr>
          <w:rFonts w:ascii="Arial" w:hAnsi="Arial" w:cs="Arial"/>
        </w:rPr>
        <w:t>To test the influence of tree size, growth rate, proximity of dead trees and soil characteristics on mature tree mortality</w:t>
      </w:r>
    </w:p>
    <w:p w:rsidR="00E177C4" w:rsidRPr="004E3A00" w:rsidRDefault="00602857" w:rsidP="00F11B0B">
      <w:pPr>
        <w:pStyle w:val="ListParagraph"/>
        <w:numPr>
          <w:ilvl w:val="0"/>
          <w:numId w:val="12"/>
        </w:numPr>
        <w:spacing w:after="0" w:line="360" w:lineRule="auto"/>
        <w:rPr>
          <w:rFonts w:ascii="Arial" w:hAnsi="Arial" w:cs="Arial"/>
        </w:rPr>
      </w:pPr>
      <w:r w:rsidRPr="004E3A00">
        <w:rPr>
          <w:rFonts w:ascii="Arial" w:hAnsi="Arial" w:cs="Arial"/>
        </w:rPr>
        <w:t>Test the influ</w:t>
      </w:r>
      <w:r w:rsidR="006D6CD3" w:rsidRPr="004E3A00">
        <w:rPr>
          <w:rFonts w:ascii="Arial" w:hAnsi="Arial" w:cs="Arial"/>
        </w:rPr>
        <w:t>ence of feedbacks identified in statistical mod</w:t>
      </w:r>
      <w:r w:rsidR="002D258C" w:rsidRPr="004E3A00">
        <w:rPr>
          <w:rFonts w:ascii="Arial" w:hAnsi="Arial" w:cs="Arial"/>
        </w:rPr>
        <w:t xml:space="preserve">els on forest structure using </w:t>
      </w:r>
      <w:r w:rsidR="006D6CD3" w:rsidRPr="004E3A00">
        <w:rPr>
          <w:rFonts w:ascii="Arial" w:hAnsi="Arial" w:cs="Arial"/>
        </w:rPr>
        <w:t>an individual based model</w:t>
      </w:r>
    </w:p>
    <w:p w:rsidR="00602857" w:rsidRPr="004E3A00" w:rsidRDefault="00602857" w:rsidP="00F11B0B">
      <w:pPr>
        <w:spacing w:before="40" w:after="140" w:line="360" w:lineRule="auto"/>
        <w:contextualSpacing/>
        <w:rPr>
          <w:rFonts w:ascii="Arial" w:eastAsia="Times New Roman" w:hAnsi="Arial" w:cs="Arial"/>
          <w:b/>
          <w:bCs/>
          <w:color w:val="000000"/>
          <w:lang w:eastAsia="en-GB"/>
        </w:rPr>
      </w:pPr>
    </w:p>
    <w:p w:rsidR="00C9060F" w:rsidRPr="004E3A00" w:rsidRDefault="00C9060F" w:rsidP="00F11B0B">
      <w:pPr>
        <w:spacing w:before="40" w:after="140" w:line="360" w:lineRule="auto"/>
        <w:contextualSpacing/>
        <w:rPr>
          <w:rFonts w:ascii="Times New Roman" w:eastAsia="Times New Roman" w:hAnsi="Times New Roman" w:cs="Times New Roman"/>
          <w:sz w:val="24"/>
          <w:szCs w:val="24"/>
          <w:lang w:eastAsia="en-GB"/>
        </w:rPr>
      </w:pPr>
      <w:r w:rsidRPr="004E3A00">
        <w:rPr>
          <w:rFonts w:ascii="Arial" w:eastAsia="Times New Roman" w:hAnsi="Arial" w:cs="Arial"/>
          <w:b/>
          <w:bCs/>
          <w:color w:val="000000"/>
          <w:lang w:eastAsia="en-GB"/>
        </w:rPr>
        <w:t xml:space="preserve">Methods </w:t>
      </w:r>
      <w:r w:rsidR="0056725C" w:rsidRPr="004E3A00">
        <w:rPr>
          <w:rFonts w:ascii="Arial" w:eastAsia="Times New Roman" w:hAnsi="Arial" w:cs="Arial"/>
          <w:b/>
          <w:bCs/>
          <w:color w:val="000000"/>
          <w:lang w:eastAsia="en-GB"/>
        </w:rPr>
        <w:t>(aim for 15</w:t>
      </w:r>
      <w:r w:rsidRPr="004E3A00">
        <w:rPr>
          <w:rFonts w:ascii="Arial" w:eastAsia="Times New Roman" w:hAnsi="Arial" w:cs="Arial"/>
          <w:b/>
          <w:bCs/>
          <w:color w:val="000000"/>
          <w:lang w:eastAsia="en-GB"/>
        </w:rPr>
        <w:t>00 words</w:t>
      </w:r>
      <w:r w:rsidR="0056725C" w:rsidRPr="004E3A00">
        <w:rPr>
          <w:rFonts w:ascii="Arial" w:eastAsia="Times New Roman" w:hAnsi="Arial" w:cs="Arial"/>
          <w:b/>
          <w:bCs/>
          <w:color w:val="000000"/>
          <w:lang w:eastAsia="en-GB"/>
        </w:rPr>
        <w:t>, currently 2120</w:t>
      </w:r>
      <w:r w:rsidRPr="004E3A00">
        <w:rPr>
          <w:rFonts w:ascii="Arial" w:eastAsia="Times New Roman" w:hAnsi="Arial" w:cs="Arial"/>
          <w:b/>
          <w:bCs/>
          <w:color w:val="000000"/>
          <w:lang w:eastAsia="en-GB"/>
        </w:rPr>
        <w:t>)</w:t>
      </w:r>
    </w:p>
    <w:p w:rsidR="0056725C" w:rsidRPr="004E3A00" w:rsidRDefault="0056725C" w:rsidP="00F11B0B">
      <w:pPr>
        <w:spacing w:before="40" w:after="140" w:line="360" w:lineRule="auto"/>
        <w:contextualSpacing/>
        <w:textAlignment w:val="baseline"/>
        <w:rPr>
          <w:rFonts w:ascii="Arial" w:eastAsia="Times New Roman" w:hAnsi="Arial" w:cs="Arial"/>
          <w:color w:val="000000"/>
          <w:lang w:eastAsia="en-GB"/>
        </w:rPr>
      </w:pPr>
    </w:p>
    <w:p w:rsidR="00F11B0B" w:rsidRPr="004E3A00" w:rsidRDefault="00F11B0B" w:rsidP="00F11B0B">
      <w:pPr>
        <w:spacing w:before="40" w:after="140" w:line="360" w:lineRule="auto"/>
        <w:contextualSpacing/>
        <w:textAlignment w:val="baseline"/>
        <w:rPr>
          <w:rFonts w:ascii="Arial" w:eastAsia="Times New Roman" w:hAnsi="Arial" w:cs="Arial"/>
          <w:b/>
          <w:color w:val="000000"/>
          <w:lang w:eastAsia="en-GB"/>
        </w:rPr>
      </w:pPr>
      <w:r w:rsidRPr="004E3A00">
        <w:rPr>
          <w:rFonts w:ascii="Arial" w:eastAsia="Times New Roman" w:hAnsi="Arial" w:cs="Arial"/>
          <w:b/>
          <w:color w:val="000000"/>
          <w:lang w:eastAsia="en-GB"/>
        </w:rPr>
        <w:t>Site description</w:t>
      </w:r>
    </w:p>
    <w:p w:rsidR="00F11B0B" w:rsidRPr="004E3A00" w:rsidRDefault="00C9060F" w:rsidP="00F11B0B">
      <w:pPr>
        <w:spacing w:before="40" w:after="140" w:line="360" w:lineRule="auto"/>
        <w:ind w:firstLine="720"/>
        <w:contextualSpacing/>
        <w:rPr>
          <w:rFonts w:ascii="Arial" w:eastAsia="Times New Roman" w:hAnsi="Arial" w:cs="Arial"/>
          <w:color w:val="000000"/>
          <w:lang w:eastAsia="en-GB"/>
        </w:rPr>
      </w:pPr>
      <w:r w:rsidRPr="004E3A00">
        <w:rPr>
          <w:rFonts w:ascii="Arial" w:eastAsia="Times New Roman" w:hAnsi="Arial" w:cs="Arial"/>
          <w:color w:val="000000"/>
          <w:lang w:eastAsia="en-GB"/>
        </w:rPr>
        <w:t>For this study we used data collected over a 50 year period in Denny Wood, which is located in the New Forest National Park, in Southern England (</w:t>
      </w:r>
      <w:proofErr w:type="spellStart"/>
      <w:r w:rsidRPr="004E3A00">
        <w:rPr>
          <w:rFonts w:ascii="Arial" w:eastAsia="Times New Roman" w:hAnsi="Arial" w:cs="Arial"/>
          <w:color w:val="000000"/>
          <w:lang w:eastAsia="en-GB"/>
        </w:rPr>
        <w:t>Lat</w:t>
      </w:r>
      <w:proofErr w:type="spellEnd"/>
      <w:r w:rsidRPr="004E3A00">
        <w:rPr>
          <w:rFonts w:ascii="Arial" w:eastAsia="Times New Roman" w:hAnsi="Arial" w:cs="Arial"/>
          <w:color w:val="000000"/>
          <w:lang w:eastAsia="en-GB"/>
        </w:rPr>
        <w:t>: 50</w:t>
      </w:r>
      <w:r w:rsidRPr="004E3A00">
        <w:rPr>
          <w:rFonts w:ascii="Arial" w:eastAsia="Times New Roman" w:hAnsi="Arial" w:cs="Arial"/>
          <w:color w:val="000000"/>
          <w:sz w:val="13"/>
          <w:szCs w:val="13"/>
          <w:vertAlign w:val="superscript"/>
          <w:lang w:eastAsia="en-GB"/>
        </w:rPr>
        <w:t>o</w:t>
      </w:r>
      <w:r w:rsidRPr="004E3A00">
        <w:rPr>
          <w:rFonts w:ascii="Arial" w:eastAsia="Times New Roman" w:hAnsi="Arial" w:cs="Arial"/>
          <w:color w:val="000000"/>
          <w:lang w:eastAsia="en-GB"/>
        </w:rPr>
        <w:t xml:space="preserve"> 51.5’ N and 1</w:t>
      </w:r>
      <w:r w:rsidRPr="004E3A00">
        <w:rPr>
          <w:rFonts w:ascii="Arial" w:eastAsia="Times New Roman" w:hAnsi="Arial" w:cs="Arial"/>
          <w:color w:val="000000"/>
          <w:sz w:val="13"/>
          <w:szCs w:val="13"/>
          <w:vertAlign w:val="superscript"/>
          <w:lang w:eastAsia="en-GB"/>
        </w:rPr>
        <w:t>o</w:t>
      </w:r>
      <w:r w:rsidRPr="004E3A00">
        <w:rPr>
          <w:rFonts w:ascii="Arial" w:eastAsia="Times New Roman" w:hAnsi="Arial" w:cs="Arial"/>
          <w:color w:val="000000"/>
          <w:lang w:eastAsia="en-GB"/>
        </w:rPr>
        <w:t xml:space="preserve"> 32.5’ W). The site is gently sloping (1-3</w:t>
      </w:r>
      <w:r w:rsidR="00B6284F">
        <w:rPr>
          <w:rFonts w:ascii="Arial" w:eastAsia="Times New Roman" w:hAnsi="Arial" w:cs="Arial"/>
          <w:color w:val="000000"/>
          <w:lang w:eastAsia="en-GB"/>
        </w:rPr>
        <w:t>°</w:t>
      </w:r>
      <w:r w:rsidRPr="004E3A00">
        <w:rPr>
          <w:rFonts w:ascii="Arial" w:eastAsia="Times New Roman" w:hAnsi="Arial" w:cs="Arial"/>
          <w:color w:val="000000"/>
          <w:lang w:eastAsia="en-GB"/>
        </w:rPr>
        <w:t>), with clay rich brown earth soils. Woodland vegetation is dominated by old-growth beech (</w:t>
      </w:r>
      <w:proofErr w:type="spellStart"/>
      <w:r w:rsidRPr="004E3A00">
        <w:rPr>
          <w:rFonts w:ascii="Arial" w:eastAsia="Times New Roman" w:hAnsi="Arial" w:cs="Arial"/>
          <w:i/>
          <w:iCs/>
          <w:color w:val="000000"/>
          <w:lang w:eastAsia="en-GB"/>
        </w:rPr>
        <w:t>Fagus</w:t>
      </w:r>
      <w:proofErr w:type="spellEnd"/>
      <w:r w:rsidRPr="004E3A00">
        <w:rPr>
          <w:rFonts w:ascii="Arial" w:eastAsia="Times New Roman" w:hAnsi="Arial" w:cs="Arial"/>
          <w:i/>
          <w:iCs/>
          <w:color w:val="000000"/>
          <w:lang w:eastAsia="en-GB"/>
        </w:rPr>
        <w:t xml:space="preserve"> </w:t>
      </w:r>
      <w:proofErr w:type="spellStart"/>
      <w:r w:rsidRPr="004E3A00">
        <w:rPr>
          <w:rFonts w:ascii="Arial" w:eastAsia="Times New Roman" w:hAnsi="Arial" w:cs="Arial"/>
          <w:i/>
          <w:iCs/>
          <w:color w:val="000000"/>
          <w:lang w:eastAsia="en-GB"/>
        </w:rPr>
        <w:t>sylvatica</w:t>
      </w:r>
      <w:proofErr w:type="spellEnd"/>
      <w:r w:rsidRPr="004E3A00">
        <w:rPr>
          <w:rFonts w:ascii="Arial" w:eastAsia="Times New Roman" w:hAnsi="Arial" w:cs="Arial"/>
          <w:color w:val="000000"/>
          <w:lang w:eastAsia="en-GB"/>
        </w:rPr>
        <w:t xml:space="preserve">) with frequent </w:t>
      </w:r>
      <w:proofErr w:type="spellStart"/>
      <w:r w:rsidRPr="004E3A00">
        <w:rPr>
          <w:rFonts w:ascii="Arial" w:eastAsia="Times New Roman" w:hAnsi="Arial" w:cs="Arial"/>
          <w:color w:val="000000"/>
          <w:lang w:eastAsia="en-GB"/>
        </w:rPr>
        <w:t>pedunculate</w:t>
      </w:r>
      <w:proofErr w:type="spellEnd"/>
      <w:r w:rsidRPr="004E3A00">
        <w:rPr>
          <w:rFonts w:ascii="Arial" w:eastAsia="Times New Roman" w:hAnsi="Arial" w:cs="Arial"/>
          <w:color w:val="000000"/>
          <w:lang w:eastAsia="en-GB"/>
        </w:rPr>
        <w:t xml:space="preserve"> oak (</w:t>
      </w:r>
      <w:proofErr w:type="spellStart"/>
      <w:r w:rsidRPr="004E3A00">
        <w:rPr>
          <w:rFonts w:ascii="Arial" w:eastAsia="Times New Roman" w:hAnsi="Arial" w:cs="Arial"/>
          <w:i/>
          <w:iCs/>
          <w:color w:val="000000"/>
          <w:lang w:eastAsia="en-GB"/>
        </w:rPr>
        <w:t>Quercus</w:t>
      </w:r>
      <w:proofErr w:type="spellEnd"/>
      <w:r w:rsidRPr="004E3A00">
        <w:rPr>
          <w:rFonts w:ascii="Arial" w:eastAsia="Times New Roman" w:hAnsi="Arial" w:cs="Arial"/>
          <w:i/>
          <w:iCs/>
          <w:color w:val="000000"/>
          <w:lang w:eastAsia="en-GB"/>
        </w:rPr>
        <w:t xml:space="preserve"> </w:t>
      </w:r>
      <w:proofErr w:type="spellStart"/>
      <w:r w:rsidRPr="004E3A00">
        <w:rPr>
          <w:rFonts w:ascii="Arial" w:eastAsia="Times New Roman" w:hAnsi="Arial" w:cs="Arial"/>
          <w:color w:val="000000"/>
          <w:lang w:eastAsia="en-GB"/>
        </w:rPr>
        <w:t>robur</w:t>
      </w:r>
      <w:proofErr w:type="spellEnd"/>
      <w:r w:rsidRPr="004E3A00">
        <w:rPr>
          <w:rFonts w:ascii="Arial" w:eastAsia="Times New Roman" w:hAnsi="Arial" w:cs="Arial"/>
          <w:color w:val="000000"/>
          <w:lang w:eastAsia="en-GB"/>
        </w:rPr>
        <w:t>) and birch (</w:t>
      </w:r>
      <w:proofErr w:type="spellStart"/>
      <w:r w:rsidRPr="004E3A00">
        <w:rPr>
          <w:rFonts w:ascii="Arial" w:eastAsia="Times New Roman" w:hAnsi="Arial" w:cs="Arial"/>
          <w:i/>
          <w:iCs/>
          <w:color w:val="000000"/>
          <w:lang w:eastAsia="en-GB"/>
        </w:rPr>
        <w:t>Betula</w:t>
      </w:r>
      <w:proofErr w:type="spellEnd"/>
      <w:r w:rsidRPr="004E3A00">
        <w:rPr>
          <w:rFonts w:ascii="Arial" w:eastAsia="Times New Roman" w:hAnsi="Arial" w:cs="Arial"/>
          <w:i/>
          <w:iCs/>
          <w:color w:val="000000"/>
          <w:lang w:eastAsia="en-GB"/>
        </w:rPr>
        <w:t xml:space="preserve"> </w:t>
      </w:r>
      <w:proofErr w:type="spellStart"/>
      <w:r w:rsidRPr="004E3A00">
        <w:rPr>
          <w:rFonts w:ascii="Arial" w:eastAsia="Times New Roman" w:hAnsi="Arial" w:cs="Arial"/>
          <w:i/>
          <w:iCs/>
          <w:color w:val="000000"/>
          <w:lang w:eastAsia="en-GB"/>
        </w:rPr>
        <w:t>pendula</w:t>
      </w:r>
      <w:proofErr w:type="spellEnd"/>
      <w:r w:rsidRPr="004E3A00">
        <w:rPr>
          <w:rFonts w:ascii="Arial" w:eastAsia="Times New Roman" w:hAnsi="Arial" w:cs="Arial"/>
          <w:i/>
          <w:iCs/>
          <w:color w:val="000000"/>
          <w:lang w:eastAsia="en-GB"/>
        </w:rPr>
        <w:t xml:space="preserve">, B. </w:t>
      </w:r>
      <w:proofErr w:type="spellStart"/>
      <w:r w:rsidRPr="004E3A00">
        <w:rPr>
          <w:rFonts w:ascii="Arial" w:eastAsia="Times New Roman" w:hAnsi="Arial" w:cs="Arial"/>
          <w:i/>
          <w:iCs/>
          <w:color w:val="000000"/>
          <w:lang w:eastAsia="en-GB"/>
        </w:rPr>
        <w:t>pubescens</w:t>
      </w:r>
      <w:proofErr w:type="spellEnd"/>
      <w:r w:rsidRPr="004E3A00">
        <w:rPr>
          <w:rFonts w:ascii="Arial" w:eastAsia="Times New Roman" w:hAnsi="Arial" w:cs="Arial"/>
          <w:color w:val="000000"/>
          <w:lang w:eastAsia="en-GB"/>
        </w:rPr>
        <w:t>), and an understory primarily of holly (</w:t>
      </w:r>
      <w:r w:rsidRPr="004E3A00">
        <w:rPr>
          <w:rFonts w:ascii="Arial" w:eastAsia="Times New Roman" w:hAnsi="Arial" w:cs="Arial"/>
          <w:i/>
          <w:iCs/>
          <w:color w:val="000000"/>
          <w:lang w:eastAsia="en-GB"/>
        </w:rPr>
        <w:t xml:space="preserve">Ilex </w:t>
      </w:r>
      <w:proofErr w:type="spellStart"/>
      <w:r w:rsidRPr="004E3A00">
        <w:rPr>
          <w:rFonts w:ascii="Arial" w:eastAsia="Times New Roman" w:hAnsi="Arial" w:cs="Arial"/>
          <w:i/>
          <w:iCs/>
          <w:color w:val="000000"/>
          <w:lang w:eastAsia="en-GB"/>
        </w:rPr>
        <w:t>aquifolium</w:t>
      </w:r>
      <w:proofErr w:type="spellEnd"/>
      <w:r w:rsidRPr="004E3A00">
        <w:rPr>
          <w:rFonts w:ascii="Arial" w:eastAsia="Times New Roman" w:hAnsi="Arial" w:cs="Arial"/>
          <w:color w:val="000000"/>
          <w:lang w:eastAsia="en-GB"/>
        </w:rPr>
        <w:t xml:space="preserve">). In open areas the ground vegetation is mostly comprised of </w:t>
      </w:r>
      <w:proofErr w:type="spellStart"/>
      <w:r w:rsidRPr="004E3A00">
        <w:rPr>
          <w:rFonts w:ascii="Arial" w:eastAsia="Times New Roman" w:hAnsi="Arial" w:cs="Arial"/>
          <w:i/>
          <w:iCs/>
          <w:color w:val="000000"/>
          <w:lang w:eastAsia="en-GB"/>
        </w:rPr>
        <w:t>Agrostis</w:t>
      </w:r>
      <w:proofErr w:type="spellEnd"/>
      <w:r w:rsidRPr="004E3A00">
        <w:rPr>
          <w:rFonts w:ascii="Arial" w:eastAsia="Times New Roman" w:hAnsi="Arial" w:cs="Arial"/>
          <w:color w:val="000000"/>
          <w:lang w:eastAsia="en-GB"/>
        </w:rPr>
        <w:t>-dominated grassland or stands of bracken (</w:t>
      </w:r>
      <w:proofErr w:type="spellStart"/>
      <w:r w:rsidRPr="004E3A00">
        <w:rPr>
          <w:rFonts w:ascii="Arial" w:eastAsia="Times New Roman" w:hAnsi="Arial" w:cs="Arial"/>
          <w:i/>
          <w:iCs/>
          <w:color w:val="000000"/>
          <w:lang w:eastAsia="en-GB"/>
        </w:rPr>
        <w:t>Pteridium</w:t>
      </w:r>
      <w:proofErr w:type="spellEnd"/>
      <w:r w:rsidRPr="004E3A00">
        <w:rPr>
          <w:rFonts w:ascii="Arial" w:eastAsia="Times New Roman" w:hAnsi="Arial" w:cs="Arial"/>
          <w:i/>
          <w:iCs/>
          <w:color w:val="000000"/>
          <w:lang w:eastAsia="en-GB"/>
        </w:rPr>
        <w:t xml:space="preserve"> </w:t>
      </w:r>
      <w:proofErr w:type="spellStart"/>
      <w:r w:rsidRPr="004E3A00">
        <w:rPr>
          <w:rFonts w:ascii="Arial" w:eastAsia="Times New Roman" w:hAnsi="Arial" w:cs="Arial"/>
          <w:i/>
          <w:iCs/>
          <w:color w:val="000000"/>
          <w:lang w:eastAsia="en-GB"/>
        </w:rPr>
        <w:t>aquilinum</w:t>
      </w:r>
      <w:proofErr w:type="spellEnd"/>
      <w:r w:rsidRPr="004E3A00">
        <w:rPr>
          <w:rFonts w:ascii="Arial" w:eastAsia="Times New Roman" w:hAnsi="Arial" w:cs="Arial"/>
          <w:color w:val="000000"/>
          <w:lang w:eastAsia="en-GB"/>
        </w:rPr>
        <w:t xml:space="preserve">). There are large populations of deer, ponies and cattle in the New Forest, resulting in high herbivore pressure. The site which we used for this study is likely to have experienced high browsing pressure since the 1960’s </w:t>
      </w:r>
      <w:r w:rsidR="00F11B0B" w:rsidRPr="004E3A00">
        <w:rPr>
          <w:rFonts w:ascii="Arial" w:eastAsia="Times New Roman" w:hAnsi="Arial" w:cs="Arial"/>
          <w:color w:val="000000"/>
          <w:lang w:eastAsia="en-GB"/>
        </w:rPr>
        <w:fldChar w:fldCharType="begin" w:fldLock="1"/>
      </w:r>
      <w:r w:rsidR="00EC6C08" w:rsidRPr="004E3A00">
        <w:rPr>
          <w:rFonts w:ascii="Arial" w:eastAsia="Times New Roman" w:hAnsi="Arial" w:cs="Arial"/>
          <w:color w:val="000000"/>
          <w:lang w:eastAsia="en-GB"/>
        </w:rPr>
        <w:instrText>ADDIN CSL_CITATION { "citationItems" : [ { "id" : "ITEM-1", "itemData" : { "DOI" : "10.1093/forestry/76.1.19", "ISSN" : "0015-752X", "abstract" : "Long-term changes in Denny Wood, an ancient wood-pasture in the New Forest, were recorded on two permanent transects. One was located in an unenclosed part of the wood, which remained open to all large herbivores (ponies, deer, cattle). The other was in an enclosed part, which was fenced against livestock (but not deer) from 1870 to [~]1960, after which ponies regained access. Records of trees, shrubs, seedlings and vascular ground vegetation within the transects were made mainly during 1959-1964 and 1996-2001. The unenclosed transect changed greatly. In 1959 it comprised closed beech-oak Fagus sylvatica-Quercus robur forest with abundant holly Ilex aquifolium understorey and small patches of Agrostis lawn or Pteridium aquilinum grazed by moderate numbers of large herbivores. Forty years later this had become an open oak-beech parkland with little understorey. Species-rich lawns and stands of Pteridium had spread extensively, and large herbivores had become far more numerous. Oak survived much better than beech: the larger beech suffered particularly from drought in 1976 and the medium beech from debarking by grey squirrels Sciurus carolinensis. Many beech were cut and removed in a safety/salvage operation in 1981. Holly was reduced mainly by browsing and debarking by ponies and deer. Tree and shrub seedlings became more abundant, but browsing effectively prevented regeneration. The enclosed transect also comprised closed beech-oak-holly forest in 1959. However, the stand was denser and the ground vegetation was more heavily shaded, species-poor and sparser than on the unenclosed transect. Substantial gaps were created during the next 40 years due mainly to the loss of large beech and oak after drought in 1976 and later storms. Rank, species-poor grassland and stands of Pteridium developed mainly below gaps, but many parts remained as closed high forest with little ground vegetation. No dead trees were removed and dead wood volumes remained consistently high. Holly was much reduced, principally due to browsing and debarking by deer and ponies. Grazing almost completely prevented tree regeneration. The implications for grazing of wood-pastures are discussed. Prolonged exclusion of livestock with reduced deer numbers allowed abundant regeneration of trees with holly, but the ensuing dense, closed stand had an impoverished ground flora. Moderate numbers of livestock (both ponies and cattle) and deer kept some grassy glades, but allowed holly to spread. Hig\u2026", "author" : [ { "dropping-particle" : "", "family" : "Mountford", "given" : "E. P.", "non-dropping-particle" : "", "parse-names" : false, "suffix" : "" }, { "dropping-particle" : "", "family" : "Peterken", "given" : "George F.", "non-dropping-particle" : "", "parse-names" : false, "suffix" : "" } ], "container-title" : "Forestry", "id" : "ITEM-1", "issue" : "1", "issued" : { "date-parts" : [ [ "2003", "1", "1" ] ] }, "page" : "19-43", "title" : "Long-term change and implications for the management of wood-pastures: experience over 40 years from Denny Wood, New Forest", "type" : "article-journal", "volume" : "76" }, "uris" : [ "http://www.mendeley.com/documents/?uuid=39eeadf5-9032-45e9-b85b-9e25d6b96576" ] } ], "mendeley" : { "formattedCitation" : "(Mountford &amp; Peterken 2003)", "plainTextFormattedCitation" : "(Mountford &amp; Peterken 2003)", "previouslyFormattedCitation" : "(Mountford &amp; Peterken 2003)" }, "properties" : { "noteIndex" : 0 }, "schema" : "https://github.com/citation-style-language/schema/raw/master/csl-citation.json" }</w:instrText>
      </w:r>
      <w:r w:rsidR="00F11B0B" w:rsidRPr="004E3A00">
        <w:rPr>
          <w:rFonts w:ascii="Arial" w:eastAsia="Times New Roman" w:hAnsi="Arial" w:cs="Arial"/>
          <w:color w:val="000000"/>
          <w:lang w:eastAsia="en-GB"/>
        </w:rPr>
        <w:fldChar w:fldCharType="separate"/>
      </w:r>
      <w:r w:rsidR="00732C7B" w:rsidRPr="004E3A00">
        <w:rPr>
          <w:rFonts w:ascii="Arial" w:eastAsia="Times New Roman" w:hAnsi="Arial" w:cs="Arial"/>
          <w:noProof/>
          <w:color w:val="000000"/>
          <w:lang w:eastAsia="en-GB"/>
        </w:rPr>
        <w:t>(Mountford &amp; Peterken 2003)</w:t>
      </w:r>
      <w:r w:rsidR="00F11B0B" w:rsidRPr="004E3A00">
        <w:rPr>
          <w:rFonts w:ascii="Arial" w:eastAsia="Times New Roman" w:hAnsi="Arial" w:cs="Arial"/>
          <w:color w:val="000000"/>
          <w:lang w:eastAsia="en-GB"/>
        </w:rPr>
        <w:fldChar w:fldCharType="end"/>
      </w:r>
      <w:r w:rsidR="00F11B0B" w:rsidRPr="004E3A00">
        <w:rPr>
          <w:rFonts w:ascii="Arial" w:eastAsia="Times New Roman" w:hAnsi="Arial" w:cs="Arial"/>
          <w:color w:val="000000"/>
          <w:lang w:eastAsia="en-GB"/>
        </w:rPr>
        <w:t xml:space="preserve">. </w:t>
      </w:r>
      <w:r w:rsidRPr="004E3A00">
        <w:rPr>
          <w:rFonts w:ascii="Arial" w:eastAsia="Times New Roman" w:hAnsi="Arial" w:cs="Arial"/>
          <w:color w:val="000000"/>
          <w:lang w:eastAsia="en-GB"/>
        </w:rPr>
        <w:t xml:space="preserve">More detail on the site is given in </w:t>
      </w:r>
      <w:proofErr w:type="spellStart"/>
      <w:r w:rsidR="00F11B0B" w:rsidRPr="004E3A00">
        <w:rPr>
          <w:rFonts w:ascii="Arial" w:eastAsia="Times New Roman" w:hAnsi="Arial" w:cs="Arial"/>
          <w:color w:val="000000"/>
          <w:lang w:eastAsia="en-GB"/>
        </w:rPr>
        <w:t>Mountford</w:t>
      </w:r>
      <w:proofErr w:type="spellEnd"/>
      <w:r w:rsidR="00F11B0B" w:rsidRPr="004E3A00">
        <w:rPr>
          <w:rFonts w:ascii="Arial" w:eastAsia="Times New Roman" w:hAnsi="Arial" w:cs="Arial"/>
          <w:color w:val="000000"/>
          <w:lang w:eastAsia="en-GB"/>
        </w:rPr>
        <w:t xml:space="preserve"> </w:t>
      </w:r>
      <w:r w:rsidR="00F11B0B" w:rsidRPr="004E3A00">
        <w:rPr>
          <w:rFonts w:ascii="Arial" w:eastAsia="Times New Roman" w:hAnsi="Arial" w:cs="Arial"/>
          <w:i/>
          <w:color w:val="000000"/>
          <w:lang w:eastAsia="en-GB"/>
        </w:rPr>
        <w:t>et al</w:t>
      </w:r>
      <w:r w:rsidR="00F11B0B" w:rsidRPr="004E3A00">
        <w:rPr>
          <w:rFonts w:ascii="Arial" w:eastAsia="Times New Roman" w:hAnsi="Arial" w:cs="Arial"/>
          <w:color w:val="000000"/>
          <w:lang w:eastAsia="en-GB"/>
        </w:rPr>
        <w:t xml:space="preserve"> </w:t>
      </w:r>
      <w:r w:rsidR="00F11B0B" w:rsidRPr="004E3A00">
        <w:rPr>
          <w:rFonts w:ascii="Arial" w:eastAsia="Times New Roman" w:hAnsi="Arial" w:cs="Arial"/>
          <w:color w:val="000000"/>
          <w:lang w:eastAsia="en-GB"/>
        </w:rPr>
        <w:fldChar w:fldCharType="begin" w:fldLock="1"/>
      </w:r>
      <w:r w:rsidR="00F11B0B" w:rsidRPr="004E3A00">
        <w:rPr>
          <w:rFonts w:ascii="Arial" w:eastAsia="Times New Roman" w:hAnsi="Arial" w:cs="Arial"/>
          <w:color w:val="000000"/>
          <w:lang w:eastAsia="en-GB"/>
        </w:rPr>
        <w:instrText>ADDIN CSL_CITATION { "citationItems" : [ { "id" : "ITEM-1", "itemData" : { "DOI" : "10.1078/1433-8319-00072", "ISSN" : "14338319", "abstract" : "Long-term changes in stand composition and structure were recorded in Denny Wood (New Forest, UK) by means of a permanent transect covering 2 ha. Denny is an ancient, mixed deciduous wood-pasture dominated by beech (Fagus sylvatica), pedunculate oak (Quercus robur) and holly (Ilex aquifolium) whose canopy trees ranged in age from approximately 70 years to over 300 years when the study began in 1956. Individual trees, shrubs and saplings were mapped and measured at irregular intervals until 1996. During the 40 years of observations, storms and drought disrupted the stand. Considerable volumes of dead wood accumulated, and canopy gaps extended to 30% of the transect area. Small trees and saplings were severely damaged by ponies and grey squirrels. Regeneration ceased after 1964, due principally to heavy grazing and browsing by deer and ponies. Despite the disturbances, most mortality was due to competitive exclusion within well-stocked parts of the stand. Historical records from the 17th century onwards demonstrate a long-term change from oak dominance with groups of beech before 1800 to beech dominance in the late 20th century. The stand through which the transect now runs was enclosed in 1870, and this allowed beech to regenerate abundantly, but in the nearby unenclosed part of Denny Wood holly regenerated more abundantly than beech. The patterns of growth, mortality and regeneration are compared with natural temperate deciduous woodland. The long-term relationship between beech and oak is likely to involve periodic oak regeneration after major disturbances, interspersed with steady increases in the proportion of beech. The implications for managing and monitoring the \u201cAncient and Ornamental Woods\u201d of the New Forest are considered.", "author" : [ { "dropping-particle" : "", "family" : "Mountford", "given" : "Ed P.", "non-dropping-particle" : "", "parse-names" : false, "suffix" : "" }, { "dropping-particle" : "", "family" : "Peterken", "given" : "George F.", "non-dropping-particle" : "", "parse-names" : false, "suffix" : "" }, { "dropping-particle" : "", "family" : "Edwards", "given" : "Peter J.", "non-dropping-particle" : "", "parse-names" : false, "suffix" : "" }, { "dropping-particle" : "", "family" : "Manners", "given" : "John G.", "non-dropping-particle" : "", "parse-names" : false, "suffix" : "" } ], "container-title" : "Perspectives in Plant Ecology, Evolution and Systematics", "id" : "ITEM-1", "issue" : "2", "issued" : { "date-parts" : [ [ "1999", "1" ] ] }, "page" : "223-272", "title" : "Long-term change in growth, mortality and regeneration of trees in Denny Wood, an old-growth wood-pasture in the New Forest (UK)", "type" : "article-journal", "volume" : "2" }, "label" : "line", "suppress-author" : 1, "uris" : [ "http://www.mendeley.com/documents/?uuid=4c9e6a12-6408-465a-ace9-c07370cbacee" ] } ], "mendeley" : { "formattedCitation" : "(1999)", "plainTextFormattedCitation" : "(1999)", "previouslyFormattedCitation" : "(1999)" }, "properties" : { "noteIndex" : 0 }, "schema" : "https://github.com/citation-style-language/schema/raw/master/csl-citation.json" }</w:instrText>
      </w:r>
      <w:r w:rsidR="00F11B0B" w:rsidRPr="004E3A00">
        <w:rPr>
          <w:rFonts w:ascii="Arial" w:eastAsia="Times New Roman" w:hAnsi="Arial" w:cs="Arial"/>
          <w:color w:val="000000"/>
          <w:lang w:eastAsia="en-GB"/>
        </w:rPr>
        <w:fldChar w:fldCharType="separate"/>
      </w:r>
      <w:r w:rsidR="00F11B0B" w:rsidRPr="004E3A00">
        <w:rPr>
          <w:rFonts w:ascii="Arial" w:eastAsia="Times New Roman" w:hAnsi="Arial" w:cs="Arial"/>
          <w:noProof/>
          <w:color w:val="000000"/>
          <w:lang w:eastAsia="en-GB"/>
        </w:rPr>
        <w:t>(1999)</w:t>
      </w:r>
      <w:r w:rsidR="00F11B0B" w:rsidRPr="004E3A00">
        <w:rPr>
          <w:rFonts w:ascii="Arial" w:eastAsia="Times New Roman" w:hAnsi="Arial" w:cs="Arial"/>
          <w:color w:val="000000"/>
          <w:lang w:eastAsia="en-GB"/>
        </w:rPr>
        <w:fldChar w:fldCharType="end"/>
      </w:r>
      <w:r w:rsidR="00F11B0B" w:rsidRPr="004E3A00">
        <w:rPr>
          <w:rFonts w:ascii="Arial" w:eastAsia="Times New Roman" w:hAnsi="Arial" w:cs="Arial"/>
          <w:color w:val="000000"/>
          <w:lang w:eastAsia="en-GB"/>
        </w:rPr>
        <w:t xml:space="preserve">, </w:t>
      </w:r>
      <w:proofErr w:type="spellStart"/>
      <w:r w:rsidR="00F11B0B" w:rsidRPr="004E3A00">
        <w:rPr>
          <w:rFonts w:ascii="Arial" w:eastAsia="Times New Roman" w:hAnsi="Arial" w:cs="Arial"/>
          <w:color w:val="000000"/>
          <w:lang w:eastAsia="en-GB"/>
        </w:rPr>
        <w:t>Mountford</w:t>
      </w:r>
      <w:proofErr w:type="spellEnd"/>
      <w:r w:rsidR="00F11B0B" w:rsidRPr="004E3A00">
        <w:rPr>
          <w:rFonts w:ascii="Arial" w:eastAsia="Times New Roman" w:hAnsi="Arial" w:cs="Arial"/>
          <w:color w:val="000000"/>
          <w:lang w:eastAsia="en-GB"/>
        </w:rPr>
        <w:t xml:space="preserve"> and </w:t>
      </w:r>
      <w:proofErr w:type="spellStart"/>
      <w:r w:rsidR="00F11B0B" w:rsidRPr="004E3A00">
        <w:rPr>
          <w:rFonts w:ascii="Arial" w:eastAsia="Times New Roman" w:hAnsi="Arial" w:cs="Arial"/>
          <w:color w:val="000000"/>
          <w:lang w:eastAsia="en-GB"/>
        </w:rPr>
        <w:t>Peterken</w:t>
      </w:r>
      <w:proofErr w:type="spellEnd"/>
      <w:r w:rsidR="00F11B0B" w:rsidRPr="004E3A00">
        <w:rPr>
          <w:rFonts w:ascii="Arial" w:eastAsia="Times New Roman" w:hAnsi="Arial" w:cs="Arial"/>
          <w:color w:val="000000"/>
          <w:lang w:eastAsia="en-GB"/>
        </w:rPr>
        <w:t xml:space="preserve"> </w:t>
      </w:r>
      <w:r w:rsidR="00F11B0B" w:rsidRPr="004E3A00">
        <w:rPr>
          <w:rFonts w:ascii="Arial" w:eastAsia="Times New Roman" w:hAnsi="Arial" w:cs="Arial"/>
          <w:color w:val="000000"/>
          <w:lang w:eastAsia="en-GB"/>
        </w:rPr>
        <w:fldChar w:fldCharType="begin" w:fldLock="1"/>
      </w:r>
      <w:r w:rsidR="00F11B0B" w:rsidRPr="004E3A00">
        <w:rPr>
          <w:rFonts w:ascii="Arial" w:eastAsia="Times New Roman" w:hAnsi="Arial" w:cs="Arial"/>
          <w:color w:val="000000"/>
          <w:lang w:eastAsia="en-GB"/>
        </w:rPr>
        <w:instrText>ADDIN CSL_CITATION { "citationItems" : [ { "id" : "ITEM-1", "itemData" : { "DOI" : "10.1093/forestry/76.1.19", "ISSN" : "0015-752X", "abstract" : "Long-term changes in Denny Wood, an ancient wood-pasture in the New Forest, were recorded on two permanent transects. One was located in an unenclosed part of the wood, which remained open to all large herbivores (ponies, deer, cattle). The other was in an enclosed part, which was fenced against livestock (but not deer) from 1870 to [~]1960, after which ponies regained access. Records of trees, shrubs, seedlings and vascular ground vegetation within the transects were made mainly during 1959-1964 and 1996-2001. The unenclosed transect changed greatly. In 1959 it comprised closed beech-oak Fagus sylvatica-Quercus robur forest with abundant holly Ilex aquifolium understorey and small patches of Agrostis lawn or Pteridium aquilinum grazed by moderate numbers of large herbivores. Forty years later this had become an open oak-beech parkland with little understorey. Species-rich lawns and stands of Pteridium had spread extensively, and large herbivores had become far more numerous. Oak survived much better than beech: the larger beech suffered particularly from drought in 1976 and the medium beech from debarking by grey squirrels Sciurus carolinensis. Many beech were cut and removed in a safety/salvage operation in 1981. Holly was reduced mainly by browsing and debarking by ponies and deer. Tree and shrub seedlings became more abundant, but browsing effectively prevented regeneration. The enclosed transect also comprised closed beech-oak-holly forest in 1959. However, the stand was denser and the ground vegetation was more heavily shaded, species-poor and sparser than on the unenclosed transect. Substantial gaps were created during the next 40 years due mainly to the loss of large beech and oak after drought in 1976 and later storms. Rank, species-poor grassland and stands of Pteridium developed mainly below gaps, but many parts remained as closed high forest with little ground vegetation. No dead trees were removed and dead wood volumes remained consistently high. Holly was much reduced, principally due to browsing and debarking by deer and ponies. Grazing almost completely prevented tree regeneration. The implications for grazing of wood-pastures are discussed. Prolonged exclusion of livestock with reduced deer numbers allowed abundant regeneration of trees with holly, but the ensuing dense, closed stand had an impoverished ground flora. Moderate numbers of livestock (both ponies and cattle) and deer kept some grassy glades, but allowed holly to spread. Hig\u2026", "author" : [ { "dropping-particle" : "", "family" : "Mountford", "given" : "E. P.", "non-dropping-particle" : "", "parse-names" : false, "suffix" : "" }, { "dropping-particle" : "", "family" : "Peterken", "given" : "George F.", "non-dropping-particle" : "", "parse-names" : false, "suffix" : "" } ], "container-title" : "Forestry", "id" : "ITEM-1", "issue" : "1", "issued" : { "date-parts" : [ [ "2003", "1", "1" ] ] }, "page" : "19-43", "title" : "Long-term change and implications for the management of wood-pastures: experience over 40 years from Denny Wood, New Forest", "type" : "article-journal", "volume" : "76" }, "label" : "line", "suppress-author" : 1, "uris" : [ "http://www.mendeley.com/documents/?uuid=39eeadf5-9032-45e9-b85b-9e25d6b96576" ] } ], "mendeley" : { "formattedCitation" : "(2003)", "plainTextFormattedCitation" : "(2003)", "previouslyFormattedCitation" : "(2003)" }, "properties" : { "noteIndex" : 0 }, "schema" : "https://github.com/citation-style-language/schema/raw/master/csl-citation.json" }</w:instrText>
      </w:r>
      <w:r w:rsidR="00F11B0B" w:rsidRPr="004E3A00">
        <w:rPr>
          <w:rFonts w:ascii="Arial" w:eastAsia="Times New Roman" w:hAnsi="Arial" w:cs="Arial"/>
          <w:color w:val="000000"/>
          <w:lang w:eastAsia="en-GB"/>
        </w:rPr>
        <w:fldChar w:fldCharType="separate"/>
      </w:r>
      <w:r w:rsidR="00F11B0B" w:rsidRPr="004E3A00">
        <w:rPr>
          <w:rFonts w:ascii="Arial" w:eastAsia="Times New Roman" w:hAnsi="Arial" w:cs="Arial"/>
          <w:noProof/>
          <w:color w:val="000000"/>
          <w:lang w:eastAsia="en-GB"/>
        </w:rPr>
        <w:t>(2003)</w:t>
      </w:r>
      <w:r w:rsidR="00F11B0B" w:rsidRPr="004E3A00">
        <w:rPr>
          <w:rFonts w:ascii="Arial" w:eastAsia="Times New Roman" w:hAnsi="Arial" w:cs="Arial"/>
          <w:color w:val="000000"/>
          <w:lang w:eastAsia="en-GB"/>
        </w:rPr>
        <w:fldChar w:fldCharType="end"/>
      </w:r>
      <w:r w:rsidR="00F11B0B" w:rsidRPr="004E3A00">
        <w:rPr>
          <w:rFonts w:ascii="Arial" w:eastAsia="Times New Roman" w:hAnsi="Arial" w:cs="Arial"/>
          <w:color w:val="000000"/>
          <w:lang w:eastAsia="en-GB"/>
        </w:rPr>
        <w:t xml:space="preserve"> and Martin </w:t>
      </w:r>
      <w:r w:rsidR="00F11B0B" w:rsidRPr="004E3A00">
        <w:rPr>
          <w:rFonts w:ascii="Arial" w:eastAsia="Times New Roman" w:hAnsi="Arial" w:cs="Arial"/>
          <w:i/>
          <w:color w:val="000000"/>
          <w:lang w:eastAsia="en-GB"/>
        </w:rPr>
        <w:t>et al</w:t>
      </w:r>
      <w:r w:rsidR="00F11B0B" w:rsidRPr="004E3A00">
        <w:rPr>
          <w:rFonts w:ascii="Arial" w:eastAsia="Times New Roman" w:hAnsi="Arial" w:cs="Arial"/>
          <w:color w:val="000000"/>
          <w:lang w:eastAsia="en-GB"/>
        </w:rPr>
        <w:t xml:space="preserve"> </w:t>
      </w:r>
      <w:r w:rsidR="00F11B0B" w:rsidRPr="004E3A00">
        <w:rPr>
          <w:rFonts w:ascii="Arial" w:eastAsia="Times New Roman" w:hAnsi="Arial" w:cs="Arial"/>
          <w:color w:val="000000"/>
          <w:lang w:eastAsia="en-GB"/>
        </w:rPr>
        <w:fldChar w:fldCharType="begin" w:fldLock="1"/>
      </w:r>
      <w:r w:rsidR="00B6284F">
        <w:rPr>
          <w:rFonts w:ascii="Arial" w:eastAsia="Times New Roman" w:hAnsi="Arial" w:cs="Arial"/>
          <w:color w:val="000000"/>
          <w:lang w:eastAsia="en-GB"/>
        </w:rPr>
        <w:instrText>ADDIN CSL_CITATION { "citationItems" : [ { "id" : "ITEM-1", "itemData" : { "DOI" : "10.1016/j.foreco.2015.08.033", "ISSN" : "03781127", "author" : [ { "dropping-particle" : "", "family" : "Martin", "given" : "Philip Anthony", "non-dropping-particle" : "", "parse-names" : false, "suffix" : "" }, { "dropping-particle" : "", "family" : "Newton", "given" : "Adrian Christopher", "non-dropping-particle" : "", "parse-names" : false, "suffix" : "" }, { "dropping-particle" : "", "family" : "Cantarello", "given" : "Elena", "non-dropping-particle" : "", "parse-names" : false, "suffix" : "" }, { "dropping-particle" : "", "family" : "Evans", "given" : "Paul", "non-dropping-particle" : "", "parse-names" : false, "suffix" : "" } ], "container-title" : "Forest Ecology and Management", "id" : "ITEM-1", "issued" : { "date-parts" : [ [ "2015" ] ] }, "page" : "130-138", "publisher" : "Elsevier B.V.", "title" : "Stand dieback and collapse in a temperate forest and its impact on forest structure and biodiversity", "type" : "article-journal", "volume" : "358" }, "label" : "line", "suppress-author" : 1, "uris" : [ "http://www.mendeley.com/documents/?uuid=75d39a02-1354-4c7f-820e-7546ff4862d0" ] } ], "mendeley" : { "formattedCitation" : "(2015)", "plainTextFormattedCitation" : "(2015)", "previouslyFormattedCitation" : "(2015)" }, "properties" : { "noteIndex" : 0 }, "schema" : "https://github.com/citation-style-language/schema/raw/master/csl-citation.json" }</w:instrText>
      </w:r>
      <w:r w:rsidR="00F11B0B" w:rsidRPr="004E3A00">
        <w:rPr>
          <w:rFonts w:ascii="Arial" w:eastAsia="Times New Roman" w:hAnsi="Arial" w:cs="Arial"/>
          <w:color w:val="000000"/>
          <w:lang w:eastAsia="en-GB"/>
        </w:rPr>
        <w:fldChar w:fldCharType="separate"/>
      </w:r>
      <w:r w:rsidR="00B6284F" w:rsidRPr="00B6284F">
        <w:rPr>
          <w:rFonts w:ascii="Arial" w:eastAsia="Times New Roman" w:hAnsi="Arial" w:cs="Arial"/>
          <w:noProof/>
          <w:color w:val="000000"/>
          <w:lang w:eastAsia="en-GB"/>
        </w:rPr>
        <w:t>(2015)</w:t>
      </w:r>
      <w:r w:rsidR="00F11B0B" w:rsidRPr="004E3A00">
        <w:rPr>
          <w:rFonts w:ascii="Arial" w:eastAsia="Times New Roman" w:hAnsi="Arial" w:cs="Arial"/>
          <w:color w:val="000000"/>
          <w:lang w:eastAsia="en-GB"/>
        </w:rPr>
        <w:fldChar w:fldCharType="end"/>
      </w:r>
      <w:r w:rsidR="00F11B0B" w:rsidRPr="004E3A00">
        <w:rPr>
          <w:rFonts w:ascii="Arial" w:eastAsia="Times New Roman" w:hAnsi="Arial" w:cs="Arial"/>
          <w:color w:val="000000"/>
          <w:lang w:eastAsia="en-GB"/>
        </w:rPr>
        <w:t>.</w:t>
      </w:r>
    </w:p>
    <w:p w:rsidR="00C9060F" w:rsidRPr="004E3A00" w:rsidRDefault="00C9060F" w:rsidP="00F11B0B">
      <w:pPr>
        <w:spacing w:after="0" w:line="360" w:lineRule="auto"/>
        <w:contextualSpacing/>
        <w:rPr>
          <w:rFonts w:ascii="Times New Roman" w:eastAsia="Times New Roman" w:hAnsi="Times New Roman" w:cs="Times New Roman"/>
          <w:sz w:val="24"/>
          <w:szCs w:val="24"/>
          <w:lang w:eastAsia="en-GB"/>
        </w:rPr>
      </w:pPr>
    </w:p>
    <w:p w:rsidR="00F11B0B" w:rsidRPr="004E3A00" w:rsidRDefault="00F11B0B" w:rsidP="00F11B0B">
      <w:pPr>
        <w:spacing w:before="40" w:after="140" w:line="360" w:lineRule="auto"/>
        <w:contextualSpacing/>
        <w:textAlignment w:val="baseline"/>
        <w:rPr>
          <w:rFonts w:ascii="Arial" w:eastAsia="Times New Roman" w:hAnsi="Arial" w:cs="Arial"/>
          <w:b/>
          <w:color w:val="000000"/>
          <w:lang w:eastAsia="en-GB"/>
        </w:rPr>
      </w:pPr>
      <w:r w:rsidRPr="004E3A00">
        <w:rPr>
          <w:rFonts w:ascii="Arial" w:eastAsia="Times New Roman" w:hAnsi="Arial" w:cs="Arial"/>
          <w:b/>
          <w:color w:val="000000"/>
          <w:lang w:eastAsia="en-GB"/>
        </w:rPr>
        <w:t>Data collection</w:t>
      </w:r>
    </w:p>
    <w:p w:rsidR="00F11B0B" w:rsidRPr="004E3A00" w:rsidRDefault="00C9060F" w:rsidP="00695472">
      <w:pPr>
        <w:spacing w:before="40" w:after="140" w:line="360" w:lineRule="auto"/>
        <w:ind w:firstLine="720"/>
        <w:contextualSpacing/>
        <w:rPr>
          <w:rFonts w:ascii="Arial" w:eastAsia="Times New Roman" w:hAnsi="Arial" w:cs="Arial"/>
          <w:color w:val="000000"/>
          <w:lang w:eastAsia="en-GB"/>
        </w:rPr>
      </w:pPr>
      <w:r w:rsidRPr="004E3A00">
        <w:rPr>
          <w:rFonts w:ascii="Arial" w:eastAsia="Times New Roman" w:hAnsi="Arial" w:cs="Arial"/>
          <w:color w:val="000000"/>
          <w:lang w:eastAsia="en-GB"/>
        </w:rPr>
        <w:t xml:space="preserve">Measurements were conducted in one 20 m-wide 1 km long transect, which was originally established in the 1950s. </w:t>
      </w:r>
      <w:proofErr w:type="gramStart"/>
      <w:r w:rsidRPr="004E3A00">
        <w:rPr>
          <w:rFonts w:ascii="Arial" w:eastAsia="Times New Roman" w:hAnsi="Arial" w:cs="Arial"/>
          <w:color w:val="000000"/>
          <w:lang w:eastAsia="en-GB"/>
        </w:rPr>
        <w:t>The transect</w:t>
      </w:r>
      <w:proofErr w:type="gramEnd"/>
      <w:r w:rsidRPr="004E3A00">
        <w:rPr>
          <w:rFonts w:ascii="Arial" w:eastAsia="Times New Roman" w:hAnsi="Arial" w:cs="Arial"/>
          <w:color w:val="000000"/>
          <w:lang w:eastAsia="en-GB"/>
        </w:rPr>
        <w:t xml:space="preserve"> was subdivided into contiguous 45 20 x 20 m (0.04 ha) subplots and surveyed in 1964, 1984, 1988, 1996 and 2014. Details of </w:t>
      </w:r>
      <w:r w:rsidRPr="004E3A00">
        <w:rPr>
          <w:rFonts w:ascii="Arial" w:eastAsia="Times New Roman" w:hAnsi="Arial" w:cs="Arial"/>
          <w:color w:val="000000"/>
          <w:lang w:eastAsia="en-GB"/>
        </w:rPr>
        <w:lastRenderedPageBreak/>
        <w:t xml:space="preserve">measurements are presented </w:t>
      </w:r>
      <w:proofErr w:type="spellStart"/>
      <w:r w:rsidR="00695472" w:rsidRPr="004E3A00">
        <w:rPr>
          <w:rFonts w:ascii="Arial" w:eastAsia="Times New Roman" w:hAnsi="Arial" w:cs="Arial"/>
          <w:color w:val="000000"/>
          <w:lang w:eastAsia="en-GB"/>
        </w:rPr>
        <w:t>Mountford</w:t>
      </w:r>
      <w:proofErr w:type="spellEnd"/>
      <w:r w:rsidR="00695472" w:rsidRPr="004E3A00">
        <w:rPr>
          <w:rFonts w:ascii="Arial" w:eastAsia="Times New Roman" w:hAnsi="Arial" w:cs="Arial"/>
          <w:color w:val="000000"/>
          <w:lang w:eastAsia="en-GB"/>
        </w:rPr>
        <w:t xml:space="preserve"> </w:t>
      </w:r>
      <w:r w:rsidR="00695472" w:rsidRPr="004E3A00">
        <w:rPr>
          <w:rFonts w:ascii="Arial" w:eastAsia="Times New Roman" w:hAnsi="Arial" w:cs="Arial"/>
          <w:i/>
          <w:color w:val="000000"/>
          <w:lang w:eastAsia="en-GB"/>
        </w:rPr>
        <w:t>et al</w:t>
      </w:r>
      <w:r w:rsidR="00695472" w:rsidRPr="004E3A00">
        <w:rPr>
          <w:rFonts w:ascii="Arial" w:eastAsia="Times New Roman" w:hAnsi="Arial" w:cs="Arial"/>
          <w:color w:val="000000"/>
          <w:lang w:eastAsia="en-GB"/>
        </w:rPr>
        <w:t xml:space="preserve"> </w:t>
      </w:r>
      <w:r w:rsidR="00695472" w:rsidRPr="004E3A00">
        <w:rPr>
          <w:rFonts w:ascii="Arial" w:eastAsia="Times New Roman" w:hAnsi="Arial" w:cs="Arial"/>
          <w:color w:val="000000"/>
          <w:lang w:eastAsia="en-GB"/>
        </w:rPr>
        <w:fldChar w:fldCharType="begin" w:fldLock="1"/>
      </w:r>
      <w:r w:rsidR="00695472" w:rsidRPr="004E3A00">
        <w:rPr>
          <w:rFonts w:ascii="Arial" w:eastAsia="Times New Roman" w:hAnsi="Arial" w:cs="Arial"/>
          <w:color w:val="000000"/>
          <w:lang w:eastAsia="en-GB"/>
        </w:rPr>
        <w:instrText>ADDIN CSL_CITATION { "citationItems" : [ { "id" : "ITEM-1", "itemData" : { "DOI" : "10.1078/1433-8319-00072", "ISSN" : "14338319", "abstract" : "Long-term changes in stand composition and structure were recorded in Denny Wood (New Forest, UK) by means of a permanent transect covering 2 ha. Denny is an ancient, mixed deciduous wood-pasture dominated by beech (Fagus sylvatica), pedunculate oak (Quercus robur) and holly (Ilex aquifolium) whose canopy trees ranged in age from approximately 70 years to over 300 years when the study began in 1956. Individual trees, shrubs and saplings were mapped and measured at irregular intervals until 1996. During the 40 years of observations, storms and drought disrupted the stand. Considerable volumes of dead wood accumulated, and canopy gaps extended to 30% of the transect area. Small trees and saplings were severely damaged by ponies and grey squirrels. Regeneration ceased after 1964, due principally to heavy grazing and browsing by deer and ponies. Despite the disturbances, most mortality was due to competitive exclusion within well-stocked parts of the stand. Historical records from the 17th century onwards demonstrate a long-term change from oak dominance with groups of beech before 1800 to beech dominance in the late 20th century. The stand through which the transect now runs was enclosed in 1870, and this allowed beech to regenerate abundantly, but in the nearby unenclosed part of Denny Wood holly regenerated more abundantly than beech. The patterns of growth, mortality and regeneration are compared with natural temperate deciduous woodland. The long-term relationship between beech and oak is likely to involve periodic oak regeneration after major disturbances, interspersed with steady increases in the proportion of beech. The implications for managing and monitoring the \u201cAncient and Ornamental Woods\u201d of the New Forest are considered.", "author" : [ { "dropping-particle" : "", "family" : "Mountford", "given" : "Ed P.", "non-dropping-particle" : "", "parse-names" : false, "suffix" : "" }, { "dropping-particle" : "", "family" : "Peterken", "given" : "George F.", "non-dropping-particle" : "", "parse-names" : false, "suffix" : "" }, { "dropping-particle" : "", "family" : "Edwards", "given" : "Peter J.", "non-dropping-particle" : "", "parse-names" : false, "suffix" : "" }, { "dropping-particle" : "", "family" : "Manners", "given" : "John G.", "non-dropping-particle" : "", "parse-names" : false, "suffix" : "" } ], "container-title" : "Perspectives in Plant Ecology, Evolution and Systematics", "id" : "ITEM-1", "issue" : "2", "issued" : { "date-parts" : [ [ "1999", "1" ] ] }, "page" : "223-272", "title" : "Long-term change in growth, mortality and regeneration of trees in Denny Wood, an old-growth wood-pasture in the New Forest (UK)", "type" : "article-journal", "volume" : "2" }, "label" : "line", "suppress-author" : 1, "uris" : [ "http://www.mendeley.com/documents/?uuid=4c9e6a12-6408-465a-ace9-c07370cbacee" ] } ], "mendeley" : { "formattedCitation" : "(1999)", "plainTextFormattedCitation" : "(1999)", "previouslyFormattedCitation" : "(1999)" }, "properties" : { "noteIndex" : 0 }, "schema" : "https://github.com/citation-style-language/schema/raw/master/csl-citation.json" }</w:instrText>
      </w:r>
      <w:r w:rsidR="00695472" w:rsidRPr="004E3A00">
        <w:rPr>
          <w:rFonts w:ascii="Arial" w:eastAsia="Times New Roman" w:hAnsi="Arial" w:cs="Arial"/>
          <w:color w:val="000000"/>
          <w:lang w:eastAsia="en-GB"/>
        </w:rPr>
        <w:fldChar w:fldCharType="separate"/>
      </w:r>
      <w:r w:rsidR="00695472" w:rsidRPr="004E3A00">
        <w:rPr>
          <w:rFonts w:ascii="Arial" w:eastAsia="Times New Roman" w:hAnsi="Arial" w:cs="Arial"/>
          <w:noProof/>
          <w:color w:val="000000"/>
          <w:lang w:eastAsia="en-GB"/>
        </w:rPr>
        <w:t>(1999)</w:t>
      </w:r>
      <w:r w:rsidR="00695472" w:rsidRPr="004E3A00">
        <w:rPr>
          <w:rFonts w:ascii="Arial" w:eastAsia="Times New Roman" w:hAnsi="Arial" w:cs="Arial"/>
          <w:color w:val="000000"/>
          <w:lang w:eastAsia="en-GB"/>
        </w:rPr>
        <w:fldChar w:fldCharType="end"/>
      </w:r>
      <w:r w:rsidR="00695472" w:rsidRPr="004E3A00">
        <w:rPr>
          <w:rFonts w:ascii="Arial" w:eastAsia="Times New Roman" w:hAnsi="Arial" w:cs="Arial"/>
          <w:color w:val="000000"/>
          <w:lang w:eastAsia="en-GB"/>
        </w:rPr>
        <w:t xml:space="preserve">, </w:t>
      </w:r>
      <w:proofErr w:type="spellStart"/>
      <w:r w:rsidR="00695472" w:rsidRPr="004E3A00">
        <w:rPr>
          <w:rFonts w:ascii="Arial" w:eastAsia="Times New Roman" w:hAnsi="Arial" w:cs="Arial"/>
          <w:color w:val="000000"/>
          <w:lang w:eastAsia="en-GB"/>
        </w:rPr>
        <w:t>Mountford</w:t>
      </w:r>
      <w:proofErr w:type="spellEnd"/>
      <w:r w:rsidR="00695472" w:rsidRPr="004E3A00">
        <w:rPr>
          <w:rFonts w:ascii="Arial" w:eastAsia="Times New Roman" w:hAnsi="Arial" w:cs="Arial"/>
          <w:color w:val="000000"/>
          <w:lang w:eastAsia="en-GB"/>
        </w:rPr>
        <w:t xml:space="preserve"> and </w:t>
      </w:r>
      <w:proofErr w:type="spellStart"/>
      <w:r w:rsidR="00695472" w:rsidRPr="004E3A00">
        <w:rPr>
          <w:rFonts w:ascii="Arial" w:eastAsia="Times New Roman" w:hAnsi="Arial" w:cs="Arial"/>
          <w:color w:val="000000"/>
          <w:lang w:eastAsia="en-GB"/>
        </w:rPr>
        <w:t>Peterken</w:t>
      </w:r>
      <w:proofErr w:type="spellEnd"/>
      <w:r w:rsidR="00695472" w:rsidRPr="004E3A00">
        <w:rPr>
          <w:rFonts w:ascii="Arial" w:eastAsia="Times New Roman" w:hAnsi="Arial" w:cs="Arial"/>
          <w:color w:val="000000"/>
          <w:lang w:eastAsia="en-GB"/>
        </w:rPr>
        <w:t xml:space="preserve"> </w:t>
      </w:r>
      <w:r w:rsidR="00695472" w:rsidRPr="004E3A00">
        <w:rPr>
          <w:rFonts w:ascii="Arial" w:eastAsia="Times New Roman" w:hAnsi="Arial" w:cs="Arial"/>
          <w:color w:val="000000"/>
          <w:lang w:eastAsia="en-GB"/>
        </w:rPr>
        <w:fldChar w:fldCharType="begin" w:fldLock="1"/>
      </w:r>
      <w:r w:rsidR="00695472" w:rsidRPr="004E3A00">
        <w:rPr>
          <w:rFonts w:ascii="Arial" w:eastAsia="Times New Roman" w:hAnsi="Arial" w:cs="Arial"/>
          <w:color w:val="000000"/>
          <w:lang w:eastAsia="en-GB"/>
        </w:rPr>
        <w:instrText>ADDIN CSL_CITATION { "citationItems" : [ { "id" : "ITEM-1", "itemData" : { "DOI" : "10.1093/forestry/76.1.19", "ISSN" : "0015-752X", "abstract" : "Long-term changes in Denny Wood, an ancient wood-pasture in the New Forest, were recorded on two permanent transects. One was located in an unenclosed part of the wood, which remained open to all large herbivores (ponies, deer, cattle). The other was in an enclosed part, which was fenced against livestock (but not deer) from 1870 to [~]1960, after which ponies regained access. Records of trees, shrubs, seedlings and vascular ground vegetation within the transects were made mainly during 1959-1964 and 1996-2001. The unenclosed transect changed greatly. In 1959 it comprised closed beech-oak Fagus sylvatica-Quercus robur forest with abundant holly Ilex aquifolium understorey and small patches of Agrostis lawn or Pteridium aquilinum grazed by moderate numbers of large herbivores. Forty years later this had become an open oak-beech parkland with little understorey. Species-rich lawns and stands of Pteridium had spread extensively, and large herbivores had become far more numerous. Oak survived much better than beech: the larger beech suffered particularly from drought in 1976 and the medium beech from debarking by grey squirrels Sciurus carolinensis. Many beech were cut and removed in a safety/salvage operation in 1981. Holly was reduced mainly by browsing and debarking by ponies and deer. Tree and shrub seedlings became more abundant, but browsing effectively prevented regeneration. The enclosed transect also comprised closed beech-oak-holly forest in 1959. However, the stand was denser and the ground vegetation was more heavily shaded, species-poor and sparser than on the unenclosed transect. Substantial gaps were created during the next 40 years due mainly to the loss of large beech and oak after drought in 1976 and later storms. Rank, species-poor grassland and stands of Pteridium developed mainly below gaps, but many parts remained as closed high forest with little ground vegetation. No dead trees were removed and dead wood volumes remained consistently high. Holly was much reduced, principally due to browsing and debarking by deer and ponies. Grazing almost completely prevented tree regeneration. The implications for grazing of wood-pastures are discussed. Prolonged exclusion of livestock with reduced deer numbers allowed abundant regeneration of trees with holly, but the ensuing dense, closed stand had an impoverished ground flora. Moderate numbers of livestock (both ponies and cattle) and deer kept some grassy glades, but allowed holly to spread. Hig\u2026", "author" : [ { "dropping-particle" : "", "family" : "Mountford", "given" : "E. P.", "non-dropping-particle" : "", "parse-names" : false, "suffix" : "" }, { "dropping-particle" : "", "family" : "Peterken", "given" : "George F.", "non-dropping-particle" : "", "parse-names" : false, "suffix" : "" } ], "container-title" : "Forestry", "id" : "ITEM-1", "issue" : "1", "issued" : { "date-parts" : [ [ "2003", "1", "1" ] ] }, "page" : "19-43", "title" : "Long-term change and implications for the management of wood-pastures: experience over 40 years from Denny Wood, New Forest", "type" : "article-journal", "volume" : "76" }, "label" : "line", "suppress-author" : 1, "uris" : [ "http://www.mendeley.com/documents/?uuid=39eeadf5-9032-45e9-b85b-9e25d6b96576" ] } ], "mendeley" : { "formattedCitation" : "(2003)", "plainTextFormattedCitation" : "(2003)", "previouslyFormattedCitation" : "(2003)" }, "properties" : { "noteIndex" : 0 }, "schema" : "https://github.com/citation-style-language/schema/raw/master/csl-citation.json" }</w:instrText>
      </w:r>
      <w:r w:rsidR="00695472" w:rsidRPr="004E3A00">
        <w:rPr>
          <w:rFonts w:ascii="Arial" w:eastAsia="Times New Roman" w:hAnsi="Arial" w:cs="Arial"/>
          <w:color w:val="000000"/>
          <w:lang w:eastAsia="en-GB"/>
        </w:rPr>
        <w:fldChar w:fldCharType="separate"/>
      </w:r>
      <w:r w:rsidR="00695472" w:rsidRPr="004E3A00">
        <w:rPr>
          <w:rFonts w:ascii="Arial" w:eastAsia="Times New Roman" w:hAnsi="Arial" w:cs="Arial"/>
          <w:noProof/>
          <w:color w:val="000000"/>
          <w:lang w:eastAsia="en-GB"/>
        </w:rPr>
        <w:t>(2003)</w:t>
      </w:r>
      <w:r w:rsidR="00695472" w:rsidRPr="004E3A00">
        <w:rPr>
          <w:rFonts w:ascii="Arial" w:eastAsia="Times New Roman" w:hAnsi="Arial" w:cs="Arial"/>
          <w:color w:val="000000"/>
          <w:lang w:eastAsia="en-GB"/>
        </w:rPr>
        <w:fldChar w:fldCharType="end"/>
      </w:r>
      <w:r w:rsidR="00695472" w:rsidRPr="004E3A00">
        <w:rPr>
          <w:rFonts w:ascii="Arial" w:eastAsia="Times New Roman" w:hAnsi="Arial" w:cs="Arial"/>
          <w:color w:val="000000"/>
          <w:lang w:eastAsia="en-GB"/>
        </w:rPr>
        <w:t xml:space="preserve"> and Martin </w:t>
      </w:r>
      <w:r w:rsidR="00695472" w:rsidRPr="004E3A00">
        <w:rPr>
          <w:rFonts w:ascii="Arial" w:eastAsia="Times New Roman" w:hAnsi="Arial" w:cs="Arial"/>
          <w:i/>
          <w:color w:val="000000"/>
          <w:lang w:eastAsia="en-GB"/>
        </w:rPr>
        <w:t>et al</w:t>
      </w:r>
      <w:r w:rsidR="00695472" w:rsidRPr="004E3A00">
        <w:rPr>
          <w:rFonts w:ascii="Arial" w:eastAsia="Times New Roman" w:hAnsi="Arial" w:cs="Arial"/>
          <w:color w:val="000000"/>
          <w:lang w:eastAsia="en-GB"/>
        </w:rPr>
        <w:t xml:space="preserve"> </w:t>
      </w:r>
      <w:r w:rsidR="00695472" w:rsidRPr="004E3A00">
        <w:rPr>
          <w:rFonts w:ascii="Arial" w:eastAsia="Times New Roman" w:hAnsi="Arial" w:cs="Arial"/>
          <w:color w:val="000000"/>
          <w:lang w:eastAsia="en-GB"/>
        </w:rPr>
        <w:fldChar w:fldCharType="begin" w:fldLock="1"/>
      </w:r>
      <w:r w:rsidR="005B3436">
        <w:rPr>
          <w:rFonts w:ascii="Arial" w:eastAsia="Times New Roman" w:hAnsi="Arial" w:cs="Arial"/>
          <w:color w:val="000000"/>
          <w:lang w:eastAsia="en-GB"/>
        </w:rPr>
        <w:instrText>ADDIN CSL_CITATION { "citationItems" : [ { "id" : "ITEM-1", "itemData" : { "DOI" : "10.1016/j.foreco.2015.08.033", "ISSN" : "03781127", "author" : [ { "dropping-particle" : "", "family" : "Martin", "given" : "Philip Anthony", "non-dropping-particle" : "", "parse-names" : false, "suffix" : "" }, { "dropping-particle" : "", "family" : "Newton", "given" : "Adrian Christopher", "non-dropping-particle" : "", "parse-names" : false, "suffix" : "" }, { "dropping-particle" : "", "family" : "Cantarello", "given" : "Elena", "non-dropping-particle" : "", "parse-names" : false, "suffix" : "" }, { "dropping-particle" : "", "family" : "Evans", "given" : "Paul", "non-dropping-particle" : "", "parse-names" : false, "suffix" : "" } ], "container-title" : "Forest Ecology and Management", "id" : "ITEM-1", "issued" : { "date-parts" : [ [ "2015" ] ] }, "page" : "130-138", "publisher" : "Elsevier B.V.", "title" : "Stand dieback and collapse in a temperate forest and its impact on forest structure and biodiversity", "type" : "article-journal", "volume" : "358" }, "label" : "line", "suppress-author" : 1, "uris" : [ "http://www.mendeley.com/documents/?uuid=75d39a02-1354-4c7f-820e-7546ff4862d0" ] } ], "mendeley" : { "formattedCitation" : "(2015)", "plainTextFormattedCitation" : "(2015)", "previouslyFormattedCitation" : "(2015)" }, "properties" : { "noteIndex" : 0 }, "schema" : "https://github.com/citation-style-language/schema/raw/master/csl-citation.json" }</w:instrText>
      </w:r>
      <w:r w:rsidR="00695472" w:rsidRPr="004E3A00">
        <w:rPr>
          <w:rFonts w:ascii="Arial" w:eastAsia="Times New Roman" w:hAnsi="Arial" w:cs="Arial"/>
          <w:color w:val="000000"/>
          <w:lang w:eastAsia="en-GB"/>
        </w:rPr>
        <w:fldChar w:fldCharType="separate"/>
      </w:r>
      <w:r w:rsidR="00B6284F" w:rsidRPr="00B6284F">
        <w:rPr>
          <w:rFonts w:ascii="Arial" w:eastAsia="Times New Roman" w:hAnsi="Arial" w:cs="Arial"/>
          <w:noProof/>
          <w:color w:val="000000"/>
          <w:lang w:eastAsia="en-GB"/>
        </w:rPr>
        <w:t>(2015)</w:t>
      </w:r>
      <w:r w:rsidR="00695472" w:rsidRPr="004E3A00">
        <w:rPr>
          <w:rFonts w:ascii="Arial" w:eastAsia="Times New Roman" w:hAnsi="Arial" w:cs="Arial"/>
          <w:color w:val="000000"/>
          <w:lang w:eastAsia="en-GB"/>
        </w:rPr>
        <w:fldChar w:fldCharType="end"/>
      </w:r>
      <w:r w:rsidR="00695472" w:rsidRPr="004E3A00">
        <w:rPr>
          <w:rFonts w:ascii="Arial" w:eastAsia="Times New Roman" w:hAnsi="Arial" w:cs="Arial"/>
          <w:color w:val="000000"/>
          <w:lang w:eastAsia="en-GB"/>
        </w:rPr>
        <w:t xml:space="preserve">. </w:t>
      </w:r>
      <w:r w:rsidRPr="004E3A00">
        <w:rPr>
          <w:rFonts w:ascii="Arial" w:eastAsia="Times New Roman" w:hAnsi="Arial" w:cs="Arial"/>
          <w:color w:val="000000"/>
          <w:lang w:eastAsia="en-GB"/>
        </w:rPr>
        <w:t xml:space="preserve">In each survey, the location and species name of all woody stems &gt;1.3 m in height were recorded, their diameter at breast height measured using diameter tapes, and their status assessed as either alive or dead. Each stem &gt;1.3m height was given a unique ID number to allow individual trees to be tracked. Stems &lt;10 cm DBH were classified as saplings </w:t>
      </w:r>
      <w:r w:rsidR="00E031F8">
        <w:rPr>
          <w:rFonts w:ascii="Arial" w:eastAsia="Times New Roman" w:hAnsi="Arial" w:cs="Arial"/>
          <w:color w:val="000000"/>
          <w:lang w:eastAsia="en-GB"/>
        </w:rPr>
        <w:t>and those &gt;10 cm DBH as mature.</w:t>
      </w:r>
    </w:p>
    <w:p w:rsidR="00C9060F" w:rsidRPr="004E3A00" w:rsidRDefault="00C9060F" w:rsidP="00F11B0B">
      <w:pPr>
        <w:spacing w:before="40" w:after="140" w:line="360" w:lineRule="auto"/>
        <w:ind w:firstLine="720"/>
        <w:contextualSpacing/>
        <w:rPr>
          <w:rFonts w:ascii="Times New Roman" w:eastAsia="Times New Roman" w:hAnsi="Times New Roman" w:cs="Times New Roman"/>
          <w:sz w:val="24"/>
          <w:szCs w:val="24"/>
          <w:lang w:eastAsia="en-GB"/>
        </w:rPr>
      </w:pPr>
      <w:r w:rsidRPr="004E3A00">
        <w:rPr>
          <w:rFonts w:ascii="Arial" w:eastAsia="Times New Roman" w:hAnsi="Arial" w:cs="Arial"/>
          <w:color w:val="000000"/>
          <w:lang w:eastAsia="en-GB"/>
        </w:rPr>
        <w:t>In 2014 we collected data on seedling density, canopy openness, and soil characteristics. The density of tree seedlings of all species present in 10 x 10 m plots located in the centre of the 20 x 20 m plots was recorded. Canopy openness of subplots was assessed using a concave spherical densitometer in all four corners and the centre of 20 x 20 m plots, and the mean calculated for each subplot. Soil type was assessed by collecting 3 soil samples from within each 20 x 20m subplot using a 5 cm diameter soil corer. The first 20 cm of the mineral layer was retained. Soil samples were sent to the Forest Research laboratories in Surrey, UK where particle size distribution of the soil was determined by suspending 30 g of soil in water which was passed through the flow cell of a laser diffraction particle size analyser (Beckman Coulter LS13320).</w:t>
      </w:r>
    </w:p>
    <w:p w:rsidR="00F11B0B" w:rsidRPr="004E3A00" w:rsidRDefault="00F11B0B" w:rsidP="00F11B0B">
      <w:pPr>
        <w:spacing w:before="40" w:after="140" w:line="360" w:lineRule="auto"/>
        <w:contextualSpacing/>
        <w:rPr>
          <w:rFonts w:ascii="Arial" w:eastAsia="Times New Roman" w:hAnsi="Arial" w:cs="Arial"/>
          <w:b/>
          <w:bCs/>
          <w:color w:val="000000"/>
          <w:lang w:eastAsia="en-GB"/>
        </w:rPr>
      </w:pPr>
    </w:p>
    <w:p w:rsidR="00C9060F" w:rsidRPr="004E3A00" w:rsidRDefault="00C9060F" w:rsidP="00F11B0B">
      <w:pPr>
        <w:spacing w:before="40" w:after="140" w:line="360" w:lineRule="auto"/>
        <w:contextualSpacing/>
        <w:rPr>
          <w:rFonts w:ascii="Times New Roman" w:eastAsia="Times New Roman" w:hAnsi="Times New Roman" w:cs="Times New Roman"/>
          <w:sz w:val="24"/>
          <w:szCs w:val="24"/>
          <w:lang w:eastAsia="en-GB"/>
        </w:rPr>
      </w:pPr>
      <w:r w:rsidRPr="004E3A00">
        <w:rPr>
          <w:rFonts w:ascii="Arial" w:eastAsia="Times New Roman" w:hAnsi="Arial" w:cs="Arial"/>
          <w:b/>
          <w:bCs/>
          <w:color w:val="000000"/>
          <w:lang w:eastAsia="en-GB"/>
        </w:rPr>
        <w:t>Statistical analysis</w:t>
      </w:r>
    </w:p>
    <w:p w:rsidR="00F11B0B" w:rsidRPr="004E3A00" w:rsidRDefault="00F11B0B" w:rsidP="00F11B0B">
      <w:pPr>
        <w:spacing w:before="40" w:after="140" w:line="360" w:lineRule="auto"/>
        <w:contextualSpacing/>
        <w:rPr>
          <w:rFonts w:ascii="Arial" w:eastAsia="Times New Roman" w:hAnsi="Arial" w:cs="Arial"/>
          <w:b/>
          <w:bCs/>
          <w:color w:val="000000"/>
          <w:lang w:eastAsia="en-GB"/>
        </w:rPr>
      </w:pPr>
    </w:p>
    <w:p w:rsidR="00C9060F" w:rsidRPr="004E3A00" w:rsidRDefault="00C9060F" w:rsidP="00F11B0B">
      <w:pPr>
        <w:spacing w:before="40" w:after="140" w:line="360" w:lineRule="auto"/>
        <w:contextualSpacing/>
        <w:rPr>
          <w:rFonts w:ascii="Times New Roman" w:eastAsia="Times New Roman" w:hAnsi="Times New Roman" w:cs="Times New Roman"/>
          <w:sz w:val="24"/>
          <w:szCs w:val="24"/>
          <w:lang w:eastAsia="en-GB"/>
        </w:rPr>
      </w:pPr>
      <w:r w:rsidRPr="004E3A00">
        <w:rPr>
          <w:rFonts w:ascii="Arial" w:eastAsia="Times New Roman" w:hAnsi="Arial" w:cs="Arial"/>
          <w:b/>
          <w:bCs/>
          <w:color w:val="000000"/>
          <w:lang w:eastAsia="en-GB"/>
        </w:rPr>
        <w:t>Recruitment of juveniles</w:t>
      </w:r>
    </w:p>
    <w:p w:rsidR="00695472" w:rsidRPr="004E3A00" w:rsidRDefault="00C9060F" w:rsidP="00695472">
      <w:pPr>
        <w:spacing w:line="360" w:lineRule="auto"/>
        <w:ind w:firstLine="720"/>
        <w:contextualSpacing/>
        <w:rPr>
          <w:rFonts w:ascii="Arial" w:hAnsi="Arial" w:cs="Arial"/>
        </w:rPr>
      </w:pPr>
      <w:r w:rsidRPr="004E3A00">
        <w:rPr>
          <w:rFonts w:ascii="Arial" w:eastAsia="Times New Roman" w:hAnsi="Arial" w:cs="Arial"/>
          <w:color w:val="000000"/>
          <w:lang w:eastAsia="en-GB"/>
        </w:rPr>
        <w:t xml:space="preserve">Our assessment of tree recruitment focussed on </w:t>
      </w:r>
      <w:r w:rsidR="009525F8">
        <w:rPr>
          <w:rFonts w:ascii="Arial" w:eastAsia="Times New Roman" w:hAnsi="Arial" w:cs="Arial"/>
          <w:color w:val="000000"/>
          <w:lang w:eastAsia="en-GB"/>
        </w:rPr>
        <w:t xml:space="preserve">beech </w:t>
      </w:r>
      <w:r w:rsidRPr="004E3A00">
        <w:rPr>
          <w:rFonts w:ascii="Arial" w:eastAsia="Times New Roman" w:hAnsi="Arial" w:cs="Arial"/>
          <w:color w:val="000000"/>
          <w:lang w:eastAsia="en-GB"/>
        </w:rPr>
        <w:t xml:space="preserve">saplings (woody stems &gt;1.3 m height and &lt;10 cm DBH) and seedlings. We tested for relationships </w:t>
      </w:r>
      <w:r w:rsidR="009525F8">
        <w:rPr>
          <w:rFonts w:ascii="Arial" w:eastAsia="Times New Roman" w:hAnsi="Arial" w:cs="Arial"/>
          <w:color w:val="000000"/>
          <w:lang w:eastAsia="en-GB"/>
        </w:rPr>
        <w:t>between the density of seedlings and saplings,</w:t>
      </w:r>
      <w:r w:rsidRPr="004E3A00">
        <w:rPr>
          <w:rFonts w:ascii="Arial" w:eastAsia="Times New Roman" w:hAnsi="Arial" w:cs="Arial"/>
          <w:color w:val="000000"/>
          <w:lang w:eastAsia="en-GB"/>
        </w:rPr>
        <w:t xml:space="preserve"> </w:t>
      </w:r>
      <w:proofErr w:type="spellStart"/>
      <w:r w:rsidRPr="004E3A00">
        <w:rPr>
          <w:rFonts w:ascii="Arial" w:eastAsia="Times New Roman" w:hAnsi="Arial" w:cs="Arial"/>
          <w:color w:val="000000"/>
          <w:lang w:eastAsia="en-GB"/>
        </w:rPr>
        <w:t>and</w:t>
      </w:r>
      <w:proofErr w:type="spellEnd"/>
      <w:r w:rsidRPr="004E3A00">
        <w:rPr>
          <w:rFonts w:ascii="Arial" w:eastAsia="Times New Roman" w:hAnsi="Arial" w:cs="Arial"/>
          <w:color w:val="000000"/>
          <w:lang w:eastAsia="en-GB"/>
        </w:rPr>
        <w:t xml:space="preserve"> canopy openness and grazing pressure using generalised linear models. To determine whether the widespread loss of smaller stems seen in a previous study at the site (Martin </w:t>
      </w:r>
      <w:r w:rsidRPr="004E3A00">
        <w:rPr>
          <w:rFonts w:ascii="Arial" w:eastAsia="Times New Roman" w:hAnsi="Arial" w:cs="Arial"/>
          <w:i/>
          <w:iCs/>
          <w:color w:val="000000"/>
          <w:lang w:eastAsia="en-GB"/>
        </w:rPr>
        <w:t>et al.</w:t>
      </w:r>
      <w:r w:rsidRPr="004E3A00">
        <w:rPr>
          <w:rFonts w:ascii="Arial" w:eastAsia="Times New Roman" w:hAnsi="Arial" w:cs="Arial"/>
          <w:color w:val="000000"/>
          <w:lang w:eastAsia="en-GB"/>
        </w:rPr>
        <w:t xml:space="preserve"> 2015) was largely attributable to growth of individuals into other size classes or mortality we tracked the fate of each sapling recorded. As part of this we also calculated the </w:t>
      </w:r>
      <w:r w:rsidR="00695472" w:rsidRPr="004E3A00">
        <w:rPr>
          <w:rFonts w:ascii="Arial" w:hAnsi="Arial" w:cs="Arial"/>
        </w:rPr>
        <w:t xml:space="preserve">annual mortality rate, </w:t>
      </w:r>
      <m:oMath>
        <m:r>
          <w:rPr>
            <w:rFonts w:ascii="Cambria Math" w:hAnsi="Cambria Math" w:cs="Arial"/>
          </w:rPr>
          <m:t>m</m:t>
        </m:r>
      </m:oMath>
      <w:r w:rsidR="00695472" w:rsidRPr="004E3A00">
        <w:rPr>
          <w:rFonts w:ascii="Arial" w:hAnsi="Arial" w:cs="Arial"/>
        </w:rPr>
        <w:t xml:space="preserve">, as defined by </w:t>
      </w:r>
      <w:r w:rsidR="00695472" w:rsidRPr="004E3A00">
        <w:rPr>
          <w:rFonts w:ascii="Arial" w:hAnsi="Arial" w:cs="Arial"/>
        </w:rPr>
        <w:fldChar w:fldCharType="begin" w:fldLock="1"/>
      </w:r>
      <w:r w:rsidR="00EC6C08" w:rsidRPr="004E3A00">
        <w:rPr>
          <w:rFonts w:ascii="Arial" w:hAnsi="Arial" w:cs="Arial"/>
        </w:rPr>
        <w:instrText>ADDIN CSL_CITATION { "citationItems" : [ { "id" : "ITEM-1", "itemData" : { "DOI" : "10.2307/2261571", "ISBN" : "0022-0477", "ISSN" : "00220477", "abstract" : "Annualised rate of mortality rann = 1 - (Nt/No)^(1/t) where No = number of individuals at beginning of interval, Nt = number of living individuals at end of interval and t = number of years (Sheil et al. 1995). Equivalent derivation: Survival proportion = exp[-rt] from assumption of constant instantaneous probability of mortality - giving exponential decline in cohort size Rate 'r' is an instantaneous probability of mortality per unit population, correctly called 'exponential mortality coefficient\" (Sheil et al 1995) t = time in years Probability of Survival to time (t) S = exp[ - r * time] = 1-mort mort = 1 - exp[ - t * r] therefore: r = ln[1-mort] / -t mort(1yr) = 1-exp[ -1 * 1.0 years * r]", "author" : [ { "dropping-particle" : "", "family" : "Sheil", "given" : "Douglas", "non-dropping-particle" : "", "parse-names" : false, "suffix" : "" }, { "dropping-particle" : "", "family" : "Burslem", "given" : "David F R P", "non-dropping-particle" : "", "parse-names" : false, "suffix" : "" }, { "dropping-particle" : "", "family" : "Alder", "given" : "Denis", "non-dropping-particle" : "", "parse-names" : false, "suffix" : "" } ], "container-title" : "Journal of Ecology", "id" : "ITEM-1", "issued" : { "date-parts" : [ [ "1995" ] ] }, "page" : "331-333", "title" : "The Interpretation and misinterpretation of mortality rate measures", "type" : "article-journal", "volume" : "83" }, "uris" : [ "http://www.mendeley.com/documents/?uuid=63b54c27-fe7c-4e82-af0d-2636ad90b107" ] } ], "mendeley" : { "formattedCitation" : "(Sheil, Burslem &amp; Alder 1995)", "manualFormatting" : "Sheil, Burslem &amp; Alder (1995)", "plainTextFormattedCitation" : "(Sheil, Burslem &amp; Alder 1995)", "previouslyFormattedCitation" : "(Sheil, Burslem &amp; Alder 1995)" }, "properties" : { "noteIndex" : 0 }, "schema" : "https://github.com/citation-style-language/schema/raw/master/csl-citation.json" }</w:instrText>
      </w:r>
      <w:r w:rsidR="00695472" w:rsidRPr="004E3A00">
        <w:rPr>
          <w:rFonts w:ascii="Arial" w:hAnsi="Arial" w:cs="Arial"/>
        </w:rPr>
        <w:fldChar w:fldCharType="separate"/>
      </w:r>
      <w:r w:rsidR="00695472" w:rsidRPr="004E3A00">
        <w:rPr>
          <w:rFonts w:ascii="Arial" w:hAnsi="Arial" w:cs="Arial"/>
          <w:noProof/>
        </w:rPr>
        <w:t>Sheil, Burslem &amp; Alder (1995)</w:t>
      </w:r>
      <w:r w:rsidR="00695472" w:rsidRPr="004E3A00">
        <w:rPr>
          <w:rFonts w:ascii="Arial" w:hAnsi="Arial" w:cs="Arial"/>
        </w:rPr>
        <w:fldChar w:fldCharType="end"/>
      </w:r>
      <w:r w:rsidR="00695472" w:rsidRPr="004E3A00">
        <w:rPr>
          <w:rFonts w:ascii="Arial" w:hAnsi="Arial" w:cs="Arial"/>
        </w:rPr>
        <w:t>:</w:t>
      </w:r>
    </w:p>
    <w:p w:rsidR="00695472" w:rsidRPr="004E3A00" w:rsidRDefault="00695472" w:rsidP="00695472">
      <w:pPr>
        <w:spacing w:line="360" w:lineRule="auto"/>
        <w:contextualSpacing/>
        <w:rPr>
          <w:rFonts w:ascii="Arial" w:eastAsiaTheme="minorEastAsia" w:hAnsi="Arial" w:cs="Arial"/>
        </w:rPr>
      </w:pPr>
      <m:oMathPara>
        <m:oMath>
          <m:r>
            <w:rPr>
              <w:rFonts w:ascii="Cambria Math" w:hAnsi="Cambria Math" w:cs="Arial"/>
            </w:rPr>
            <m:t>m=1-</m:t>
          </m:r>
          <m:sSup>
            <m:sSupPr>
              <m:ctrlPr>
                <w:rPr>
                  <w:rFonts w:ascii="Cambria Math" w:hAnsi="Cambria Math" w:cs="Arial"/>
                  <w:i/>
                </w:rPr>
              </m:ctrlPr>
            </m:sSupPr>
            <m:e>
              <m:d>
                <m:dPr>
                  <m:ctrlPr>
                    <w:rPr>
                      <w:rFonts w:ascii="Cambria Math" w:hAnsi="Cambria Math" w:cs="Arial"/>
                      <w:i/>
                    </w:rPr>
                  </m:ctrlPr>
                </m:dPr>
                <m:e>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N</m:t>
                          </m:r>
                        </m:e>
                        <m:sub>
                          <m:r>
                            <w:rPr>
                              <w:rFonts w:ascii="Cambria Math" w:hAnsi="Cambria Math" w:cs="Arial"/>
                            </w:rPr>
                            <m:t>0</m:t>
                          </m:r>
                        </m:sub>
                      </m:sSub>
                    </m:num>
                    <m:den>
                      <m:sSub>
                        <m:sSubPr>
                          <m:ctrlPr>
                            <w:rPr>
                              <w:rFonts w:ascii="Cambria Math" w:hAnsi="Cambria Math" w:cs="Arial"/>
                              <w:i/>
                            </w:rPr>
                          </m:ctrlPr>
                        </m:sSubPr>
                        <m:e>
                          <m:r>
                            <w:rPr>
                              <w:rFonts w:ascii="Cambria Math" w:hAnsi="Cambria Math" w:cs="Arial"/>
                            </w:rPr>
                            <m:t>N</m:t>
                          </m:r>
                        </m:e>
                        <m:sub>
                          <m:r>
                            <w:rPr>
                              <w:rFonts w:ascii="Cambria Math" w:hAnsi="Cambria Math" w:cs="Arial"/>
                            </w:rPr>
                            <m:t>1</m:t>
                          </m:r>
                        </m:sub>
                      </m:sSub>
                    </m:den>
                  </m:f>
                </m:e>
              </m:d>
            </m:e>
            <m:sup>
              <m:r>
                <w:rPr>
                  <w:rFonts w:ascii="Cambria Math" w:hAnsi="Cambria Math" w:cs="Arial"/>
                </w:rPr>
                <m:t>1/t</m:t>
              </m:r>
            </m:sup>
          </m:sSup>
        </m:oMath>
      </m:oMathPara>
    </w:p>
    <w:p w:rsidR="00695472" w:rsidRPr="004E3A00" w:rsidRDefault="00695472" w:rsidP="00695472">
      <w:pPr>
        <w:spacing w:line="360" w:lineRule="auto"/>
        <w:contextualSpacing/>
        <w:rPr>
          <w:rFonts w:ascii="Arial" w:eastAsiaTheme="minorEastAsia" w:hAnsi="Arial" w:cs="Arial"/>
        </w:rPr>
      </w:pPr>
      <w:proofErr w:type="gramStart"/>
      <w:r w:rsidRPr="004E3A00">
        <w:rPr>
          <w:rFonts w:ascii="Arial" w:eastAsiaTheme="minorEastAsia" w:hAnsi="Arial" w:cs="Arial"/>
        </w:rPr>
        <w:t>where</w:t>
      </w:r>
      <w:proofErr w:type="gramEnd"/>
      <w:r w:rsidRPr="004E3A00">
        <w:rPr>
          <w:rFonts w:ascii="Arial" w:eastAsiaTheme="minorEastAsia" w:hAnsi="Arial" w:cs="Arial"/>
        </w:rPr>
        <w:t xml:space="preserve"> </w:t>
      </w:r>
      <m:oMath>
        <m:sSub>
          <m:sSubPr>
            <m:ctrlPr>
              <w:rPr>
                <w:rFonts w:ascii="Cambria Math" w:hAnsi="Cambria Math" w:cs="Arial"/>
                <w:i/>
              </w:rPr>
            </m:ctrlPr>
          </m:sSubPr>
          <m:e>
            <m:r>
              <w:rPr>
                <w:rFonts w:ascii="Cambria Math" w:hAnsi="Cambria Math" w:cs="Arial"/>
              </w:rPr>
              <m:t>N</m:t>
            </m:r>
          </m:e>
          <m:sub>
            <m:r>
              <w:rPr>
                <w:rFonts w:ascii="Cambria Math" w:hAnsi="Cambria Math" w:cs="Arial"/>
              </w:rPr>
              <m:t>0</m:t>
            </m:r>
          </m:sub>
        </m:sSub>
      </m:oMath>
      <w:r w:rsidRPr="004E3A00">
        <w:rPr>
          <w:rFonts w:ascii="Arial" w:eastAsiaTheme="minorEastAsia" w:hAnsi="Arial" w:cs="Arial"/>
        </w:rPr>
        <w:t xml:space="preserve"> and </w:t>
      </w:r>
      <m:oMath>
        <m:sSub>
          <m:sSubPr>
            <m:ctrlPr>
              <w:rPr>
                <w:rFonts w:ascii="Cambria Math" w:hAnsi="Cambria Math" w:cs="Arial"/>
                <w:i/>
              </w:rPr>
            </m:ctrlPr>
          </m:sSubPr>
          <m:e>
            <m:r>
              <w:rPr>
                <w:rFonts w:ascii="Cambria Math" w:hAnsi="Cambria Math" w:cs="Arial"/>
              </w:rPr>
              <m:t>N</m:t>
            </m:r>
          </m:e>
          <m:sub>
            <m:r>
              <w:rPr>
                <w:rFonts w:ascii="Cambria Math" w:hAnsi="Cambria Math" w:cs="Arial"/>
              </w:rPr>
              <m:t>1</m:t>
            </m:r>
          </m:sub>
        </m:sSub>
      </m:oMath>
      <w:r w:rsidRPr="004E3A00">
        <w:rPr>
          <w:rFonts w:ascii="Arial" w:eastAsiaTheme="minorEastAsia" w:hAnsi="Arial" w:cs="Arial"/>
        </w:rPr>
        <w:t xml:space="preserve"> are the number of stems at the first and second surveys respectively and </w:t>
      </w:r>
      <m:oMath>
        <m:r>
          <w:rPr>
            <w:rFonts w:ascii="Cambria Math" w:hAnsi="Cambria Math" w:cs="Arial"/>
          </w:rPr>
          <m:t>t</m:t>
        </m:r>
      </m:oMath>
      <w:r w:rsidRPr="004E3A00">
        <w:rPr>
          <w:rFonts w:ascii="Arial" w:eastAsiaTheme="minorEastAsia" w:hAnsi="Arial" w:cs="Arial"/>
        </w:rPr>
        <w:t xml:space="preserve"> is the number of years between censuses.</w:t>
      </w:r>
    </w:p>
    <w:p w:rsidR="00C9060F" w:rsidRPr="004E3A00" w:rsidRDefault="00C9060F" w:rsidP="00F11B0B">
      <w:pPr>
        <w:spacing w:after="0" w:line="360" w:lineRule="auto"/>
        <w:contextualSpacing/>
        <w:rPr>
          <w:rFonts w:ascii="Times New Roman" w:eastAsia="Times New Roman" w:hAnsi="Times New Roman" w:cs="Times New Roman"/>
          <w:sz w:val="24"/>
          <w:szCs w:val="24"/>
          <w:lang w:eastAsia="en-GB"/>
        </w:rPr>
      </w:pPr>
    </w:p>
    <w:p w:rsidR="00C9060F" w:rsidRPr="004E3A00" w:rsidRDefault="00C9060F" w:rsidP="00F11B0B">
      <w:pPr>
        <w:spacing w:before="40" w:after="140" w:line="360" w:lineRule="auto"/>
        <w:contextualSpacing/>
        <w:rPr>
          <w:rFonts w:ascii="Times New Roman" w:eastAsia="Times New Roman" w:hAnsi="Times New Roman" w:cs="Times New Roman"/>
          <w:sz w:val="24"/>
          <w:szCs w:val="24"/>
          <w:lang w:eastAsia="en-GB"/>
        </w:rPr>
      </w:pPr>
      <w:r w:rsidRPr="004E3A00">
        <w:rPr>
          <w:rFonts w:ascii="Arial" w:eastAsia="Times New Roman" w:hAnsi="Arial" w:cs="Arial"/>
          <w:b/>
          <w:bCs/>
          <w:color w:val="000000"/>
          <w:lang w:eastAsia="en-GB"/>
        </w:rPr>
        <w:t>Individual tree mortality</w:t>
      </w:r>
    </w:p>
    <w:p w:rsidR="00C9060F" w:rsidRPr="004E3A00" w:rsidRDefault="00C9060F" w:rsidP="00F11B0B">
      <w:pPr>
        <w:spacing w:before="40" w:after="140" w:line="360" w:lineRule="auto"/>
        <w:ind w:firstLine="720"/>
        <w:contextualSpacing/>
        <w:rPr>
          <w:rFonts w:ascii="Times New Roman" w:eastAsia="Times New Roman" w:hAnsi="Times New Roman" w:cs="Times New Roman"/>
          <w:sz w:val="24"/>
          <w:szCs w:val="24"/>
          <w:lang w:eastAsia="en-GB"/>
        </w:rPr>
      </w:pPr>
      <w:r w:rsidRPr="004E3A00">
        <w:rPr>
          <w:rFonts w:ascii="Arial" w:eastAsia="Times New Roman" w:hAnsi="Arial" w:cs="Arial"/>
          <w:color w:val="000000"/>
          <w:lang w:eastAsia="en-GB"/>
        </w:rPr>
        <w:t xml:space="preserve">We assessed whether some of the mature tree mortality observed in Denny wood could be explained by the self-thinning process using a linear mixed model </w:t>
      </w:r>
      <w:r w:rsidR="00B06D6E" w:rsidRPr="004E3A00">
        <w:rPr>
          <w:rFonts w:ascii="Arial" w:eastAsia="Times New Roman" w:hAnsi="Arial" w:cs="Arial"/>
          <w:color w:val="000000"/>
          <w:lang w:eastAsia="en-GB"/>
        </w:rPr>
        <w:t>to relate stem density to basal area</w:t>
      </w:r>
      <w:r w:rsidR="00B06D6E">
        <w:rPr>
          <w:rFonts w:ascii="Arial" w:eastAsia="Times New Roman" w:hAnsi="Arial" w:cs="Arial"/>
          <w:color w:val="000000"/>
          <w:lang w:eastAsia="en-GB"/>
        </w:rPr>
        <w:t xml:space="preserve">, </w:t>
      </w:r>
      <w:r w:rsidRPr="004E3A00">
        <w:rPr>
          <w:rFonts w:ascii="Arial" w:eastAsia="Times New Roman" w:hAnsi="Arial" w:cs="Arial"/>
          <w:color w:val="000000"/>
          <w:lang w:eastAsia="en-GB"/>
        </w:rPr>
        <w:t xml:space="preserve">with subplot number as a random effect. </w:t>
      </w:r>
      <w:commentRangeStart w:id="2"/>
      <w:r w:rsidRPr="004E3A00">
        <w:rPr>
          <w:rFonts w:ascii="Arial" w:eastAsia="Times New Roman" w:hAnsi="Arial" w:cs="Arial"/>
          <w:color w:val="000000"/>
          <w:lang w:eastAsia="en-GB"/>
        </w:rPr>
        <w:t xml:space="preserve">A negative slope suggests a </w:t>
      </w:r>
      <w:r w:rsidRPr="004E3A00">
        <w:rPr>
          <w:rFonts w:ascii="Arial" w:eastAsia="Times New Roman" w:hAnsi="Arial" w:cs="Arial"/>
          <w:color w:val="000000"/>
          <w:lang w:eastAsia="en-GB"/>
        </w:rPr>
        <w:lastRenderedPageBreak/>
        <w:t>gain in BA with a loss of stem density while a positive slope suggests a gain in BA with increasing stem density</w:t>
      </w:r>
      <w:commentRangeEnd w:id="2"/>
      <w:r w:rsidR="00B06D6E">
        <w:rPr>
          <w:rStyle w:val="CommentReference"/>
        </w:rPr>
        <w:commentReference w:id="2"/>
      </w:r>
      <w:r w:rsidRPr="004E3A00">
        <w:rPr>
          <w:rFonts w:ascii="Arial" w:eastAsia="Times New Roman" w:hAnsi="Arial" w:cs="Arial"/>
          <w:color w:val="000000"/>
          <w:lang w:eastAsia="en-GB"/>
        </w:rPr>
        <w:t>.</w:t>
      </w:r>
    </w:p>
    <w:p w:rsidR="00C9060F" w:rsidRPr="00B06D6E" w:rsidRDefault="00C9060F" w:rsidP="00B06D6E">
      <w:pPr>
        <w:spacing w:before="40" w:after="140" w:line="360" w:lineRule="auto"/>
        <w:ind w:firstLine="720"/>
        <w:contextualSpacing/>
        <w:rPr>
          <w:rFonts w:ascii="Arial" w:eastAsia="Times New Roman" w:hAnsi="Arial" w:cs="Arial"/>
          <w:color w:val="000000"/>
          <w:lang w:eastAsia="en-GB"/>
        </w:rPr>
      </w:pPr>
      <w:r w:rsidRPr="004E3A00">
        <w:rPr>
          <w:rFonts w:ascii="Arial" w:eastAsia="Times New Roman" w:hAnsi="Arial" w:cs="Arial"/>
          <w:color w:val="000000"/>
          <w:lang w:eastAsia="en-GB"/>
        </w:rPr>
        <w:t xml:space="preserve">During data processing </w:t>
      </w:r>
      <w:r w:rsidR="00B06D6E">
        <w:rPr>
          <w:rFonts w:ascii="Arial" w:eastAsia="Times New Roman" w:hAnsi="Arial" w:cs="Arial"/>
          <w:color w:val="000000"/>
          <w:lang w:eastAsia="en-GB"/>
        </w:rPr>
        <w:t xml:space="preserve">to assess the effects of different variables on tree mortality, only </w:t>
      </w:r>
      <w:r w:rsidRPr="004E3A00">
        <w:rPr>
          <w:rFonts w:ascii="Arial" w:eastAsia="Times New Roman" w:hAnsi="Arial" w:cs="Arial"/>
          <w:color w:val="000000"/>
          <w:lang w:eastAsia="en-GB"/>
        </w:rPr>
        <w:t>trees with diameter measurements</w:t>
      </w:r>
      <w:r w:rsidR="00B06D6E">
        <w:rPr>
          <w:rFonts w:ascii="Arial" w:eastAsia="Times New Roman" w:hAnsi="Arial" w:cs="Arial"/>
          <w:color w:val="000000"/>
          <w:lang w:eastAsia="en-GB"/>
        </w:rPr>
        <w:t xml:space="preserve"> in the census year and previous census </w:t>
      </w:r>
      <w:r w:rsidRPr="004E3A00">
        <w:rPr>
          <w:rFonts w:ascii="Arial" w:eastAsia="Times New Roman" w:hAnsi="Arial" w:cs="Arial"/>
          <w:color w:val="000000"/>
          <w:lang w:eastAsia="en-GB"/>
        </w:rPr>
        <w:t xml:space="preserve">were included in analyses. Censuses on </w:t>
      </w:r>
      <w:proofErr w:type="gramStart"/>
      <w:r w:rsidRPr="004E3A00">
        <w:rPr>
          <w:rFonts w:ascii="Arial" w:eastAsia="Times New Roman" w:hAnsi="Arial" w:cs="Arial"/>
          <w:color w:val="000000"/>
          <w:lang w:eastAsia="en-GB"/>
        </w:rPr>
        <w:t>the transect</w:t>
      </w:r>
      <w:proofErr w:type="gramEnd"/>
      <w:r w:rsidRPr="004E3A00">
        <w:rPr>
          <w:rFonts w:ascii="Arial" w:eastAsia="Times New Roman" w:hAnsi="Arial" w:cs="Arial"/>
          <w:color w:val="000000"/>
          <w:lang w:eastAsia="en-GB"/>
        </w:rPr>
        <w:t xml:space="preserve"> were undertaken 5 times from 1964-2014 with a mean (± SD) census interval period of 12.5 ± 6.7 years (range 4-20 years). Since trees used in mortality models required censuse</w:t>
      </w:r>
      <w:r w:rsidR="008513D6" w:rsidRPr="004E3A00">
        <w:rPr>
          <w:rFonts w:ascii="Arial" w:eastAsia="Times New Roman" w:hAnsi="Arial" w:cs="Arial"/>
          <w:color w:val="000000"/>
          <w:lang w:eastAsia="en-GB"/>
        </w:rPr>
        <w:t xml:space="preserve">s </w:t>
      </w:r>
      <w:r w:rsidR="005B3436">
        <w:rPr>
          <w:rFonts w:ascii="Arial" w:eastAsia="Times New Roman" w:hAnsi="Arial" w:cs="Arial"/>
          <w:color w:val="000000"/>
          <w:lang w:eastAsia="en-GB"/>
        </w:rPr>
        <w:t>in</w:t>
      </w:r>
      <w:r w:rsidR="008513D6" w:rsidRPr="004E3A00">
        <w:rPr>
          <w:rFonts w:ascii="Arial" w:eastAsia="Times New Roman" w:hAnsi="Arial" w:cs="Arial"/>
          <w:color w:val="000000"/>
          <w:lang w:eastAsia="en-GB"/>
        </w:rPr>
        <w:t xml:space="preserve"> both </w:t>
      </w:r>
      <w:r w:rsidR="005B3436">
        <w:rPr>
          <w:rFonts w:ascii="Arial" w:eastAsia="Times New Roman" w:hAnsi="Arial" w:cs="Arial"/>
          <w:color w:val="000000"/>
          <w:lang w:eastAsia="en-GB"/>
        </w:rPr>
        <w:t xml:space="preserve">the census year and previous census </w:t>
      </w:r>
      <w:r w:rsidRPr="004E3A00">
        <w:rPr>
          <w:rFonts w:ascii="Arial" w:eastAsia="Times New Roman" w:hAnsi="Arial" w:cs="Arial"/>
          <w:color w:val="000000"/>
          <w:lang w:eastAsia="en-GB"/>
        </w:rPr>
        <w:t xml:space="preserve">we selected three non-overlapping census periods: 1984-1988, 1988-1996 and 1996-2014 (mean census period 10 ± 5.9 years). Statistical models of individual tree mortality were developed using logistic mixed effects models, which describe the probability that a tree dies in a given period of time. To correct for the variation in census interval we used a complementary log-log link with an offset equal to the census interval so that predictions from models were equivalent to the annual probability of mortality (Fortin </w:t>
      </w:r>
      <w:r w:rsidRPr="004E3A00">
        <w:rPr>
          <w:rFonts w:ascii="Arial" w:eastAsia="Times New Roman" w:hAnsi="Arial" w:cs="Arial"/>
          <w:i/>
          <w:iCs/>
          <w:color w:val="000000"/>
          <w:lang w:eastAsia="en-GB"/>
        </w:rPr>
        <w:t>et al.</w:t>
      </w:r>
      <w:r w:rsidRPr="004E3A00">
        <w:rPr>
          <w:rFonts w:ascii="Arial" w:eastAsia="Times New Roman" w:hAnsi="Arial" w:cs="Arial"/>
          <w:color w:val="000000"/>
          <w:lang w:eastAsia="en-GB"/>
        </w:rPr>
        <w:t xml:space="preserve"> 2008). Subplot ID number was used as a random effect to account for repeated sampling of the same plots (Fortin </w:t>
      </w:r>
      <w:r w:rsidRPr="004E3A00">
        <w:rPr>
          <w:rFonts w:ascii="Arial" w:eastAsia="Times New Roman" w:hAnsi="Arial" w:cs="Arial"/>
          <w:i/>
          <w:iCs/>
          <w:color w:val="000000"/>
          <w:lang w:eastAsia="en-GB"/>
        </w:rPr>
        <w:t>et al.</w:t>
      </w:r>
      <w:r w:rsidRPr="004E3A00">
        <w:rPr>
          <w:rFonts w:ascii="Arial" w:eastAsia="Times New Roman" w:hAnsi="Arial" w:cs="Arial"/>
          <w:color w:val="000000"/>
          <w:lang w:eastAsia="en-GB"/>
        </w:rPr>
        <w:t xml:space="preserve"> 2008).</w:t>
      </w:r>
    </w:p>
    <w:p w:rsidR="00C9060F" w:rsidRPr="004E3A00" w:rsidRDefault="00C9060F" w:rsidP="00F11B0B">
      <w:pPr>
        <w:spacing w:before="40" w:after="140" w:line="360" w:lineRule="auto"/>
        <w:contextualSpacing/>
        <w:rPr>
          <w:rFonts w:ascii="Times New Roman" w:eastAsia="Times New Roman" w:hAnsi="Times New Roman" w:cs="Times New Roman"/>
          <w:sz w:val="24"/>
          <w:szCs w:val="24"/>
          <w:lang w:eastAsia="en-GB"/>
        </w:rPr>
      </w:pPr>
      <w:r w:rsidRPr="004E3A00">
        <w:rPr>
          <w:rFonts w:ascii="Arial" w:eastAsia="Times New Roman" w:hAnsi="Arial" w:cs="Arial"/>
          <w:color w:val="000000"/>
          <w:lang w:eastAsia="en-GB"/>
        </w:rPr>
        <w:t>Models were developed in a four-step process similar to the workflow of</w:t>
      </w:r>
      <w:r w:rsidR="005B3436">
        <w:rPr>
          <w:rFonts w:ascii="Arial" w:eastAsia="Times New Roman" w:hAnsi="Arial" w:cs="Arial"/>
          <w:color w:val="000000"/>
          <w:lang w:eastAsia="en-GB"/>
        </w:rPr>
        <w:t xml:space="preserve"> Chao et al </w:t>
      </w:r>
      <w:r w:rsidR="005B3436">
        <w:rPr>
          <w:rFonts w:ascii="Arial" w:eastAsia="Times New Roman" w:hAnsi="Arial" w:cs="Arial"/>
          <w:color w:val="000000"/>
          <w:lang w:eastAsia="en-GB"/>
        </w:rPr>
        <w:fldChar w:fldCharType="begin" w:fldLock="1"/>
      </w:r>
      <w:r w:rsidR="005B3436">
        <w:rPr>
          <w:rFonts w:ascii="Arial" w:eastAsia="Times New Roman" w:hAnsi="Arial" w:cs="Arial"/>
          <w:color w:val="000000"/>
          <w:lang w:eastAsia="en-GB"/>
        </w:rPr>
        <w:instrText>ADDIN CSL_CITATION { "citationItems" : [ { "id" : "ITEM-1", "itemData" : { "DOI" : "10.1111/j.1365-2745.2007.01343.x", "ISBN" : "0022-0477", "ISSN" : "00220477", "abstract" : "* 1Tree mortality is an important process in forest ecology. We explored the extent to which tropical tree death is a predictable outcome of taxon and individual level properties by means of mixed-species logistic regression, for trees \u2265 10 cm in diameter. We worked in two lowland forest regions with markedly different floristic composition and dynamic regimes \u2013 the high wood density, low-mortality northeastern (NE) Amazon (in eastern Venezuela), and the low wood density, high-mortality northwestern (NW) Amazon (in northern Peru). * 2Among those genera that are shared between regions there were no detectable regional differences in mortality rates. This suggests that floristic compositional differences are a major driver of the twofold regional contrast in stand-level mortality. * 3In NE forests, mortality risk of individual trees is best predicted by low taxon-level wood density, slow relative growth, and large size, reflecting phylogenetically determined life-history strategy, physiological stress and senescence. * 4In NW forests, trees with low wood density and slow relative growth are also at most risk, but probability of death is independent of tree size, indicating that senescence is unimportant in this region. * 5Synthesis. This study shows that despite fundamental floristic and dynamic differences between the two Amazonian regions, mortality risk can be predicted with mixed-species, individual-based statistical models and that the predictors are remarkably similar, such that tree growth and wood density both play important roles.", "author" : [ { "dropping-particle" : "", "family" : "Chao", "given" : "Kuo Jung", "non-dropping-particle" : "", "parse-names" : false, "suffix" : "" }, { "dropping-particle" : "", "family" : "Phillips", "given" : "Oliver L.", "non-dropping-particle" : "", "parse-names" : false, "suffix" : "" }, { "dropping-particle" : "", "family" : "Gloor", "given" : "Emanuel", "non-dropping-particle" : "", "parse-names" : false, "suffix" : "" }, { "dropping-particle" : "", "family" : "Monteagudo", "given" : "Abel", "non-dropping-particle" : "", "parse-names" : false, "suffix" : "" }, { "dropping-particle" : "", "family" : "Torres-Lezama", "given" : "Armando", "non-dropping-particle" : "", "parse-names" : false, "suffix" : "" }, { "dropping-particle" : "", "family" : "Mart\u00ednez", "given" : "Rodolfo V\u00e1squez", "non-dropping-particle" : "", "parse-names" : false, "suffix" : "" } ], "container-title" : "Journal of Ecology", "id" : "ITEM-1", "issue" : "2", "issued" : { "date-parts" : [ [ "2008" ] ] }, "page" : "281-292", "title" : "Growth and wood density predict tree mortality in Amazon forests", "type" : "article-journal", "volume" : "96" }, "label" : "line", "suppress-author" : 1, "uris" : [ "http://www.mendeley.com/documents/?uuid=2043787f-48fb-4f14-9aca-a38c569453fc" ] } ], "mendeley" : { "formattedCitation" : "(2008)", "plainTextFormattedCitation" : "(2008)", "previouslyFormattedCitation" : "(2008)" }, "properties" : { "noteIndex" : 0 }, "schema" : "https://github.com/citation-style-language/schema/raw/master/csl-citation.json" }</w:instrText>
      </w:r>
      <w:r w:rsidR="005B3436">
        <w:rPr>
          <w:rFonts w:ascii="Arial" w:eastAsia="Times New Roman" w:hAnsi="Arial" w:cs="Arial"/>
          <w:color w:val="000000"/>
          <w:lang w:eastAsia="en-GB"/>
        </w:rPr>
        <w:fldChar w:fldCharType="separate"/>
      </w:r>
      <w:r w:rsidR="005B3436" w:rsidRPr="005B3436">
        <w:rPr>
          <w:rFonts w:ascii="Arial" w:eastAsia="Times New Roman" w:hAnsi="Arial" w:cs="Arial"/>
          <w:noProof/>
          <w:color w:val="000000"/>
          <w:lang w:eastAsia="en-GB"/>
        </w:rPr>
        <w:t>(2008)</w:t>
      </w:r>
      <w:r w:rsidR="005B3436">
        <w:rPr>
          <w:rFonts w:ascii="Arial" w:eastAsia="Times New Roman" w:hAnsi="Arial" w:cs="Arial"/>
          <w:color w:val="000000"/>
          <w:lang w:eastAsia="en-GB"/>
        </w:rPr>
        <w:fldChar w:fldCharType="end"/>
      </w:r>
      <w:r w:rsidRPr="004E3A00">
        <w:rPr>
          <w:rFonts w:ascii="Arial" w:eastAsia="Times New Roman" w:hAnsi="Arial" w:cs="Arial"/>
          <w:color w:val="000000"/>
          <w:lang w:eastAsia="en-GB"/>
        </w:rPr>
        <w:t>. In step 1 we prepared predictors classified into 4 groups:</w:t>
      </w:r>
    </w:p>
    <w:p w:rsidR="00C9060F" w:rsidRPr="00E031F8" w:rsidRDefault="00C9060F" w:rsidP="00F11B0B">
      <w:pPr>
        <w:pStyle w:val="ListParagraph"/>
        <w:numPr>
          <w:ilvl w:val="1"/>
          <w:numId w:val="2"/>
        </w:numPr>
        <w:spacing w:before="40" w:after="140" w:line="360" w:lineRule="auto"/>
        <w:rPr>
          <w:rFonts w:ascii="Times New Roman" w:eastAsia="Times New Roman" w:hAnsi="Times New Roman" w:cs="Times New Roman"/>
          <w:lang w:eastAsia="en-GB"/>
        </w:rPr>
      </w:pPr>
      <w:r w:rsidRPr="00E031F8">
        <w:rPr>
          <w:rFonts w:ascii="Arial" w:eastAsia="Times New Roman" w:hAnsi="Arial" w:cs="Arial"/>
          <w:color w:val="000000"/>
          <w:lang w:eastAsia="en-GB"/>
        </w:rPr>
        <w:t xml:space="preserve"> tree size – DBH (cm), Basal area (m</w:t>
      </w:r>
      <w:r w:rsidRPr="00E031F8">
        <w:rPr>
          <w:rFonts w:ascii="Arial" w:eastAsia="Times New Roman" w:hAnsi="Arial" w:cs="Arial"/>
          <w:color w:val="000000"/>
          <w:vertAlign w:val="superscript"/>
          <w:lang w:eastAsia="en-GB"/>
        </w:rPr>
        <w:t>2</w:t>
      </w:r>
      <w:r w:rsidRPr="00E031F8">
        <w:rPr>
          <w:rFonts w:ascii="Arial" w:eastAsia="Times New Roman" w:hAnsi="Arial" w:cs="Arial"/>
          <w:color w:val="000000"/>
          <w:lang w:eastAsia="en-GB"/>
        </w:rPr>
        <w:t>), and tree size relative to other trees in the transect (bounded between 0 and 1)</w:t>
      </w:r>
    </w:p>
    <w:p w:rsidR="00C9060F" w:rsidRPr="00E031F8" w:rsidRDefault="00C9060F" w:rsidP="00F11B0B">
      <w:pPr>
        <w:pStyle w:val="ListParagraph"/>
        <w:numPr>
          <w:ilvl w:val="1"/>
          <w:numId w:val="2"/>
        </w:numPr>
        <w:spacing w:before="40" w:after="140" w:line="360" w:lineRule="auto"/>
        <w:rPr>
          <w:rFonts w:ascii="Times New Roman" w:eastAsia="Times New Roman" w:hAnsi="Times New Roman" w:cs="Times New Roman"/>
          <w:lang w:eastAsia="en-GB"/>
        </w:rPr>
      </w:pPr>
      <w:r w:rsidRPr="00E031F8">
        <w:rPr>
          <w:rFonts w:ascii="Arial" w:eastAsia="Times New Roman" w:hAnsi="Arial" w:cs="Arial"/>
          <w:color w:val="000000"/>
          <w:lang w:eastAsia="en-GB"/>
        </w:rPr>
        <w:t>tree growth - Annual diameter growth rate (mm year</w:t>
      </w:r>
      <w:r w:rsidRPr="00E031F8">
        <w:rPr>
          <w:rFonts w:ascii="Arial" w:eastAsia="Times New Roman" w:hAnsi="Arial" w:cs="Arial"/>
          <w:color w:val="000000"/>
          <w:vertAlign w:val="superscript"/>
          <w:lang w:eastAsia="en-GB"/>
        </w:rPr>
        <w:t>-1</w:t>
      </w:r>
      <w:r w:rsidRPr="00E031F8">
        <w:rPr>
          <w:rFonts w:ascii="Arial" w:eastAsia="Times New Roman" w:hAnsi="Arial" w:cs="Arial"/>
          <w:color w:val="000000"/>
          <w:lang w:eastAsia="en-GB"/>
        </w:rPr>
        <w:t>), basal area growth rate (mm</w:t>
      </w:r>
      <w:r w:rsidRPr="00E031F8">
        <w:rPr>
          <w:rFonts w:ascii="Arial" w:eastAsia="Times New Roman" w:hAnsi="Arial" w:cs="Arial"/>
          <w:color w:val="000000"/>
          <w:vertAlign w:val="superscript"/>
          <w:lang w:eastAsia="en-GB"/>
        </w:rPr>
        <w:t xml:space="preserve">2 </w:t>
      </w:r>
      <w:r w:rsidRPr="00E031F8">
        <w:rPr>
          <w:rFonts w:ascii="Arial" w:eastAsia="Times New Roman" w:hAnsi="Arial" w:cs="Arial"/>
          <w:color w:val="000000"/>
          <w:lang w:eastAsia="en-GB"/>
        </w:rPr>
        <w:t>year</w:t>
      </w:r>
      <w:r w:rsidRPr="00E031F8">
        <w:rPr>
          <w:rFonts w:ascii="Arial" w:eastAsia="Times New Roman" w:hAnsi="Arial" w:cs="Arial"/>
          <w:color w:val="000000"/>
          <w:vertAlign w:val="superscript"/>
          <w:lang w:eastAsia="en-GB"/>
        </w:rPr>
        <w:t>-1</w:t>
      </w:r>
      <w:r w:rsidRPr="00E031F8">
        <w:rPr>
          <w:rFonts w:ascii="Arial" w:eastAsia="Times New Roman" w:hAnsi="Arial" w:cs="Arial"/>
          <w:color w:val="000000"/>
          <w:lang w:eastAsia="en-GB"/>
        </w:rPr>
        <w:t>), relative DBH growth rate (% DBH increase year</w:t>
      </w:r>
      <w:r w:rsidRPr="00E031F8">
        <w:rPr>
          <w:rFonts w:ascii="Arial" w:eastAsia="Times New Roman" w:hAnsi="Arial" w:cs="Arial"/>
          <w:color w:val="000000"/>
          <w:vertAlign w:val="superscript"/>
          <w:lang w:eastAsia="en-GB"/>
        </w:rPr>
        <w:t>-1</w:t>
      </w:r>
      <w:r w:rsidRPr="00E031F8">
        <w:rPr>
          <w:rFonts w:ascii="Arial" w:eastAsia="Times New Roman" w:hAnsi="Arial" w:cs="Arial"/>
          <w:color w:val="000000"/>
          <w:lang w:eastAsia="en-GB"/>
        </w:rPr>
        <w:t>), and relative BA growth rate (% BA increase year</w:t>
      </w:r>
      <w:r w:rsidRPr="00E031F8">
        <w:rPr>
          <w:rFonts w:ascii="Arial" w:eastAsia="Times New Roman" w:hAnsi="Arial" w:cs="Arial"/>
          <w:color w:val="000000"/>
          <w:vertAlign w:val="superscript"/>
          <w:lang w:eastAsia="en-GB"/>
        </w:rPr>
        <w:t>-1</w:t>
      </w:r>
      <w:r w:rsidRPr="00E031F8">
        <w:rPr>
          <w:rFonts w:ascii="Arial" w:eastAsia="Times New Roman" w:hAnsi="Arial" w:cs="Arial"/>
          <w:color w:val="000000"/>
          <w:lang w:eastAsia="en-GB"/>
        </w:rPr>
        <w:t>)</w:t>
      </w:r>
    </w:p>
    <w:p w:rsidR="00C9060F" w:rsidRPr="00E031F8" w:rsidRDefault="00C9060F" w:rsidP="00F11B0B">
      <w:pPr>
        <w:pStyle w:val="ListParagraph"/>
        <w:numPr>
          <w:ilvl w:val="1"/>
          <w:numId w:val="2"/>
        </w:numPr>
        <w:spacing w:before="40" w:after="140" w:line="360" w:lineRule="auto"/>
        <w:rPr>
          <w:rFonts w:ascii="Times New Roman" w:eastAsia="Times New Roman" w:hAnsi="Times New Roman" w:cs="Times New Roman"/>
          <w:lang w:eastAsia="en-GB"/>
        </w:rPr>
      </w:pPr>
      <w:r w:rsidRPr="00E031F8">
        <w:rPr>
          <w:rFonts w:ascii="Arial" w:eastAsia="Times New Roman" w:hAnsi="Arial" w:cs="Arial"/>
          <w:color w:val="000000"/>
          <w:lang w:eastAsia="en-GB"/>
        </w:rPr>
        <w:t>proximity to dead trees - distance of an individual tree to a dead tree and abundance of dead trees in a 10m buffer</w:t>
      </w:r>
    </w:p>
    <w:p w:rsidR="00C9060F" w:rsidRPr="00E031F8" w:rsidRDefault="00C9060F" w:rsidP="00F11B0B">
      <w:pPr>
        <w:pStyle w:val="ListParagraph"/>
        <w:numPr>
          <w:ilvl w:val="1"/>
          <w:numId w:val="2"/>
        </w:numPr>
        <w:spacing w:before="40" w:after="140" w:line="360" w:lineRule="auto"/>
        <w:rPr>
          <w:rFonts w:ascii="Times New Roman" w:eastAsia="Times New Roman" w:hAnsi="Times New Roman" w:cs="Times New Roman"/>
          <w:lang w:eastAsia="en-GB"/>
        </w:rPr>
      </w:pPr>
      <w:r w:rsidRPr="00E031F8">
        <w:rPr>
          <w:rFonts w:ascii="Arial" w:eastAsia="Times New Roman" w:hAnsi="Arial" w:cs="Arial"/>
          <w:color w:val="000000"/>
          <w:lang w:eastAsia="en-GB"/>
        </w:rPr>
        <w:t>soil type - percentage of each soil sample classified as sand</w:t>
      </w:r>
    </w:p>
    <w:p w:rsidR="00C9060F" w:rsidRPr="004E3A00" w:rsidRDefault="00C9060F" w:rsidP="00F11B0B">
      <w:pPr>
        <w:spacing w:before="40" w:after="140" w:line="360" w:lineRule="auto"/>
        <w:ind w:firstLine="720"/>
        <w:contextualSpacing/>
        <w:rPr>
          <w:rFonts w:ascii="Times New Roman" w:eastAsia="Times New Roman" w:hAnsi="Times New Roman" w:cs="Times New Roman"/>
          <w:sz w:val="24"/>
          <w:szCs w:val="24"/>
          <w:lang w:eastAsia="en-GB"/>
        </w:rPr>
      </w:pPr>
      <w:r w:rsidRPr="004E3A00">
        <w:rPr>
          <w:rFonts w:ascii="Arial" w:eastAsia="Times New Roman" w:hAnsi="Arial" w:cs="Arial"/>
          <w:color w:val="000000"/>
          <w:lang w:eastAsia="en-GB"/>
        </w:rPr>
        <w:t xml:space="preserve">For more detail on the calculation of these variables see the supplementary materials. All model variables were standardised using the methods of </w:t>
      </w:r>
      <w:proofErr w:type="spellStart"/>
      <w:r w:rsidRPr="004E3A00">
        <w:rPr>
          <w:rFonts w:ascii="Arial" w:eastAsia="Times New Roman" w:hAnsi="Arial" w:cs="Arial"/>
          <w:color w:val="000000"/>
          <w:lang w:eastAsia="en-GB"/>
        </w:rPr>
        <w:t>Schielzeth</w:t>
      </w:r>
      <w:proofErr w:type="spellEnd"/>
      <w:r w:rsidRPr="004E3A00">
        <w:rPr>
          <w:rFonts w:ascii="Arial" w:eastAsia="Times New Roman" w:hAnsi="Arial" w:cs="Arial"/>
          <w:color w:val="000000"/>
          <w:lang w:eastAsia="en-GB"/>
        </w:rPr>
        <w:t xml:space="preserve"> </w:t>
      </w:r>
      <w:r w:rsidR="00C049AF" w:rsidRPr="004E3A00">
        <w:rPr>
          <w:rFonts w:ascii="Arial" w:eastAsia="Times New Roman" w:hAnsi="Arial" w:cs="Arial"/>
          <w:color w:val="000000"/>
          <w:lang w:eastAsia="en-GB"/>
        </w:rPr>
        <w:fldChar w:fldCharType="begin" w:fldLock="1"/>
      </w:r>
      <w:r w:rsidR="00C049AF" w:rsidRPr="004E3A00">
        <w:rPr>
          <w:rFonts w:ascii="Arial" w:eastAsia="Times New Roman" w:hAnsi="Arial" w:cs="Arial"/>
          <w:color w:val="000000"/>
          <w:lang w:eastAsia="en-GB"/>
        </w:rPr>
        <w:instrText>ADDIN CSL_CITATION { "citationItems" : [ { "id" : "ITEM-1", "itemData" : { "DOI" : "10.1111/j.2041-210X.2010.00012.x", "ISSN" : "2041210X", "author" : [ { "dropping-particle" : "", "family" : "Schielzeth", "given" : "Holger", "non-dropping-particle" : "", "parse-names" : false, "suffix" : "" } ], "container-title" : "Methods in Ecology and Evolution", "id" : "ITEM-1", "issue" : "2", "issued" : { "date-parts" : [ [ "2010", "2", "10" ] ] }, "page" : "103-113", "title" : "Simple means to improve the interpretability of regression coefficients", "type" : "article-journal", "volume" : "1" }, "label" : "line", "suppress-author" : 1, "uris" : [ "http://www.mendeley.com/documents/?uuid=95f07ff0-4dc4-492c-b3a1-9233f1cef03d" ] } ], "mendeley" : { "formattedCitation" : "(2010)", "plainTextFormattedCitation" : "(2010)", "previouslyFormattedCitation" : "(2010)" }, "properties" : { "noteIndex" : 0 }, "schema" : "https://github.com/citation-style-language/schema/raw/master/csl-citation.json" }</w:instrText>
      </w:r>
      <w:r w:rsidR="00C049AF" w:rsidRPr="004E3A00">
        <w:rPr>
          <w:rFonts w:ascii="Arial" w:eastAsia="Times New Roman" w:hAnsi="Arial" w:cs="Arial"/>
          <w:color w:val="000000"/>
          <w:lang w:eastAsia="en-GB"/>
        </w:rPr>
        <w:fldChar w:fldCharType="separate"/>
      </w:r>
      <w:r w:rsidR="00C049AF" w:rsidRPr="004E3A00">
        <w:rPr>
          <w:rFonts w:ascii="Arial" w:eastAsia="Times New Roman" w:hAnsi="Arial" w:cs="Arial"/>
          <w:noProof/>
          <w:color w:val="000000"/>
          <w:lang w:eastAsia="en-GB"/>
        </w:rPr>
        <w:t>(2010)</w:t>
      </w:r>
      <w:r w:rsidR="00C049AF" w:rsidRPr="004E3A00">
        <w:rPr>
          <w:rFonts w:ascii="Arial" w:eastAsia="Times New Roman" w:hAnsi="Arial" w:cs="Arial"/>
          <w:color w:val="000000"/>
          <w:lang w:eastAsia="en-GB"/>
        </w:rPr>
        <w:fldChar w:fldCharType="end"/>
      </w:r>
      <w:r w:rsidR="00C049AF" w:rsidRPr="004E3A00">
        <w:rPr>
          <w:rFonts w:ascii="Arial" w:eastAsia="Times New Roman" w:hAnsi="Arial" w:cs="Arial"/>
          <w:color w:val="000000"/>
          <w:lang w:eastAsia="en-GB"/>
        </w:rPr>
        <w:t xml:space="preserve"> </w:t>
      </w:r>
      <w:r w:rsidRPr="004E3A00">
        <w:rPr>
          <w:rFonts w:ascii="Arial" w:eastAsia="Times New Roman" w:hAnsi="Arial" w:cs="Arial"/>
          <w:color w:val="000000"/>
          <w:lang w:eastAsia="en-GB"/>
        </w:rPr>
        <w:t xml:space="preserve">by subtracting the mean of the variable and dividing by its standard deviation. This allows coefficients to be interpreted as effect sizes, reduces </w:t>
      </w:r>
      <w:proofErr w:type="spellStart"/>
      <w:r w:rsidRPr="004E3A00">
        <w:rPr>
          <w:rFonts w:ascii="Arial" w:eastAsia="Times New Roman" w:hAnsi="Arial" w:cs="Arial"/>
          <w:color w:val="000000"/>
          <w:lang w:eastAsia="en-GB"/>
        </w:rPr>
        <w:t>collinearity</w:t>
      </w:r>
      <w:proofErr w:type="spellEnd"/>
      <w:r w:rsidRPr="004E3A00">
        <w:rPr>
          <w:rFonts w:ascii="Arial" w:eastAsia="Times New Roman" w:hAnsi="Arial" w:cs="Arial"/>
          <w:color w:val="000000"/>
          <w:lang w:eastAsia="en-GB"/>
        </w:rPr>
        <w:t xml:space="preserve"> between variables and improves model convergence </w:t>
      </w:r>
      <w:r w:rsidR="00C049AF" w:rsidRPr="004E3A00">
        <w:rPr>
          <w:rFonts w:ascii="Arial" w:eastAsia="Times New Roman" w:hAnsi="Arial" w:cs="Arial"/>
          <w:color w:val="000000"/>
          <w:lang w:eastAsia="en-GB"/>
        </w:rPr>
        <w:fldChar w:fldCharType="begin" w:fldLock="1"/>
      </w:r>
      <w:r w:rsidR="00EC6C08" w:rsidRPr="004E3A00">
        <w:rPr>
          <w:rFonts w:ascii="Arial" w:eastAsia="Times New Roman" w:hAnsi="Arial" w:cs="Arial"/>
          <w:color w:val="000000"/>
          <w:lang w:eastAsia="en-GB"/>
        </w:rPr>
        <w:instrText>ADDIN CSL_CITATION { "citationItems" : [ { "id" : "ITEM-1", "itemData" : { "DOI" : "10.1111/j.2041-210X.2010.00012.x", "ISSN" : "2041210X", "author" : [ { "dropping-particle" : "", "family" : "Schielzeth", "given" : "Holger", "non-dropping-particle" : "", "parse-names" : false, "suffix" : "" } ], "container-title" : "Methods in Ecology and Evolution", "id" : "ITEM-1", "issue" : "2", "issued" : { "date-parts" : [ [ "2010", "2", "10" ] ] }, "page" : "103-113", "title" : "Simple means to improve the interpretability of regression coefficients", "type" : "article-journal", "volume" : "1" }, "uris" : [ "http://www.mendeley.com/documents/?uuid=95f07ff0-4dc4-492c-b3a1-9233f1cef03d" ] } ], "mendeley" : { "formattedCitation" : "(Schielzeth 2010)", "plainTextFormattedCitation" : "(Schielzeth 2010)", "previouslyFormattedCitation" : "(Schielzeth 2010)" }, "properties" : { "noteIndex" : 0 }, "schema" : "https://github.com/citation-style-language/schema/raw/master/csl-citation.json" }</w:instrText>
      </w:r>
      <w:r w:rsidR="00C049AF" w:rsidRPr="004E3A00">
        <w:rPr>
          <w:rFonts w:ascii="Arial" w:eastAsia="Times New Roman" w:hAnsi="Arial" w:cs="Arial"/>
          <w:color w:val="000000"/>
          <w:lang w:eastAsia="en-GB"/>
        </w:rPr>
        <w:fldChar w:fldCharType="separate"/>
      </w:r>
      <w:r w:rsidR="00732C7B" w:rsidRPr="004E3A00">
        <w:rPr>
          <w:rFonts w:ascii="Arial" w:eastAsia="Times New Roman" w:hAnsi="Arial" w:cs="Arial"/>
          <w:noProof/>
          <w:color w:val="000000"/>
          <w:lang w:eastAsia="en-GB"/>
        </w:rPr>
        <w:t>(Schielzeth 2010)</w:t>
      </w:r>
      <w:r w:rsidR="00C049AF" w:rsidRPr="004E3A00">
        <w:rPr>
          <w:rFonts w:ascii="Arial" w:eastAsia="Times New Roman" w:hAnsi="Arial" w:cs="Arial"/>
          <w:color w:val="000000"/>
          <w:lang w:eastAsia="en-GB"/>
        </w:rPr>
        <w:fldChar w:fldCharType="end"/>
      </w:r>
      <w:r w:rsidR="00C049AF" w:rsidRPr="004E3A00">
        <w:rPr>
          <w:rFonts w:ascii="Arial" w:eastAsia="Times New Roman" w:hAnsi="Arial" w:cs="Arial"/>
          <w:color w:val="000000"/>
          <w:lang w:eastAsia="en-GB"/>
        </w:rPr>
        <w:t>.</w:t>
      </w:r>
    </w:p>
    <w:p w:rsidR="00C9060F" w:rsidRPr="004E3A00" w:rsidRDefault="00C9060F" w:rsidP="00C049AF">
      <w:pPr>
        <w:spacing w:before="40" w:after="140" w:line="360" w:lineRule="auto"/>
        <w:ind w:firstLine="720"/>
        <w:contextualSpacing/>
        <w:rPr>
          <w:rFonts w:ascii="Arial" w:eastAsia="Times New Roman" w:hAnsi="Arial" w:cs="Arial"/>
          <w:color w:val="000000"/>
          <w:lang w:eastAsia="en-GB"/>
        </w:rPr>
      </w:pPr>
      <w:r w:rsidRPr="004E3A00">
        <w:rPr>
          <w:rFonts w:ascii="Arial" w:eastAsia="Times New Roman" w:hAnsi="Arial" w:cs="Arial"/>
          <w:color w:val="000000"/>
          <w:lang w:eastAsia="en-GB"/>
        </w:rPr>
        <w:t xml:space="preserve">In step 2 we selected the best predictor for each group by choosing the </w:t>
      </w:r>
      <w:proofErr w:type="spellStart"/>
      <w:r w:rsidRPr="004E3A00">
        <w:rPr>
          <w:rFonts w:ascii="Arial" w:eastAsia="Times New Roman" w:hAnsi="Arial" w:cs="Arial"/>
          <w:color w:val="000000"/>
          <w:lang w:eastAsia="en-GB"/>
        </w:rPr>
        <w:t>univariate</w:t>
      </w:r>
      <w:proofErr w:type="spellEnd"/>
      <w:r w:rsidRPr="004E3A00">
        <w:rPr>
          <w:rFonts w:ascii="Arial" w:eastAsia="Times New Roman" w:hAnsi="Arial" w:cs="Arial"/>
          <w:color w:val="000000"/>
          <w:lang w:eastAsia="en-GB"/>
        </w:rPr>
        <w:t xml:space="preserve"> logistic mixed effect models which had the lowest </w:t>
      </w:r>
      <w:proofErr w:type="spellStart"/>
      <w:r w:rsidRPr="004E3A00">
        <w:rPr>
          <w:rFonts w:ascii="Arial" w:eastAsia="Times New Roman" w:hAnsi="Arial" w:cs="Arial"/>
          <w:color w:val="000000"/>
          <w:lang w:eastAsia="en-GB"/>
        </w:rPr>
        <w:t>AICc</w:t>
      </w:r>
      <w:proofErr w:type="spellEnd"/>
      <w:r w:rsidR="005B3436">
        <w:rPr>
          <w:rFonts w:ascii="Arial" w:eastAsia="Times New Roman" w:hAnsi="Arial" w:cs="Arial"/>
          <w:color w:val="000000"/>
          <w:lang w:eastAsia="en-GB"/>
        </w:rPr>
        <w:t xml:space="preserve"> </w:t>
      </w:r>
      <w:r w:rsidR="005B3436">
        <w:rPr>
          <w:rFonts w:ascii="Arial" w:eastAsia="Times New Roman" w:hAnsi="Arial" w:cs="Arial"/>
          <w:color w:val="000000"/>
          <w:lang w:eastAsia="en-GB"/>
        </w:rPr>
        <w:fldChar w:fldCharType="begin" w:fldLock="1"/>
      </w:r>
      <w:r w:rsidR="005B3436">
        <w:rPr>
          <w:rFonts w:ascii="Arial" w:eastAsia="Times New Roman" w:hAnsi="Arial" w:cs="Arial"/>
          <w:color w:val="000000"/>
          <w:lang w:eastAsia="en-GB"/>
        </w:rPr>
        <w:instrText>ADDIN CSL_CITATION { "citationItems" : [ { "id" : "ITEM-1", "itemData" : { "DOI" : "10.1111/j.1365-2745.2007.01343.x", "ISBN" : "0022-0477", "ISSN" : "00220477", "abstract" : "* 1Tree mortality is an important process in forest ecology. We explored the extent to which tropical tree death is a predictable outcome of taxon and individual level properties by means of mixed-species logistic regression, for trees \u2265 10 cm in diameter. We worked in two lowland forest regions with markedly different floristic composition and dynamic regimes \u2013 the high wood density, low-mortality northeastern (NE) Amazon (in eastern Venezuela), and the low wood density, high-mortality northwestern (NW) Amazon (in northern Peru). * 2Among those genera that are shared between regions there were no detectable regional differences in mortality rates. This suggests that floristic compositional differences are a major driver of the twofold regional contrast in stand-level mortality. * 3In NE forests, mortality risk of individual trees is best predicted by low taxon-level wood density, slow relative growth, and large size, reflecting phylogenetically determined life-history strategy, physiological stress and senescence. * 4In NW forests, trees with low wood density and slow relative growth are also at most risk, but probability of death is independent of tree size, indicating that senescence is unimportant in this region. * 5Synthesis. This study shows that despite fundamental floristic and dynamic differences between the two Amazonian regions, mortality risk can be predicted with mixed-species, individual-based statistical models and that the predictors are remarkably similar, such that tree growth and wood density both play important roles.", "author" : [ { "dropping-particle" : "", "family" : "Chao", "given" : "Kuo Jung", "non-dropping-particle" : "", "parse-names" : false, "suffix" : "" }, { "dropping-particle" : "", "family" : "Phillips", "given" : "Oliver L.", "non-dropping-particle" : "", "parse-names" : false, "suffix" : "" }, { "dropping-particle" : "", "family" : "Gloor", "given" : "Emanuel", "non-dropping-particle" : "", "parse-names" : false, "suffix" : "" }, { "dropping-particle" : "", "family" : "Monteagudo", "given" : "Abel", "non-dropping-particle" : "", "parse-names" : false, "suffix" : "" }, { "dropping-particle" : "", "family" : "Torres-Lezama", "given" : "Armando", "non-dropping-particle" : "", "parse-names" : false, "suffix" : "" }, { "dropping-particle" : "", "family" : "Mart\u00ednez", "given" : "Rodolfo V\u00e1squez", "non-dropping-particle" : "", "parse-names" : false, "suffix" : "" } ], "container-title" : "Journal of Ecology", "id" : "ITEM-1", "issue" : "2", "issued" : { "date-parts" : [ [ "2008" ] ] }, "page" : "281-292", "title" : "Growth and wood density predict tree mortality in Amazon forests", "type" : "article-journal", "volume" : "96" }, "uris" : [ "http://www.mendeley.com/documents/?uuid=2043787f-48fb-4f14-9aca-a38c569453fc" ] }, { "id" : "ITEM-2", "itemData" : { "DOI" : "10.1016/j.ecolmodel.2003.11.004", "ISBN" : "0387953647", "ISSN" : "03043800", "PMID" : "48557578", "abstract" : "The second edition of this book is unique in that it focuses on methods for making formal statistical inference from all the models in an a priori set (Multi-Model Inference). A philosophy is presented for model-based data analysis and a general strategy outlined for the analysis of empirical data. The book invites increased attention on a priori science hypotheses and modeling.Kullback-Leibler Information represents a fundamental quantity in science and is Hirotugu Akaike's basis for model selection. The maximized log-likelihood function can be bias-corrected as an estimator of expected, relative Kullback-Leibler information. This leads to Akaike's Information Criterion (AIC) and various extensions. These methods are relatively simple and easy to use in practice, but based on deep statistical theory. The information theoretic approaches provide a unified and rigorous theory, an extension of likelihood theory, an important application of information theory, and are objective and practical to employ across a very wide class of empirical problems.The book presents several new ways to incorporate model selection uncertainty into parameter estimates and estimates of precision. An array of challenging examples is given to illustrate various technical issues.This is an applied book written primarily for biologists and statisticians wanting to make inferences from multiple models and is suitable as a graduate text or as a reference for professional analysts.", "author" : [ { "dropping-particle" : "", "family" : "Burnham", "given" : "K.P.", "non-dropping-particle" : "", "parse-names" : false, "suffix" : "" }, { "dropping-particle" : "", "family" : "Anderson", "given" : "D.R.", "non-dropping-particle" : "", "parse-names" : false, "suffix" : "" } ], "container-title" : "Ecological Modelling", "id" : "ITEM-2", "issued" : { "date-parts" : [ [ "2002" ] ] }, "number-of-pages" : "488", "title" : "Model selection and multimodel inference: a practical information-theoretic approach", "type" : "book", "volume" : "172" }, "uris" : [ "http://www.mendeley.com/documents/?uuid=86bbd164-9afc-47d0-9cb9-c08babc7ea8c" ] } ], "mendeley" : { "formattedCitation" : "(Burnham &amp; Anderson 2002; Chao &lt;i&gt;et al.&lt;/i&gt; 2008)", "plainTextFormattedCitation" : "(Burnham &amp; Anderson 2002; Chao et al. 2008)", "previouslyFormattedCitation" : "(Burnham &amp; Anderson 2002; Chao &lt;i&gt;et al.&lt;/i&gt; 2008)" }, "properties" : { "noteIndex" : 0 }, "schema" : "https://github.com/citation-style-language/schema/raw/master/csl-citation.json" }</w:instrText>
      </w:r>
      <w:r w:rsidR="005B3436">
        <w:rPr>
          <w:rFonts w:ascii="Arial" w:eastAsia="Times New Roman" w:hAnsi="Arial" w:cs="Arial"/>
          <w:color w:val="000000"/>
          <w:lang w:eastAsia="en-GB"/>
        </w:rPr>
        <w:fldChar w:fldCharType="separate"/>
      </w:r>
      <w:r w:rsidR="005B3436" w:rsidRPr="005B3436">
        <w:rPr>
          <w:rFonts w:ascii="Arial" w:eastAsia="Times New Roman" w:hAnsi="Arial" w:cs="Arial"/>
          <w:noProof/>
          <w:color w:val="000000"/>
          <w:lang w:eastAsia="en-GB"/>
        </w:rPr>
        <w:t xml:space="preserve">(Burnham &amp; Anderson 2002; Chao </w:t>
      </w:r>
      <w:r w:rsidR="005B3436" w:rsidRPr="005B3436">
        <w:rPr>
          <w:rFonts w:ascii="Arial" w:eastAsia="Times New Roman" w:hAnsi="Arial" w:cs="Arial"/>
          <w:i/>
          <w:noProof/>
          <w:color w:val="000000"/>
          <w:lang w:eastAsia="en-GB"/>
        </w:rPr>
        <w:t>et al.</w:t>
      </w:r>
      <w:r w:rsidR="005B3436" w:rsidRPr="005B3436">
        <w:rPr>
          <w:rFonts w:ascii="Arial" w:eastAsia="Times New Roman" w:hAnsi="Arial" w:cs="Arial"/>
          <w:noProof/>
          <w:color w:val="000000"/>
          <w:lang w:eastAsia="en-GB"/>
        </w:rPr>
        <w:t xml:space="preserve"> 2008)</w:t>
      </w:r>
      <w:r w:rsidR="005B3436">
        <w:rPr>
          <w:rFonts w:ascii="Arial" w:eastAsia="Times New Roman" w:hAnsi="Arial" w:cs="Arial"/>
          <w:color w:val="000000"/>
          <w:lang w:eastAsia="en-GB"/>
        </w:rPr>
        <w:fldChar w:fldCharType="end"/>
      </w:r>
      <w:r w:rsidRPr="004E3A00">
        <w:rPr>
          <w:rFonts w:ascii="Arial" w:eastAsia="Times New Roman" w:hAnsi="Arial" w:cs="Arial"/>
          <w:color w:val="000000"/>
          <w:lang w:eastAsia="en-GB"/>
        </w:rPr>
        <w:t xml:space="preserve">. This step reduces </w:t>
      </w:r>
      <w:proofErr w:type="spellStart"/>
      <w:r w:rsidRPr="004E3A00">
        <w:rPr>
          <w:rFonts w:ascii="Arial" w:eastAsia="Times New Roman" w:hAnsi="Arial" w:cs="Arial"/>
          <w:color w:val="000000"/>
          <w:lang w:eastAsia="en-GB"/>
        </w:rPr>
        <w:t>intercorrelation</w:t>
      </w:r>
      <w:proofErr w:type="spellEnd"/>
      <w:r w:rsidRPr="004E3A00">
        <w:rPr>
          <w:rFonts w:ascii="Arial" w:eastAsia="Times New Roman" w:hAnsi="Arial" w:cs="Arial"/>
          <w:color w:val="000000"/>
          <w:lang w:eastAsia="en-GB"/>
        </w:rPr>
        <w:t xml:space="preserve"> of variables which can lead to difficulty in interpreting effects</w:t>
      </w:r>
      <w:r w:rsidR="005B3436">
        <w:rPr>
          <w:rFonts w:ascii="Arial" w:eastAsia="Times New Roman" w:hAnsi="Arial" w:cs="Arial"/>
          <w:color w:val="000000"/>
          <w:lang w:eastAsia="en-GB"/>
        </w:rPr>
        <w:t xml:space="preserve"> </w:t>
      </w:r>
      <w:r w:rsidR="005B3436">
        <w:rPr>
          <w:rFonts w:ascii="Arial" w:eastAsia="Times New Roman" w:hAnsi="Arial" w:cs="Arial"/>
          <w:color w:val="000000"/>
          <w:lang w:eastAsia="en-GB"/>
        </w:rPr>
        <w:fldChar w:fldCharType="begin" w:fldLock="1"/>
      </w:r>
      <w:r w:rsidR="005B3436">
        <w:rPr>
          <w:rFonts w:ascii="Arial" w:eastAsia="Times New Roman" w:hAnsi="Arial" w:cs="Arial"/>
          <w:color w:val="000000"/>
          <w:lang w:eastAsia="en-GB"/>
        </w:rPr>
        <w:instrText>ADDIN CSL_CITATION { "citationItems" : [ { "id" : "ITEM-1", "itemData" : { "DOI" : "10.1111/j.1365-2745.2007.01343.x", "ISBN" : "0022-0477", "ISSN" : "00220477", "abstract" : "* 1Tree mortality is an important process in forest ecology. We explored the extent to which tropical tree death is a predictable outcome of taxon and individual level properties by means of mixed-species logistic regression, for trees \u2265 10 cm in diameter. We worked in two lowland forest regions with markedly different floristic composition and dynamic regimes \u2013 the high wood density, low-mortality northeastern (NE) Amazon (in eastern Venezuela), and the low wood density, high-mortality northwestern (NW) Amazon (in northern Peru). * 2Among those genera that are shared between regions there were no detectable regional differences in mortality rates. This suggests that floristic compositional differences are a major driver of the twofold regional contrast in stand-level mortality. * 3In NE forests, mortality risk of individual trees is best predicted by low taxon-level wood density, slow relative growth, and large size, reflecting phylogenetically determined life-history strategy, physiological stress and senescence. * 4In NW forests, trees with low wood density and slow relative growth are also at most risk, but probability of death is independent of tree size, indicating that senescence is unimportant in this region. * 5Synthesis. This study shows that despite fundamental floristic and dynamic differences between the two Amazonian regions, mortality risk can be predicted with mixed-species, individual-based statistical models and that the predictors are remarkably similar, such that tree growth and wood density both play important roles.", "author" : [ { "dropping-particle" : "", "family" : "Chao", "given" : "Kuo Jung", "non-dropping-particle" : "", "parse-names" : false, "suffix" : "" }, { "dropping-particle" : "", "family" : "Phillips", "given" : "Oliver L.", "non-dropping-particle" : "", "parse-names" : false, "suffix" : "" }, { "dropping-particle" : "", "family" : "Gloor", "given" : "Emanuel", "non-dropping-particle" : "", "parse-names" : false, "suffix" : "" }, { "dropping-particle" : "", "family" : "Monteagudo", "given" : "Abel", "non-dropping-particle" : "", "parse-names" : false, "suffix" : "" }, { "dropping-particle" : "", "family" : "Torres-Lezama", "given" : "Armando", "non-dropping-particle" : "", "parse-names" : false, "suffix" : "" }, { "dropping-particle" : "", "family" : "Mart\u00ednez", "given" : "Rodolfo V\u00e1squez", "non-dropping-particle" : "", "parse-names" : false, "suffix" : "" } ], "container-title" : "Journal of Ecology", "id" : "ITEM-1", "issue" : "2", "issued" : { "date-parts" : [ [ "2008" ] ] }, "page" : "281-292", "title" : "Growth and wood density predict tree mortality in Amazon forests", "type" : "article-journal", "volume" : "96" }, "uris" : [ "http://www.mendeley.com/documents/?uuid=2043787f-48fb-4f14-9aca-a38c569453fc" ] } ], "mendeley" : { "formattedCitation" : "(Chao &lt;i&gt;et al.&lt;/i&gt; 2008)", "plainTextFormattedCitation" : "(Chao et al. 2008)", "previouslyFormattedCitation" : "(Chao &lt;i&gt;et al.&lt;/i&gt; 2008)" }, "properties" : { "noteIndex" : 0 }, "schema" : "https://github.com/citation-style-language/schema/raw/master/csl-citation.json" }</w:instrText>
      </w:r>
      <w:r w:rsidR="005B3436">
        <w:rPr>
          <w:rFonts w:ascii="Arial" w:eastAsia="Times New Roman" w:hAnsi="Arial" w:cs="Arial"/>
          <w:color w:val="000000"/>
          <w:lang w:eastAsia="en-GB"/>
        </w:rPr>
        <w:fldChar w:fldCharType="separate"/>
      </w:r>
      <w:r w:rsidR="005B3436" w:rsidRPr="005B3436">
        <w:rPr>
          <w:rFonts w:ascii="Arial" w:eastAsia="Times New Roman" w:hAnsi="Arial" w:cs="Arial"/>
          <w:noProof/>
          <w:color w:val="000000"/>
          <w:lang w:eastAsia="en-GB"/>
        </w:rPr>
        <w:t xml:space="preserve">(Chao </w:t>
      </w:r>
      <w:r w:rsidR="005B3436" w:rsidRPr="005B3436">
        <w:rPr>
          <w:rFonts w:ascii="Arial" w:eastAsia="Times New Roman" w:hAnsi="Arial" w:cs="Arial"/>
          <w:i/>
          <w:noProof/>
          <w:color w:val="000000"/>
          <w:lang w:eastAsia="en-GB"/>
        </w:rPr>
        <w:t>et al.</w:t>
      </w:r>
      <w:r w:rsidR="005B3436" w:rsidRPr="005B3436">
        <w:rPr>
          <w:rFonts w:ascii="Arial" w:eastAsia="Times New Roman" w:hAnsi="Arial" w:cs="Arial"/>
          <w:noProof/>
          <w:color w:val="000000"/>
          <w:lang w:eastAsia="en-GB"/>
        </w:rPr>
        <w:t xml:space="preserve"> 2008)</w:t>
      </w:r>
      <w:r w:rsidR="005B3436">
        <w:rPr>
          <w:rFonts w:ascii="Arial" w:eastAsia="Times New Roman" w:hAnsi="Arial" w:cs="Arial"/>
          <w:color w:val="000000"/>
          <w:lang w:eastAsia="en-GB"/>
        </w:rPr>
        <w:fldChar w:fldCharType="end"/>
      </w:r>
      <w:r w:rsidRPr="004E3A00">
        <w:rPr>
          <w:rFonts w:ascii="Arial" w:eastAsia="Times New Roman" w:hAnsi="Arial" w:cs="Arial"/>
          <w:color w:val="000000"/>
          <w:lang w:eastAsia="en-GB"/>
        </w:rPr>
        <w:t xml:space="preserve">. In step 3 a full multivariate model was developed using these selected variables using additive terms only. In step 4 model averaging </w:t>
      </w:r>
      <w:r w:rsidR="005B3436">
        <w:rPr>
          <w:rFonts w:ascii="Arial" w:eastAsia="Times New Roman" w:hAnsi="Arial" w:cs="Arial"/>
          <w:color w:val="000000"/>
          <w:lang w:eastAsia="en-GB"/>
        </w:rPr>
        <w:t xml:space="preserve">using </w:t>
      </w:r>
      <w:r w:rsidRPr="004E3A00">
        <w:rPr>
          <w:rFonts w:ascii="Arial" w:eastAsia="Times New Roman" w:hAnsi="Arial" w:cs="Arial"/>
          <w:color w:val="000000"/>
          <w:lang w:eastAsia="en-GB"/>
        </w:rPr>
        <w:t>was used to produce parameter estimates for models with a ΔAICc≤7.</w:t>
      </w:r>
      <w:r w:rsidR="005B3436">
        <w:rPr>
          <w:rFonts w:ascii="Arial" w:eastAsia="Times New Roman" w:hAnsi="Arial" w:cs="Arial"/>
          <w:color w:val="000000"/>
          <w:lang w:eastAsia="en-GB"/>
        </w:rPr>
        <w:t xml:space="preserve"> All analyses were </w:t>
      </w:r>
      <w:r w:rsidR="005B3436">
        <w:rPr>
          <w:rFonts w:ascii="Arial" w:eastAsia="Times New Roman" w:hAnsi="Arial" w:cs="Arial"/>
          <w:color w:val="000000"/>
          <w:lang w:eastAsia="en-GB"/>
        </w:rPr>
        <w:lastRenderedPageBreak/>
        <w:t xml:space="preserve">produced using R 3.2.1 </w:t>
      </w:r>
      <w:r w:rsidR="005B3436">
        <w:rPr>
          <w:rFonts w:ascii="Arial" w:eastAsia="Times New Roman" w:hAnsi="Arial" w:cs="Arial"/>
          <w:color w:val="000000"/>
          <w:lang w:eastAsia="en-GB"/>
        </w:rPr>
        <w:fldChar w:fldCharType="begin" w:fldLock="1"/>
      </w:r>
      <w:r w:rsidR="00C3566F">
        <w:rPr>
          <w:rFonts w:ascii="Arial" w:eastAsia="Times New Roman" w:hAnsi="Arial" w:cs="Arial"/>
          <w:color w:val="000000"/>
          <w:lang w:eastAsia="en-GB"/>
        </w:rPr>
        <w:instrText>ADDIN CSL_CITATION { "citationItems" : [ { "id" : "ITEM-1", "itemData" : { "author" : [ { "dropping-particle" : "", "family" : "R Development Core Team", "given" : "", "non-dropping-particle" : "", "parse-names" : false, "suffix" : "" } ], "id" : "ITEM-1", "issued" : { "date-parts" : [ [ "2011" ] ] }, "publisher" : "R Foundation for Statistical Computing", "publisher-place" : "Vienna, Austria", "title" : "R: A Language and Environment for Statistical Computing", "type" : "book" }, "uris" : [ "http://www.mendeley.com/documents/?uuid=fe18053d-edeb-429d-aaa4-4907c6d59eb2" ] } ], "mendeley" : { "formattedCitation" : "(R Development Core Team 2011)", "plainTextFormattedCitation" : "(R Development Core Team 2011)", "previouslyFormattedCitation" : "(R Development Core Team 2011)" }, "properties" : { "noteIndex" : 0 }, "schema" : "https://github.com/citation-style-language/schema/raw/master/csl-citation.json" }</w:instrText>
      </w:r>
      <w:r w:rsidR="005B3436">
        <w:rPr>
          <w:rFonts w:ascii="Arial" w:eastAsia="Times New Roman" w:hAnsi="Arial" w:cs="Arial"/>
          <w:color w:val="000000"/>
          <w:lang w:eastAsia="en-GB"/>
        </w:rPr>
        <w:fldChar w:fldCharType="separate"/>
      </w:r>
      <w:r w:rsidR="005B3436" w:rsidRPr="005B3436">
        <w:rPr>
          <w:rFonts w:ascii="Arial" w:eastAsia="Times New Roman" w:hAnsi="Arial" w:cs="Arial"/>
          <w:noProof/>
          <w:color w:val="000000"/>
          <w:lang w:eastAsia="en-GB"/>
        </w:rPr>
        <w:t>(R Development Core Team 2011)</w:t>
      </w:r>
      <w:r w:rsidR="005B3436">
        <w:rPr>
          <w:rFonts w:ascii="Arial" w:eastAsia="Times New Roman" w:hAnsi="Arial" w:cs="Arial"/>
          <w:color w:val="000000"/>
          <w:lang w:eastAsia="en-GB"/>
        </w:rPr>
        <w:fldChar w:fldCharType="end"/>
      </w:r>
      <w:r w:rsidR="005B3436">
        <w:rPr>
          <w:rFonts w:ascii="Arial" w:eastAsia="Times New Roman" w:hAnsi="Arial" w:cs="Arial"/>
          <w:color w:val="000000"/>
          <w:lang w:eastAsia="en-GB"/>
        </w:rPr>
        <w:t xml:space="preserve"> with </w:t>
      </w:r>
      <w:r w:rsidR="00C3566F">
        <w:rPr>
          <w:rFonts w:ascii="Arial" w:eastAsia="Times New Roman" w:hAnsi="Arial" w:cs="Arial"/>
          <w:color w:val="000000"/>
          <w:lang w:eastAsia="en-GB"/>
        </w:rPr>
        <w:t xml:space="preserve">generalised linear mixed models done using the lme4 package </w:t>
      </w:r>
      <w:r w:rsidR="00C3566F">
        <w:rPr>
          <w:rFonts w:ascii="Arial" w:eastAsia="Times New Roman" w:hAnsi="Arial" w:cs="Arial"/>
          <w:color w:val="000000"/>
          <w:lang w:eastAsia="en-GB"/>
        </w:rPr>
        <w:fldChar w:fldCharType="begin" w:fldLock="1"/>
      </w:r>
      <w:r w:rsidR="00B15A2F">
        <w:rPr>
          <w:rFonts w:ascii="Arial" w:eastAsia="Times New Roman" w:hAnsi="Arial" w:cs="Arial"/>
          <w:color w:val="000000"/>
          <w:lang w:eastAsia="en-GB"/>
        </w:rPr>
        <w:instrText>ADDIN CSL_CITATION { "citationItems" : [ { "id" : "ITEM-1", "itemData" : { "author" : [ { "dropping-particle" : "", "family" : "Bates", "given" : "D", "non-dropping-particle" : "", "parse-names" : false, "suffix" : "" }, { "dropping-particle" : "", "family" : "Maechler", "given" : "M", "non-dropping-particle" : "", "parse-names" : false, "suffix" : "" }, { "dropping-particle" : "", "family" : "Bolker", "given" : "BM", "non-dropping-particle" : "", "parse-names" : false, "suffix" : "" }, { "dropping-particle" : "", "family" : "Walker", "given" : "S", "non-dropping-particle" : "", "parse-names" : false, "suffix" : "" } ], "container-title" : "ArXiv", "id" : "ITEM-1", "issued" : { "date-parts" : [ [ "2014" ] ] }, "title" : "lme4: Linear mixed-effects models using Eigen and S4.", "type" : "article-journal" }, "uris" : [ "http://www.mendeley.com/documents/?uuid=8e8ade27-d36f-4ea1-800b-c2e8eb67b513" ] } ], "mendeley" : { "formattedCitation" : "(Bates &lt;i&gt;et al.&lt;/i&gt; 2014)", "plainTextFormattedCitation" : "(Bates et al. 2014)", "previouslyFormattedCitation" : "(Bates &lt;i&gt;et al.&lt;/i&gt; 2014)" }, "properties" : { "noteIndex" : 0 }, "schema" : "https://github.com/citation-style-language/schema/raw/master/csl-citation.json" }</w:instrText>
      </w:r>
      <w:r w:rsidR="00C3566F">
        <w:rPr>
          <w:rFonts w:ascii="Arial" w:eastAsia="Times New Roman" w:hAnsi="Arial" w:cs="Arial"/>
          <w:color w:val="000000"/>
          <w:lang w:eastAsia="en-GB"/>
        </w:rPr>
        <w:fldChar w:fldCharType="separate"/>
      </w:r>
      <w:r w:rsidR="00C3566F" w:rsidRPr="00C3566F">
        <w:rPr>
          <w:rFonts w:ascii="Arial" w:eastAsia="Times New Roman" w:hAnsi="Arial" w:cs="Arial"/>
          <w:noProof/>
          <w:color w:val="000000"/>
          <w:lang w:eastAsia="en-GB"/>
        </w:rPr>
        <w:t xml:space="preserve">(Bates </w:t>
      </w:r>
      <w:r w:rsidR="00C3566F" w:rsidRPr="00C3566F">
        <w:rPr>
          <w:rFonts w:ascii="Arial" w:eastAsia="Times New Roman" w:hAnsi="Arial" w:cs="Arial"/>
          <w:i/>
          <w:noProof/>
          <w:color w:val="000000"/>
          <w:lang w:eastAsia="en-GB"/>
        </w:rPr>
        <w:t>et al.</w:t>
      </w:r>
      <w:r w:rsidR="00C3566F" w:rsidRPr="00C3566F">
        <w:rPr>
          <w:rFonts w:ascii="Arial" w:eastAsia="Times New Roman" w:hAnsi="Arial" w:cs="Arial"/>
          <w:noProof/>
          <w:color w:val="000000"/>
          <w:lang w:eastAsia="en-GB"/>
        </w:rPr>
        <w:t xml:space="preserve"> 2014)</w:t>
      </w:r>
      <w:r w:rsidR="00C3566F">
        <w:rPr>
          <w:rFonts w:ascii="Arial" w:eastAsia="Times New Roman" w:hAnsi="Arial" w:cs="Arial"/>
          <w:color w:val="000000"/>
          <w:lang w:eastAsia="en-GB"/>
        </w:rPr>
        <w:fldChar w:fldCharType="end"/>
      </w:r>
      <w:r w:rsidR="00C3566F">
        <w:rPr>
          <w:rFonts w:ascii="Arial" w:eastAsia="Times New Roman" w:hAnsi="Arial" w:cs="Arial"/>
          <w:color w:val="000000"/>
          <w:lang w:eastAsia="en-GB"/>
        </w:rPr>
        <w:t xml:space="preserve"> and </w:t>
      </w:r>
      <w:proofErr w:type="spellStart"/>
      <w:r w:rsidR="005B3436">
        <w:rPr>
          <w:rFonts w:ascii="Arial" w:eastAsia="Times New Roman" w:hAnsi="Arial" w:cs="Arial"/>
          <w:color w:val="000000"/>
          <w:lang w:eastAsia="en-GB"/>
        </w:rPr>
        <w:t>multimodel</w:t>
      </w:r>
      <w:proofErr w:type="spellEnd"/>
      <w:r w:rsidR="005B3436">
        <w:rPr>
          <w:rFonts w:ascii="Arial" w:eastAsia="Times New Roman" w:hAnsi="Arial" w:cs="Arial"/>
          <w:color w:val="000000"/>
          <w:lang w:eastAsia="en-GB"/>
        </w:rPr>
        <w:t xml:space="preserve"> averaging using the </w:t>
      </w:r>
      <w:proofErr w:type="spellStart"/>
      <w:r w:rsidR="005B3436">
        <w:rPr>
          <w:rFonts w:ascii="Arial" w:eastAsia="Times New Roman" w:hAnsi="Arial" w:cs="Arial"/>
          <w:color w:val="000000"/>
          <w:lang w:eastAsia="en-GB"/>
        </w:rPr>
        <w:t>MuMIn</w:t>
      </w:r>
      <w:proofErr w:type="spellEnd"/>
      <w:r w:rsidR="005B3436">
        <w:rPr>
          <w:rFonts w:ascii="Arial" w:eastAsia="Times New Roman" w:hAnsi="Arial" w:cs="Arial"/>
          <w:color w:val="000000"/>
          <w:lang w:eastAsia="en-GB"/>
        </w:rPr>
        <w:t xml:space="preserve"> package </w:t>
      </w:r>
      <w:r w:rsidR="005B3436">
        <w:rPr>
          <w:rFonts w:ascii="Arial" w:eastAsia="Times New Roman" w:hAnsi="Arial" w:cs="Arial"/>
          <w:color w:val="000000"/>
          <w:lang w:eastAsia="en-GB"/>
        </w:rPr>
        <w:fldChar w:fldCharType="begin" w:fldLock="1"/>
      </w:r>
      <w:r w:rsidR="005B3436">
        <w:rPr>
          <w:rFonts w:ascii="Arial" w:eastAsia="Times New Roman" w:hAnsi="Arial" w:cs="Arial"/>
          <w:color w:val="000000"/>
          <w:lang w:eastAsia="en-GB"/>
        </w:rPr>
        <w:instrText>ADDIN CSL_CITATION { "citationItems" : [ { "id" : "ITEM-1", "itemData" : { "author" : [ { "dropping-particle" : "", "family" : "Barton", "given" : "Kamil", "non-dropping-particle" : "", "parse-names" : false, "suffix" : "" } ], "edition" : "R package", "id" : "ITEM-1", "issued" : { "date-parts" : [ [ "2014" ] ] }, "title" : "MuMIn: Multi-model inference", "type" : "article" }, "uris" : [ "http://www.mendeley.com/documents/?uuid=d8faae69-7f7c-4b54-a13d-de81cea8a14c" ] } ], "mendeley" : { "formattedCitation" : "(Barton 2014)", "plainTextFormattedCitation" : "(Barton 2014)", "previouslyFormattedCitation" : "(Barton 2014)" }, "properties" : { "noteIndex" : 0 }, "schema" : "https://github.com/citation-style-language/schema/raw/master/csl-citation.json" }</w:instrText>
      </w:r>
      <w:r w:rsidR="005B3436">
        <w:rPr>
          <w:rFonts w:ascii="Arial" w:eastAsia="Times New Roman" w:hAnsi="Arial" w:cs="Arial"/>
          <w:color w:val="000000"/>
          <w:lang w:eastAsia="en-GB"/>
        </w:rPr>
        <w:fldChar w:fldCharType="separate"/>
      </w:r>
      <w:r w:rsidR="005B3436" w:rsidRPr="005B3436">
        <w:rPr>
          <w:rFonts w:ascii="Arial" w:eastAsia="Times New Roman" w:hAnsi="Arial" w:cs="Arial"/>
          <w:noProof/>
          <w:color w:val="000000"/>
          <w:lang w:eastAsia="en-GB"/>
        </w:rPr>
        <w:t>(Barton 2014)</w:t>
      </w:r>
      <w:r w:rsidR="005B3436">
        <w:rPr>
          <w:rFonts w:ascii="Arial" w:eastAsia="Times New Roman" w:hAnsi="Arial" w:cs="Arial"/>
          <w:color w:val="000000"/>
          <w:lang w:eastAsia="en-GB"/>
        </w:rPr>
        <w:fldChar w:fldCharType="end"/>
      </w:r>
      <w:r w:rsidR="00C3566F">
        <w:rPr>
          <w:rFonts w:ascii="Arial" w:eastAsia="Times New Roman" w:hAnsi="Arial" w:cs="Arial"/>
          <w:color w:val="000000"/>
          <w:lang w:eastAsia="en-GB"/>
        </w:rPr>
        <w:t>.</w:t>
      </w:r>
    </w:p>
    <w:p w:rsidR="00F11B0B" w:rsidRPr="004E3A00" w:rsidRDefault="00F11B0B" w:rsidP="00F11B0B">
      <w:pPr>
        <w:spacing w:line="360" w:lineRule="auto"/>
        <w:contextualSpacing/>
        <w:rPr>
          <w:rFonts w:ascii="Arial" w:hAnsi="Arial" w:cs="Arial"/>
          <w:b/>
        </w:rPr>
      </w:pPr>
    </w:p>
    <w:p w:rsidR="00174EF6" w:rsidRPr="004E3A00" w:rsidRDefault="00174EF6" w:rsidP="00F11B0B">
      <w:pPr>
        <w:spacing w:line="360" w:lineRule="auto"/>
        <w:contextualSpacing/>
        <w:rPr>
          <w:rFonts w:ascii="Arial" w:hAnsi="Arial" w:cs="Arial"/>
          <w:b/>
        </w:rPr>
      </w:pPr>
      <w:commentRangeStart w:id="3"/>
      <w:r w:rsidRPr="004E3A00">
        <w:rPr>
          <w:rFonts w:ascii="Arial" w:hAnsi="Arial" w:cs="Arial"/>
          <w:b/>
        </w:rPr>
        <w:t xml:space="preserve">Individual based model </w:t>
      </w:r>
      <w:commentRangeEnd w:id="3"/>
      <w:r w:rsidR="004166E0" w:rsidRPr="004E3A00">
        <w:rPr>
          <w:rStyle w:val="CommentReference"/>
        </w:rPr>
        <w:commentReference w:id="3"/>
      </w:r>
    </w:p>
    <w:p w:rsidR="00174EF6" w:rsidRPr="004E3A00" w:rsidRDefault="00F11B0B" w:rsidP="00F11B0B">
      <w:pPr>
        <w:spacing w:line="360" w:lineRule="auto"/>
        <w:ind w:firstLine="720"/>
        <w:contextualSpacing/>
        <w:rPr>
          <w:rFonts w:ascii="Arial" w:hAnsi="Arial" w:cs="Arial"/>
        </w:rPr>
      </w:pPr>
      <w:r w:rsidRPr="004E3A00">
        <w:rPr>
          <w:rFonts w:ascii="Arial" w:hAnsi="Arial" w:cs="Arial"/>
        </w:rPr>
        <w:t xml:space="preserve">We used </w:t>
      </w:r>
      <w:r w:rsidR="00937D98" w:rsidRPr="004E3A00">
        <w:rPr>
          <w:rFonts w:ascii="Arial" w:hAnsi="Arial" w:cs="Arial"/>
        </w:rPr>
        <w:t>an individual based model, built</w:t>
      </w:r>
      <w:r w:rsidRPr="004E3A00">
        <w:rPr>
          <w:rFonts w:ascii="Arial" w:hAnsi="Arial" w:cs="Arial"/>
        </w:rPr>
        <w:t xml:space="preserve"> using </w:t>
      </w:r>
      <w:proofErr w:type="spellStart"/>
      <w:r w:rsidRPr="004E3A00">
        <w:rPr>
          <w:rFonts w:ascii="Arial" w:hAnsi="Arial" w:cs="Arial"/>
        </w:rPr>
        <w:t>Netlogo</w:t>
      </w:r>
      <w:proofErr w:type="spellEnd"/>
      <w:r w:rsidRPr="004E3A00">
        <w:rPr>
          <w:rFonts w:ascii="Arial" w:hAnsi="Arial" w:cs="Arial"/>
        </w:rPr>
        <w:t xml:space="preserve"> </w:t>
      </w:r>
      <w:r w:rsidR="00695472" w:rsidRPr="004E3A00">
        <w:rPr>
          <w:rFonts w:ascii="Arial" w:hAnsi="Arial" w:cs="Arial"/>
        </w:rPr>
        <w:fldChar w:fldCharType="begin" w:fldLock="1"/>
      </w:r>
      <w:r w:rsidR="00EC6C08" w:rsidRPr="004E3A00">
        <w:rPr>
          <w:rFonts w:ascii="Arial" w:hAnsi="Arial" w:cs="Arial"/>
        </w:rPr>
        <w:instrText>ADDIN CSL_CITATION { "citationItems" : [ { "id" : "ITEM-1", "itemData" : { "author" : [ { "dropping-particle" : "", "family" : "Wilensky", "given" : "U", "non-dropping-particle" : "", "parse-names" : false, "suffix" : "" } ], "id" : "ITEM-1", "issued" : { "date-parts" : [ [ "1999" ] ] }, "publisher" : "enter for Connected Learning and Computer-Based Modeling, Northwestern University.", "publisher-place" : "Evanston, IL", "title" : "Netlogo", "type" : "article" }, "uris" : [ "http://www.mendeley.com/documents/?uuid=e440c2ac-fbaf-453e-ae59-c7d75c290109" ] } ], "mendeley" : { "formattedCitation" : "(Wilensky 1999)", "plainTextFormattedCitation" : "(Wilensky 1999)", "previouslyFormattedCitation" : "(Wilensky 1999)" }, "properties" : { "noteIndex" : 0 }, "schema" : "https://github.com/citation-style-language/schema/raw/master/csl-citation.json" }</w:instrText>
      </w:r>
      <w:r w:rsidR="00695472" w:rsidRPr="004E3A00">
        <w:rPr>
          <w:rFonts w:ascii="Arial" w:hAnsi="Arial" w:cs="Arial"/>
        </w:rPr>
        <w:fldChar w:fldCharType="separate"/>
      </w:r>
      <w:r w:rsidR="00732C7B" w:rsidRPr="004E3A00">
        <w:rPr>
          <w:rFonts w:ascii="Arial" w:hAnsi="Arial" w:cs="Arial"/>
          <w:noProof/>
        </w:rPr>
        <w:t>(Wilensky 1999)</w:t>
      </w:r>
      <w:r w:rsidR="00695472" w:rsidRPr="004E3A00">
        <w:rPr>
          <w:rFonts w:ascii="Arial" w:hAnsi="Arial" w:cs="Arial"/>
        </w:rPr>
        <w:fldChar w:fldCharType="end"/>
      </w:r>
      <w:r w:rsidR="00937D98" w:rsidRPr="004E3A00">
        <w:rPr>
          <w:rFonts w:ascii="Arial" w:hAnsi="Arial" w:cs="Arial"/>
        </w:rPr>
        <w:t xml:space="preserve"> </w:t>
      </w:r>
      <w:r w:rsidRPr="004E3A00">
        <w:rPr>
          <w:rFonts w:ascii="Arial" w:hAnsi="Arial" w:cs="Arial"/>
        </w:rPr>
        <w:t xml:space="preserve">to investigate the importance of feedbacks in causing collapse of forest structure. </w:t>
      </w:r>
      <w:r w:rsidR="00174EF6" w:rsidRPr="004E3A00">
        <w:rPr>
          <w:rFonts w:ascii="Arial" w:hAnsi="Arial" w:cs="Arial"/>
        </w:rPr>
        <w:t xml:space="preserve">The model description follows the ODD protocol for describing individual based models </w:t>
      </w:r>
      <w:r w:rsidR="00174EF6" w:rsidRPr="004E3A00">
        <w:rPr>
          <w:rFonts w:ascii="Arial" w:hAnsi="Arial" w:cs="Arial"/>
        </w:rPr>
        <w:fldChar w:fldCharType="begin" w:fldLock="1"/>
      </w:r>
      <w:r w:rsidR="00EC6C08" w:rsidRPr="004E3A00">
        <w:rPr>
          <w:rFonts w:ascii="Arial" w:hAnsi="Arial" w:cs="Arial"/>
        </w:rPr>
        <w:instrText>ADDIN CSL_CITATION { "citationItems" : [ { "id" : "ITEM-1", "itemData" : { "DOI" : "10.1016/j.ecolmodel.2006.04.023", "ISSN" : "03043800", "abstract" : "Simulation models that describe autonomous individual organisms (individual based models, IBM) or agents (agent-based models, ABM) have become a widely used tool, not only in ecology, but also in many other disciplines dealing with complex systems made up of autonomous entities. However, there is no standard protocol for describing such simulation models, which can make them difficult to understand and to duplicate. This paper presents a proposed standard protocol, ODD, for describing IBMs and ABMs, developed and tested by 28 modellers who cover a wide range of fields within ecology. This protocol consists of three blocks (Overview, Design concepts, and Details), which are subdivided into seven elements: Purpose, State variables and scales, Process overview and scheduling, Design concepts, Initialization, Input, and Submodels. We explain which aspects of a model should be described in each element, and we present an example to illustrate the protocol in use. In addition, 19 examples are available in an Online Appendix. We consider ODD as a first step for establishing a more detailed common format of the description of IBMs and ABMs. Once initiated, the protocol will hopefully evolve as it becomes used by a sufficiently large proportion of modellers.", "author" : [ { "dropping-particle" : "", "family" : "Grimm", "given" : "Volker", "non-dropping-particle" : "", "parse-names" : false, "suffix" : "" }, { "dropping-particle" : "", "family" : "Berger", "given" : "Uta", "non-dropping-particle" : "", "parse-names" : false, "suffix" : "" }, { "dropping-particle" : "", "family" : "Bastiansen", "given" : "Finn", "non-dropping-particle" : "", "parse-names" : false, "suffix" : "" }, { "dropping-particle" : "", "family" : "Eliassen", "given" : "Sigrunn", "non-dropping-particle" : "", "parse-names" : false, "suffix" : "" }, { "dropping-particle" : "", "family" : "Ginot", "given" : "Vincent", "non-dropping-particle" : "", "parse-names" : false, "suffix" : "" }, { "dropping-particle" : "", "family" : "Giske", "given" : "Jarl", "non-dropping-particle" : "", "parse-names" : false, "suffix" : "" }, { "dropping-particle" : "", "family" : "Goss-Custard", "given" : "John", "non-dropping-particle" : "", "parse-names" : false, "suffix" : "" }, { "dropping-particle" : "", "family" : "Grand", "given" : "Tamara", "non-dropping-particle" : "", "parse-names" : false, "suffix" : "" }, { "dropping-particle" : "", "family" : "Heinz", "given" : "Simone K.", "non-dropping-particle" : "", "parse-names" : false, "suffix" : "" }, { "dropping-particle" : "", "family" : "Huse", "given" : "Geir", "non-dropping-particle" : "", "parse-names" : false, "suffix" : "" }, { "dropping-particle" : "", "family" : "Huth", "given" : "Andreas", "non-dropping-particle" : "", "parse-names" : false, "suffix" : "" }, { "dropping-particle" : "", "family" : "Jepsen", "given" : "Jane U.", "non-dropping-particle" : "", "parse-names" : false, "suffix" : "" }, { "dropping-particle" : "", "family" : "J\u00f8rgensen", "given" : "Christian", "non-dropping-particle" : "", "parse-names" : false, "suffix" : "" }, { "dropping-particle" : "", "family" : "Mooij", "given" : "Wolf M.", "non-dropping-particle" : "", "parse-names" : false, "suffix" : "" }, { "dropping-particle" : "", "family" : "M\u00fcller", "given" : "Birgit", "non-dropping-particle" : "", "parse-names" : false, "suffix" : "" }, { "dropping-particle" : "", "family" : "Pe\u2019er", "given" : "Guy", "non-dropping-particle" : "", "parse-names" : false, "suffix" : "" }, { "dropping-particle" : "", "family" : "Piou", "given" : "Cyril", "non-dropping-particle" : "", "parse-names" : false, "suffix" : "" }, { "dropping-particle" : "", "family" : "Railsback", "given" : "Steven F.", "non-dropping-particle" : "", "parse-names" : false, "suffix" : "" }, { "dropping-particle" : "", "family" : "Robbins", "given" : "Andrew M.", "non-dropping-particle" : "", "parse-names" : false, "suffix" : "" }, { "dropping-particle" : "", "family" : "Robbins", "given" : "Martha M.", "non-dropping-particle" : "", "parse-names" : false, "suffix" : "" }, { "dropping-particle" : "", "family" : "Rossmanith", "given" : "Eva", "non-dropping-particle" : "", "parse-names" : false, "suffix" : "" }, { "dropping-particle" : "", "family" : "R\u00fcger", "given" : "Nadja", "non-dropping-particle" : "", "parse-names" : false, "suffix" : "" }, { "dropping-particle" : "", "family" : "Strand", "given" : "Espen", "non-dropping-particle" : "", "parse-names" : false, "suffix" : "" }, { "dropping-particle" : "", "family" : "Souissi", "given" : "Sami", "non-dropping-particle" : "", "parse-names" : false, "suffix" : "" }, { "dropping-particle" : "", "family" : "Stillman", "given" : "Richard A.", "non-dropping-particle" : "", "parse-names" : false, "suffix" : "" }, { "dropping-particle" : "", "family" : "Vab\u00f8", "given" : "Rune", "non-dropping-particle" : "", "parse-names" : false, "suffix" : "" }, { "dropping-particle" : "", "family" : "Visser", "given" : "Ute", "non-dropping-particle" : "", "parse-names" : false, "suffix" : "" }, { "dropping-particle" : "", "family" : "DeAngelis", "given" : "Donald L.", "non-dropping-particle" : "", "parse-names" : false, "suffix" : "" } ], "container-title" : "Ecological Modelling", "id" : "ITEM-1", "issue" : "1-2", "issued" : { "date-parts" : [ [ "2006", "9" ] ] }, "page" : "115-126", "title" : "A standard protocol for describing individual-based and agent-based models", "type" : "article-journal", "volume" : "198" }, "uris" : [ "http://www.mendeley.com/documents/?uuid=e6651b4a-6107-47c9-be77-5561926290df" ] } ], "mendeley" : { "formattedCitation" : "(Grimm &lt;i&gt;et al.&lt;/i&gt; 2006)", "plainTextFormattedCitation" : "(Grimm et al. 2006)", "previouslyFormattedCitation" : "(Grimm &lt;i&gt;et al.&lt;/i&gt; 2006)" }, "properties" : { "noteIndex" : 0 }, "schema" : "https://github.com/citation-style-language/schema/raw/master/csl-citation.json" }</w:instrText>
      </w:r>
      <w:r w:rsidR="00174EF6" w:rsidRPr="004E3A00">
        <w:rPr>
          <w:rFonts w:ascii="Arial" w:hAnsi="Arial" w:cs="Arial"/>
        </w:rPr>
        <w:fldChar w:fldCharType="separate"/>
      </w:r>
      <w:r w:rsidR="00732C7B" w:rsidRPr="004E3A00">
        <w:rPr>
          <w:rFonts w:ascii="Arial" w:hAnsi="Arial" w:cs="Arial"/>
          <w:noProof/>
        </w:rPr>
        <w:t xml:space="preserve">(Grimm </w:t>
      </w:r>
      <w:r w:rsidR="00732C7B" w:rsidRPr="004E3A00">
        <w:rPr>
          <w:rFonts w:ascii="Arial" w:hAnsi="Arial" w:cs="Arial"/>
          <w:i/>
          <w:noProof/>
        </w:rPr>
        <w:t>et al.</w:t>
      </w:r>
      <w:r w:rsidR="00732C7B" w:rsidRPr="004E3A00">
        <w:rPr>
          <w:rFonts w:ascii="Arial" w:hAnsi="Arial" w:cs="Arial"/>
          <w:noProof/>
        </w:rPr>
        <w:t xml:space="preserve"> 2006)</w:t>
      </w:r>
      <w:r w:rsidR="00174EF6" w:rsidRPr="004E3A00">
        <w:rPr>
          <w:rFonts w:ascii="Arial" w:hAnsi="Arial" w:cs="Arial"/>
        </w:rPr>
        <w:fldChar w:fldCharType="end"/>
      </w:r>
      <w:r w:rsidR="00C3566F">
        <w:rPr>
          <w:rFonts w:ascii="Arial" w:hAnsi="Arial" w:cs="Arial"/>
        </w:rPr>
        <w:t>. Parameters used in the model were taken from the results of statistical analysis in this study or from the scientific li</w:t>
      </w:r>
      <w:r w:rsidR="00883BE4">
        <w:rPr>
          <w:rFonts w:ascii="Arial" w:hAnsi="Arial" w:cs="Arial"/>
        </w:rPr>
        <w:t>terature - a</w:t>
      </w:r>
      <w:r w:rsidR="00C3566F">
        <w:rPr>
          <w:rFonts w:ascii="Arial" w:hAnsi="Arial" w:cs="Arial"/>
        </w:rPr>
        <w:t xml:space="preserve"> full description of these is given in Table 3.</w:t>
      </w:r>
    </w:p>
    <w:p w:rsidR="00F11B0B" w:rsidRPr="004E3A00" w:rsidRDefault="00F11B0B" w:rsidP="00F11B0B">
      <w:pPr>
        <w:spacing w:line="360" w:lineRule="auto"/>
        <w:contextualSpacing/>
        <w:rPr>
          <w:rFonts w:ascii="Arial" w:hAnsi="Arial" w:cs="Arial"/>
          <w:b/>
        </w:rPr>
      </w:pPr>
    </w:p>
    <w:p w:rsidR="00174EF6" w:rsidRPr="004E3A00" w:rsidRDefault="00174EF6" w:rsidP="00F11B0B">
      <w:pPr>
        <w:spacing w:line="360" w:lineRule="auto"/>
        <w:contextualSpacing/>
        <w:rPr>
          <w:rFonts w:ascii="Arial" w:hAnsi="Arial" w:cs="Arial"/>
          <w:b/>
        </w:rPr>
      </w:pPr>
      <w:r w:rsidRPr="004E3A00">
        <w:rPr>
          <w:rFonts w:ascii="Arial" w:hAnsi="Arial" w:cs="Arial"/>
          <w:b/>
        </w:rPr>
        <w:t>Purpose</w:t>
      </w:r>
    </w:p>
    <w:p w:rsidR="00174EF6" w:rsidRPr="004E3A00" w:rsidRDefault="00174EF6" w:rsidP="00F11B0B">
      <w:pPr>
        <w:spacing w:line="360" w:lineRule="auto"/>
        <w:ind w:firstLine="720"/>
        <w:contextualSpacing/>
        <w:rPr>
          <w:rFonts w:ascii="Arial" w:hAnsi="Arial" w:cs="Arial"/>
        </w:rPr>
      </w:pPr>
      <w:r w:rsidRPr="004E3A00">
        <w:rPr>
          <w:rFonts w:ascii="Arial" w:hAnsi="Arial" w:cs="Arial"/>
        </w:rPr>
        <w:t>We used the model to investigate under what conditions loss of tree cover and basal area (BA) might occur in a simplified representation of a New Forest beech woodland.</w:t>
      </w:r>
      <w:r w:rsidR="003348F5" w:rsidRPr="004E3A00">
        <w:rPr>
          <w:rFonts w:ascii="Arial" w:hAnsi="Arial" w:cs="Arial"/>
        </w:rPr>
        <w:t xml:space="preserve"> </w:t>
      </w:r>
      <w:commentRangeStart w:id="4"/>
      <w:r w:rsidR="003348F5" w:rsidRPr="004E3A00">
        <w:rPr>
          <w:rFonts w:ascii="Arial" w:hAnsi="Arial" w:cs="Arial"/>
        </w:rPr>
        <w:t>The only species represented is beech</w:t>
      </w:r>
      <w:commentRangeEnd w:id="4"/>
      <w:r w:rsidR="00EA167B">
        <w:rPr>
          <w:rStyle w:val="CommentReference"/>
        </w:rPr>
        <w:commentReference w:id="4"/>
      </w:r>
      <w:r w:rsidR="003348F5" w:rsidRPr="004E3A00">
        <w:rPr>
          <w:rFonts w:ascii="Arial" w:hAnsi="Arial" w:cs="Arial"/>
        </w:rPr>
        <w:t xml:space="preserve">, as this is the dominant species found in the </w:t>
      </w:r>
      <w:r w:rsidR="00C3566F">
        <w:rPr>
          <w:rFonts w:ascii="Arial" w:hAnsi="Arial" w:cs="Arial"/>
        </w:rPr>
        <w:t>study area</w:t>
      </w:r>
      <w:r w:rsidR="003348F5" w:rsidRPr="004E3A00">
        <w:rPr>
          <w:rFonts w:ascii="Arial" w:hAnsi="Arial" w:cs="Arial"/>
        </w:rPr>
        <w:t xml:space="preserve">, and mortality of the species has caused the majority of BA loss </w:t>
      </w:r>
      <w:r w:rsidR="009534FF">
        <w:rPr>
          <w:rFonts w:ascii="Arial" w:hAnsi="Arial" w:cs="Arial"/>
        </w:rPr>
        <w:t xml:space="preserve">in our study site </w:t>
      </w:r>
      <w:r w:rsidR="003348F5" w:rsidRPr="004E3A00">
        <w:rPr>
          <w:rFonts w:ascii="Arial" w:hAnsi="Arial" w:cs="Arial"/>
        </w:rPr>
        <w:t xml:space="preserve">from 1964-2014 </w:t>
      </w:r>
      <w:r w:rsidR="003348F5" w:rsidRPr="004E3A00">
        <w:rPr>
          <w:rFonts w:ascii="Arial" w:hAnsi="Arial" w:cs="Arial"/>
        </w:rPr>
        <w:fldChar w:fldCharType="begin" w:fldLock="1"/>
      </w:r>
      <w:r w:rsidR="00B6284F">
        <w:rPr>
          <w:rFonts w:ascii="Arial" w:hAnsi="Arial" w:cs="Arial"/>
        </w:rPr>
        <w:instrText>ADDIN CSL_CITATION { "citationItems" : [ { "id" : "ITEM-1", "itemData" : { "DOI" : "10.1016/j.foreco.2015.08.033", "ISSN" : "03781127", "author" : [ { "dropping-particle" : "", "family" : "Martin", "given" : "Philip Anthony", "non-dropping-particle" : "", "parse-names" : false, "suffix" : "" }, { "dropping-particle" : "", "family" : "Newton", "given" : "Adrian Christopher", "non-dropping-particle" : "", "parse-names" : false, "suffix" : "" }, { "dropping-particle" : "", "family" : "Cantarello", "given" : "Elena", "non-dropping-particle" : "", "parse-names" : false, "suffix" : "" }, { "dropping-particle" : "", "family" : "Evans", "given" : "Paul", "non-dropping-particle" : "", "parse-names" : false, "suffix" : "" } ], "container-title" : "Forest Ecology and Management", "id" : "ITEM-1", "issued" : { "date-parts" : [ [ "2015" ] ] }, "page" : "130-138", "publisher" : "Elsevier B.V.", "title" : "Stand dieback and collapse in a temperate forest and its impact on forest structure and biodiversity", "type" : "article-journal", "volume" : "358" }, "uris" : [ "http://www.mendeley.com/documents/?uuid=75d39a02-1354-4c7f-820e-7546ff4862d0" ] } ], "mendeley" : { "formattedCitation" : "(Martin &lt;i&gt;et al.&lt;/i&gt; 2015)", "plainTextFormattedCitation" : "(Martin et al. 2015)", "previouslyFormattedCitation" : "(Martin &lt;i&gt;et al.&lt;/i&gt; 2015)" }, "properties" : { "noteIndex" : 0 }, "schema" : "https://github.com/citation-style-language/schema/raw/master/csl-citation.json" }</w:instrText>
      </w:r>
      <w:r w:rsidR="003348F5" w:rsidRPr="004E3A00">
        <w:rPr>
          <w:rFonts w:ascii="Arial" w:hAnsi="Arial" w:cs="Arial"/>
        </w:rPr>
        <w:fldChar w:fldCharType="separate"/>
      </w:r>
      <w:r w:rsidR="002324D1" w:rsidRPr="002324D1">
        <w:rPr>
          <w:rFonts w:ascii="Arial" w:hAnsi="Arial" w:cs="Arial"/>
          <w:noProof/>
        </w:rPr>
        <w:t xml:space="preserve">(Martin </w:t>
      </w:r>
      <w:r w:rsidR="002324D1" w:rsidRPr="002324D1">
        <w:rPr>
          <w:rFonts w:ascii="Arial" w:hAnsi="Arial" w:cs="Arial"/>
          <w:i/>
          <w:noProof/>
        </w:rPr>
        <w:t>et al.</w:t>
      </w:r>
      <w:r w:rsidR="002324D1" w:rsidRPr="002324D1">
        <w:rPr>
          <w:rFonts w:ascii="Arial" w:hAnsi="Arial" w:cs="Arial"/>
          <w:noProof/>
        </w:rPr>
        <w:t xml:space="preserve"> 2015)</w:t>
      </w:r>
      <w:r w:rsidR="003348F5" w:rsidRPr="004E3A00">
        <w:rPr>
          <w:rFonts w:ascii="Arial" w:hAnsi="Arial" w:cs="Arial"/>
        </w:rPr>
        <w:fldChar w:fldCharType="end"/>
      </w:r>
      <w:r w:rsidR="003348F5" w:rsidRPr="004E3A00">
        <w:rPr>
          <w:rFonts w:ascii="Arial" w:hAnsi="Arial" w:cs="Arial"/>
        </w:rPr>
        <w:t>.</w:t>
      </w:r>
    </w:p>
    <w:p w:rsidR="00F11B0B" w:rsidRPr="004E3A00" w:rsidRDefault="00F11B0B" w:rsidP="00F11B0B">
      <w:pPr>
        <w:spacing w:line="360" w:lineRule="auto"/>
        <w:contextualSpacing/>
        <w:rPr>
          <w:rFonts w:ascii="Arial" w:hAnsi="Arial" w:cs="Arial"/>
          <w:b/>
        </w:rPr>
      </w:pPr>
    </w:p>
    <w:p w:rsidR="00174EF6" w:rsidRPr="004E3A00" w:rsidRDefault="00174EF6" w:rsidP="00F11B0B">
      <w:pPr>
        <w:spacing w:line="360" w:lineRule="auto"/>
        <w:contextualSpacing/>
        <w:rPr>
          <w:rFonts w:ascii="Arial" w:hAnsi="Arial" w:cs="Arial"/>
          <w:b/>
        </w:rPr>
      </w:pPr>
      <w:r w:rsidRPr="004E3A00">
        <w:rPr>
          <w:rFonts w:ascii="Arial" w:hAnsi="Arial" w:cs="Arial"/>
          <w:b/>
        </w:rPr>
        <w:t>Entities, state variables and scales</w:t>
      </w:r>
    </w:p>
    <w:p w:rsidR="00D05602" w:rsidRPr="004E3A00" w:rsidRDefault="00174EF6" w:rsidP="00F11B0B">
      <w:pPr>
        <w:spacing w:line="360" w:lineRule="auto"/>
        <w:ind w:firstLine="720"/>
        <w:contextualSpacing/>
        <w:rPr>
          <w:rFonts w:ascii="Arial" w:hAnsi="Arial" w:cs="Arial"/>
        </w:rPr>
      </w:pPr>
      <w:r w:rsidRPr="004E3A00">
        <w:rPr>
          <w:rFonts w:ascii="Arial" w:hAnsi="Arial" w:cs="Arial"/>
        </w:rPr>
        <w:t>The model comprises of two types of entities: grid cells and individuals. Individuals represent beech trees. Each individual is characterised by its location, development stage (</w:t>
      </w:r>
      <w:r w:rsidR="00D05602" w:rsidRPr="004E3A00">
        <w:rPr>
          <w:rFonts w:ascii="Arial" w:hAnsi="Arial" w:cs="Arial"/>
        </w:rPr>
        <w:t>juvenile or</w:t>
      </w:r>
      <w:r w:rsidRPr="004E3A00">
        <w:rPr>
          <w:rFonts w:ascii="Arial" w:hAnsi="Arial" w:cs="Arial"/>
        </w:rPr>
        <w:t xml:space="preserve"> mature), age (in years), DBH (cm), basal area (m</w:t>
      </w:r>
      <w:r w:rsidRPr="004E3A00">
        <w:rPr>
          <w:rFonts w:ascii="Arial" w:hAnsi="Arial" w:cs="Arial"/>
          <w:vertAlign w:val="superscript"/>
        </w:rPr>
        <w:t>2</w:t>
      </w:r>
      <w:r w:rsidRPr="004E3A00">
        <w:rPr>
          <w:rFonts w:ascii="Arial" w:hAnsi="Arial" w:cs="Arial"/>
        </w:rPr>
        <w:t>), mean seed dispersal distance (mean distance from the source, in number of cells)</w:t>
      </w:r>
      <w:r w:rsidR="00D05602" w:rsidRPr="004E3A00">
        <w:rPr>
          <w:rFonts w:ascii="Arial" w:hAnsi="Arial" w:cs="Arial"/>
        </w:rPr>
        <w:t>, growth rate in previous year (mm year</w:t>
      </w:r>
      <w:r w:rsidR="00D05602" w:rsidRPr="004E3A00">
        <w:rPr>
          <w:rFonts w:ascii="Arial" w:hAnsi="Arial" w:cs="Arial"/>
          <w:vertAlign w:val="superscript"/>
        </w:rPr>
        <w:t>-1</w:t>
      </w:r>
      <w:r w:rsidR="00C3566F">
        <w:rPr>
          <w:rFonts w:ascii="Arial" w:hAnsi="Arial" w:cs="Arial"/>
        </w:rPr>
        <w:t xml:space="preserve">), </w:t>
      </w:r>
      <w:r w:rsidR="00D05602" w:rsidRPr="004E3A00">
        <w:rPr>
          <w:rFonts w:ascii="Arial" w:hAnsi="Arial" w:cs="Arial"/>
        </w:rPr>
        <w:t>and di</w:t>
      </w:r>
      <w:r w:rsidR="00C3566F">
        <w:rPr>
          <w:rFonts w:ascii="Arial" w:hAnsi="Arial" w:cs="Arial"/>
        </w:rPr>
        <w:t>stance to nearest dead tree (m)</w:t>
      </w:r>
      <w:r w:rsidRPr="004E3A00">
        <w:rPr>
          <w:rFonts w:ascii="Arial" w:hAnsi="Arial" w:cs="Arial"/>
        </w:rPr>
        <w:t xml:space="preserve">. DBH of mature trees is derived from the age of trees using an equation for beech growth defined in </w:t>
      </w:r>
      <w:r w:rsidRPr="004E3A00">
        <w:rPr>
          <w:rFonts w:ascii="Arial" w:hAnsi="Arial" w:cs="Arial"/>
        </w:rPr>
        <w:fldChar w:fldCharType="begin" w:fldLock="1"/>
      </w:r>
      <w:r w:rsidR="009534FF">
        <w:rPr>
          <w:rFonts w:ascii="Arial" w:hAnsi="Arial" w:cs="Arial"/>
        </w:rPr>
        <w:instrText>ADDIN CSL_CITATION { "citationItems" : [ { "id" : "ITEM-1", "itemData" : { "DOI" : "10.1111/1365-2745.12015", "ISSN" : "00220477", "author" : [ { "dropping-particle" : "", "family" : "Holzwarth", "given" : "Frederic", "non-dropping-particle" : "", "parse-names" : false, "suffix" : "" }, { "dropping-particle" : "", "family" : "Kahl", "given" : "Anja", "non-dropping-particle" : "", "parse-names" : false, "suffix" : "" }, { "dropping-particle" : "", "family" : "Bauhus", "given" : "J\u00fcrgen", "non-dropping-particle" : "", "parse-names" : false, "suffix" : "" }, { "dropping-particle" : "", "family" : "Wirth", "given" : "Christian", "non-dropping-particle" : "", "parse-names" : false, "suffix" : "" } ], "container-title" : "Journal of Ecology", "editor" : [ { "dropping-particle" : "", "family" : "Zuidema", "given" : "Pieter", "non-dropping-particle" : "", "parse-names" : false, "suffix" : "" } ], "id" : "ITEM-1", "issue" : "1", "issued" : { "date-parts" : [ [ "2013", "1", "16" ] ] }, "page" : "220-230", "title" : "Many ways to die - partitioning tree mortality dynamics in a near-natural mixed deciduous forest", "type" : "article-journal", "volume" : "101" }, "label" : "line", "suffix" : "; see supplementary materials", "suppress-author" : 1, "uris" : [ "http://www.mendeley.com/documents/?uuid=27baa573-ddcc-41e7-9549-d364b5d5dc74" ] } ], "mendeley" : { "formattedCitation" : "(2013; see supplementary materials)", "manualFormatting" : "Holzwarth et al. (2013; see supplementary materials)", "plainTextFormattedCitation" : "(2013; see supplementary materials)", "previouslyFormattedCitation" : "(2013; see supplementary materials)" }, "properties" : { "noteIndex" : 0 }, "schema" : "https://github.com/citation-style-language/schema/raw/master/csl-citation.json" }</w:instrText>
      </w:r>
      <w:r w:rsidRPr="004E3A00">
        <w:rPr>
          <w:rFonts w:ascii="Arial" w:hAnsi="Arial" w:cs="Arial"/>
        </w:rPr>
        <w:fldChar w:fldCharType="separate"/>
      </w:r>
      <w:r w:rsidR="009534FF">
        <w:rPr>
          <w:rFonts w:ascii="Arial" w:hAnsi="Arial" w:cs="Arial"/>
          <w:noProof/>
        </w:rPr>
        <w:t xml:space="preserve">Holzwarth </w:t>
      </w:r>
      <w:r w:rsidR="009534FF" w:rsidRPr="009534FF">
        <w:rPr>
          <w:rFonts w:ascii="Arial" w:hAnsi="Arial" w:cs="Arial"/>
          <w:i/>
          <w:noProof/>
        </w:rPr>
        <w:t>et al</w:t>
      </w:r>
      <w:r w:rsidR="009534FF">
        <w:rPr>
          <w:rFonts w:ascii="Arial" w:hAnsi="Arial" w:cs="Arial"/>
          <w:noProof/>
        </w:rPr>
        <w:t xml:space="preserve">. </w:t>
      </w:r>
      <w:r w:rsidR="009534FF" w:rsidRPr="009534FF">
        <w:rPr>
          <w:rFonts w:ascii="Arial" w:hAnsi="Arial" w:cs="Arial"/>
          <w:noProof/>
        </w:rPr>
        <w:t>(2013; see supplementary materials)</w:t>
      </w:r>
      <w:r w:rsidRPr="004E3A00">
        <w:rPr>
          <w:rFonts w:ascii="Arial" w:hAnsi="Arial" w:cs="Arial"/>
        </w:rPr>
        <w:fldChar w:fldCharType="end"/>
      </w:r>
      <w:r w:rsidRPr="004E3A00">
        <w:rPr>
          <w:rFonts w:ascii="Arial" w:hAnsi="Arial" w:cs="Arial"/>
        </w:rPr>
        <w:t xml:space="preserve"> and BA defined as</w:t>
      </w:r>
      <w:r w:rsidRPr="007578E3">
        <w:rPr>
          <w:rFonts w:ascii="Arial" w:hAnsi="Arial" w:cs="Arial"/>
        </w:rPr>
        <w:t xml:space="preserve"> </w:t>
      </w:r>
      <m:oMath>
        <m:sSup>
          <m:sSupPr>
            <m:ctrlPr>
              <w:rPr>
                <w:rFonts w:ascii="Cambria Math" w:hAnsi="Cambria Math" w:cs="Arial"/>
                <w:sz w:val="16"/>
              </w:rPr>
            </m:ctrlPr>
          </m:sSupPr>
          <m:e>
            <m:d>
              <m:dPr>
                <m:ctrlPr>
                  <w:rPr>
                    <w:rFonts w:ascii="Cambria Math" w:hAnsi="Cambria Math" w:cs="Arial"/>
                    <w:sz w:val="16"/>
                  </w:rPr>
                </m:ctrlPr>
              </m:dPr>
              <m:e>
                <m:f>
                  <m:fPr>
                    <m:ctrlPr>
                      <w:rPr>
                        <w:rFonts w:ascii="Cambria Math" w:hAnsi="Cambria Math" w:cs="Arial"/>
                        <w:sz w:val="16"/>
                      </w:rPr>
                    </m:ctrlPr>
                  </m:fPr>
                  <m:num>
                    <m:r>
                      <m:rPr>
                        <m:sty m:val="p"/>
                      </m:rPr>
                      <w:rPr>
                        <w:rFonts w:ascii="Cambria Math" w:hAnsi="Cambria Math" w:cs="Arial"/>
                        <w:sz w:val="16"/>
                      </w:rPr>
                      <m:t>DBH</m:t>
                    </m:r>
                  </m:num>
                  <m:den>
                    <m:r>
                      <w:rPr>
                        <w:rFonts w:ascii="Cambria Math" w:hAnsi="Cambria Math" w:cs="Arial"/>
                        <w:sz w:val="16"/>
                      </w:rPr>
                      <m:t>200</m:t>
                    </m:r>
                  </m:den>
                </m:f>
              </m:e>
            </m:d>
          </m:e>
          <m:sup>
            <m:r>
              <w:rPr>
                <w:rFonts w:ascii="Cambria Math" w:hAnsi="Cambria Math" w:cs="Arial"/>
                <w:sz w:val="16"/>
              </w:rPr>
              <m:t>2</m:t>
            </m:r>
          </m:sup>
        </m:sSup>
        <m:r>
          <w:rPr>
            <w:rFonts w:ascii="Cambria Math" w:hAnsi="Cambria Math" w:cs="Arial"/>
            <w:sz w:val="16"/>
          </w:rPr>
          <m:t>×π</m:t>
        </m:r>
      </m:oMath>
      <w:r w:rsidRPr="004E3A00">
        <w:rPr>
          <w:rFonts w:ascii="Arial" w:hAnsi="Arial" w:cs="Arial"/>
        </w:rPr>
        <w:t xml:space="preserve">. </w:t>
      </w:r>
      <w:r w:rsidR="00D05602" w:rsidRPr="004E3A00">
        <w:rPr>
          <w:rFonts w:ascii="Arial" w:hAnsi="Arial" w:cs="Arial"/>
        </w:rPr>
        <w:t>Dispersal distance is a random number drawn from an exponential distribution with a</w:t>
      </w:r>
      <w:r w:rsidR="00C3566F">
        <w:rPr>
          <w:rFonts w:ascii="Arial" w:hAnsi="Arial" w:cs="Arial"/>
        </w:rPr>
        <w:t xml:space="preserve"> mean of </w:t>
      </w:r>
      <w:r w:rsidR="007578E3">
        <w:rPr>
          <w:rFonts w:ascii="Arial" w:hAnsi="Arial" w:cs="Arial"/>
        </w:rPr>
        <w:t>5</w:t>
      </w:r>
      <w:r w:rsidR="00D05602" w:rsidRPr="004E3A00">
        <w:rPr>
          <w:rFonts w:ascii="Arial" w:hAnsi="Arial" w:cs="Arial"/>
        </w:rPr>
        <w:t xml:space="preserve"> m</w:t>
      </w:r>
      <w:r w:rsidR="007578E3">
        <w:rPr>
          <w:rFonts w:ascii="Arial" w:hAnsi="Arial" w:cs="Arial"/>
        </w:rPr>
        <w:t xml:space="preserve"> based on estimates from </w:t>
      </w:r>
      <w:proofErr w:type="spellStart"/>
      <w:r w:rsidR="007578E3">
        <w:rPr>
          <w:rFonts w:ascii="Arial" w:hAnsi="Arial" w:cs="Arial"/>
        </w:rPr>
        <w:t>Hasenkamp</w:t>
      </w:r>
      <w:proofErr w:type="spellEnd"/>
      <w:r w:rsidR="007578E3">
        <w:rPr>
          <w:rFonts w:ascii="Arial" w:hAnsi="Arial" w:cs="Arial"/>
        </w:rPr>
        <w:t xml:space="preserve"> </w:t>
      </w:r>
      <w:r w:rsidR="007578E3" w:rsidRPr="007578E3">
        <w:rPr>
          <w:rFonts w:ascii="Arial" w:hAnsi="Arial" w:cs="Arial"/>
          <w:i/>
        </w:rPr>
        <w:t>et al.</w:t>
      </w:r>
      <w:r w:rsidR="007578E3">
        <w:rPr>
          <w:rFonts w:ascii="Arial" w:hAnsi="Arial" w:cs="Arial"/>
        </w:rPr>
        <w:t xml:space="preserve"> </w:t>
      </w:r>
      <w:r w:rsidR="007578E3">
        <w:rPr>
          <w:rFonts w:ascii="Arial" w:hAnsi="Arial" w:cs="Arial"/>
        </w:rPr>
        <w:fldChar w:fldCharType="begin" w:fldLock="1"/>
      </w:r>
      <w:r w:rsidR="002D37F9">
        <w:rPr>
          <w:rFonts w:ascii="Arial" w:hAnsi="Arial" w:cs="Arial"/>
        </w:rPr>
        <w:instrText>ADDIN CSL_CITATION { "citationItems" : [ { "id" : "ITEM-1", "itemData" : { "DOI" : "10.1007/s10342-010-0439-3", "ISSN" : "16124669", "author" : [ { "dropping-particle" : "", "family" : "Hasenkamp", "given" : "N.", "non-dropping-particle" : "", "parse-names" : false, "suffix" : "" }, { "dropping-particle" : "", "family" : "Ziegenhagen", "given" : "B.", "non-dropping-particle" : "", "parse-names" : false, "suffix" : "" }, { "dropping-particle" : "", "family" : "Mengel", "given" : "C.", "non-dropping-particle" : "", "parse-names" : false, "suffix" : "" }, { "dropping-particle" : "", "family" : "Schulze", "given" : "L.", "non-dropping-particle" : "", "parse-names" : false, "suffix" : "" }, { "dropping-particle" : "", "family" : "Schmitt", "given" : "H. P.", "non-dropping-particle" : "", "parse-names" : false, "suffix" : "" }, { "dropping-particle" : "", "family" : "Liepelt", "given" : "S.", "non-dropping-particle" : "", "parse-names" : false, "suffix" : "" } ], "container-title" : "European Journal of Forest Research", "id" : "ITEM-1", "issue" : "4", "issued" : { "date-parts" : [ [ "2011" ] ] }, "page" : "513-519", "title" : "Towards a DNA marker assisted seed source identification: A pilot study in European beech (Fagus sylvatica L.)", "type" : "article-journal", "volume" : "130" }, "label" : "line", "suppress-author" : 1, "uris" : [ "http://www.mendeley.com/documents/?uuid=b884a298-bd3d-444c-bc3d-1f85e64d9d12" ] } ], "mendeley" : { "formattedCitation" : "(2011)", "plainTextFormattedCitation" : "(2011)", "previouslyFormattedCitation" : "(2011)" }, "properties" : { "noteIndex" : 0 }, "schema" : "https://github.com/citation-style-language/schema/raw/master/csl-citation.json" }</w:instrText>
      </w:r>
      <w:r w:rsidR="007578E3">
        <w:rPr>
          <w:rFonts w:ascii="Arial" w:hAnsi="Arial" w:cs="Arial"/>
        </w:rPr>
        <w:fldChar w:fldCharType="separate"/>
      </w:r>
      <w:r w:rsidR="007578E3" w:rsidRPr="007578E3">
        <w:rPr>
          <w:rFonts w:ascii="Arial" w:hAnsi="Arial" w:cs="Arial"/>
          <w:noProof/>
        </w:rPr>
        <w:t>(2011)</w:t>
      </w:r>
      <w:r w:rsidR="007578E3">
        <w:rPr>
          <w:rFonts w:ascii="Arial" w:hAnsi="Arial" w:cs="Arial"/>
        </w:rPr>
        <w:fldChar w:fldCharType="end"/>
      </w:r>
      <w:r w:rsidR="00D05602" w:rsidRPr="004E3A00">
        <w:rPr>
          <w:rFonts w:ascii="Arial" w:hAnsi="Arial" w:cs="Arial"/>
        </w:rPr>
        <w:t>.</w:t>
      </w:r>
    </w:p>
    <w:p w:rsidR="00174EF6" w:rsidRPr="004E3A00" w:rsidRDefault="00174EF6" w:rsidP="00F11B0B">
      <w:pPr>
        <w:spacing w:line="360" w:lineRule="auto"/>
        <w:ind w:firstLine="720"/>
        <w:contextualSpacing/>
        <w:rPr>
          <w:rFonts w:ascii="Arial" w:hAnsi="Arial" w:cs="Arial"/>
        </w:rPr>
      </w:pPr>
      <w:r w:rsidRPr="004E3A00">
        <w:rPr>
          <w:rFonts w:ascii="Arial" w:hAnsi="Arial" w:cs="Arial"/>
        </w:rPr>
        <w:t xml:space="preserve">All grid cells in the model are considered suitable for individuals. </w:t>
      </w:r>
      <w:r w:rsidR="00BE3605" w:rsidRPr="000E6E1D">
        <w:rPr>
          <w:rFonts w:ascii="Arial" w:hAnsi="Arial" w:cs="Arial"/>
        </w:rPr>
        <w:t>The</w:t>
      </w:r>
      <w:r w:rsidR="00BE3605" w:rsidRPr="004E3A00">
        <w:rPr>
          <w:rFonts w:ascii="Arial" w:hAnsi="Arial" w:cs="Arial"/>
        </w:rPr>
        <w:t xml:space="preserve"> model landscape consists of 100 x 100 grid cells, with each cell representing 1 m</w:t>
      </w:r>
      <w:r w:rsidR="00BE3605" w:rsidRPr="004E3A00">
        <w:rPr>
          <w:rFonts w:ascii="Arial" w:hAnsi="Arial" w:cs="Arial"/>
          <w:vertAlign w:val="superscript"/>
        </w:rPr>
        <w:t>2</w:t>
      </w:r>
      <w:r w:rsidR="00BE3605" w:rsidRPr="004E3A00">
        <w:rPr>
          <w:rFonts w:ascii="Arial" w:hAnsi="Arial" w:cs="Arial"/>
        </w:rPr>
        <w:t xml:space="preserve">, thus the entire area represents 1 ha. Each model time step represents one year. </w:t>
      </w:r>
      <w:r w:rsidR="00D05602" w:rsidRPr="004E3A00">
        <w:rPr>
          <w:rFonts w:ascii="Arial" w:hAnsi="Arial" w:cs="Arial"/>
        </w:rPr>
        <w:t xml:space="preserve">Each grid cell is characterised by its location, </w:t>
      </w:r>
      <w:r w:rsidR="00C3566F">
        <w:rPr>
          <w:rFonts w:ascii="Arial" w:hAnsi="Arial" w:cs="Arial"/>
        </w:rPr>
        <w:t xml:space="preserve">the basal area of trees within 400 </w:t>
      </w:r>
      <w:r w:rsidR="00C3566F" w:rsidRPr="00C3566F">
        <w:rPr>
          <w:rFonts w:ascii="Arial" w:hAnsi="Arial" w:cs="Arial"/>
        </w:rPr>
        <w:t>m</w:t>
      </w:r>
      <w:r w:rsidR="00C3566F">
        <w:rPr>
          <w:rFonts w:ascii="Arial" w:hAnsi="Arial" w:cs="Arial"/>
          <w:vertAlign w:val="superscript"/>
        </w:rPr>
        <w:t>2</w:t>
      </w:r>
      <w:r w:rsidR="007578E3">
        <w:rPr>
          <w:rFonts w:ascii="Arial" w:hAnsi="Arial" w:cs="Arial"/>
        </w:rPr>
        <w:t xml:space="preserve"> (the plot size used in censuses)</w:t>
      </w:r>
      <w:r w:rsidR="00C3566F">
        <w:rPr>
          <w:rFonts w:ascii="Arial" w:hAnsi="Arial" w:cs="Arial"/>
        </w:rPr>
        <w:t xml:space="preserve">, the number of juveniles present if the grid cell, </w:t>
      </w:r>
      <w:r w:rsidR="00D05602" w:rsidRPr="00C3566F">
        <w:rPr>
          <w:rFonts w:ascii="Arial" w:hAnsi="Arial" w:cs="Arial"/>
        </w:rPr>
        <w:t>whether</w:t>
      </w:r>
      <w:r w:rsidR="00D05602" w:rsidRPr="004E3A00">
        <w:rPr>
          <w:rFonts w:ascii="Arial" w:hAnsi="Arial" w:cs="Arial"/>
        </w:rPr>
        <w:t xml:space="preserve"> a </w:t>
      </w:r>
      <w:r w:rsidR="00C3566F">
        <w:rPr>
          <w:rFonts w:ascii="Arial" w:hAnsi="Arial" w:cs="Arial"/>
        </w:rPr>
        <w:t xml:space="preserve">mature </w:t>
      </w:r>
      <w:r w:rsidR="00D05602" w:rsidRPr="004E3A00">
        <w:rPr>
          <w:rFonts w:ascii="Arial" w:hAnsi="Arial" w:cs="Arial"/>
        </w:rPr>
        <w:t>tree has died in that patch</w:t>
      </w:r>
      <w:r w:rsidR="007578E3">
        <w:rPr>
          <w:rFonts w:ascii="Arial" w:hAnsi="Arial" w:cs="Arial"/>
        </w:rPr>
        <w:t>,</w:t>
      </w:r>
      <w:r w:rsidR="00D05602" w:rsidRPr="004E3A00">
        <w:rPr>
          <w:rFonts w:ascii="Arial" w:hAnsi="Arial" w:cs="Arial"/>
        </w:rPr>
        <w:t xml:space="preserve"> and the time since last tree death on that patch. When a tree dies the </w:t>
      </w:r>
      <w:r w:rsidR="009B692C" w:rsidRPr="004E3A00">
        <w:rPr>
          <w:rFonts w:ascii="Arial" w:hAnsi="Arial" w:cs="Arial"/>
        </w:rPr>
        <w:t xml:space="preserve">patch value changes from 0 to 1 and after 10 ticks if no other tree has died on this cell this value returns </w:t>
      </w:r>
      <w:r w:rsidR="009B692C" w:rsidRPr="004E3A00">
        <w:rPr>
          <w:rFonts w:ascii="Arial" w:hAnsi="Arial" w:cs="Arial"/>
        </w:rPr>
        <w:lastRenderedPageBreak/>
        <w:t xml:space="preserve">to 0. </w:t>
      </w:r>
      <w:r w:rsidRPr="004E3A00">
        <w:rPr>
          <w:rFonts w:ascii="Arial" w:hAnsi="Arial" w:cs="Arial"/>
        </w:rPr>
        <w:t xml:space="preserve">Each grid cell </w:t>
      </w:r>
      <w:r w:rsidR="000E6E1D">
        <w:rPr>
          <w:rFonts w:ascii="Arial" w:hAnsi="Arial" w:cs="Arial"/>
        </w:rPr>
        <w:t xml:space="preserve">may contain up to 3 juveniles, and a basal area equivalent to the maximum observed at Denny Wood (75 </w:t>
      </w:r>
      <w:r w:rsidR="000E6E1D" w:rsidRPr="000E6E1D">
        <w:rPr>
          <w:rFonts w:ascii="Arial" w:hAnsi="Arial" w:cs="Arial"/>
        </w:rPr>
        <w:t>m</w:t>
      </w:r>
      <w:r w:rsidR="000E6E1D">
        <w:rPr>
          <w:rFonts w:ascii="Arial" w:hAnsi="Arial" w:cs="Arial"/>
          <w:vertAlign w:val="superscript"/>
        </w:rPr>
        <w:t>2</w:t>
      </w:r>
      <w:r w:rsidR="000E6E1D">
        <w:rPr>
          <w:rFonts w:ascii="Arial" w:hAnsi="Arial" w:cs="Arial"/>
        </w:rPr>
        <w:t xml:space="preserve"> ha</w:t>
      </w:r>
      <w:r w:rsidR="000E6E1D">
        <w:rPr>
          <w:rFonts w:ascii="Arial" w:hAnsi="Arial" w:cs="Arial"/>
          <w:vertAlign w:val="superscript"/>
        </w:rPr>
        <w:t>-1</w:t>
      </w:r>
      <w:r w:rsidR="000E6E1D">
        <w:rPr>
          <w:rFonts w:ascii="Arial" w:hAnsi="Arial" w:cs="Arial"/>
        </w:rPr>
        <w:t xml:space="preserve">) within the surrounding </w:t>
      </w:r>
      <w:r w:rsidR="000E6E1D" w:rsidRPr="000E6E1D">
        <w:rPr>
          <w:rFonts w:ascii="Arial" w:hAnsi="Arial" w:cs="Arial"/>
        </w:rPr>
        <w:t>400m</w:t>
      </w:r>
      <w:r w:rsidR="000E6E1D">
        <w:rPr>
          <w:rFonts w:ascii="Arial" w:hAnsi="Arial" w:cs="Arial"/>
          <w:vertAlign w:val="superscript"/>
        </w:rPr>
        <w:t>2</w:t>
      </w:r>
      <w:r w:rsidR="000E6E1D">
        <w:rPr>
          <w:rFonts w:ascii="Arial" w:hAnsi="Arial" w:cs="Arial"/>
        </w:rPr>
        <w:t>.</w:t>
      </w:r>
      <w:r w:rsidR="000E6E1D">
        <w:rPr>
          <w:rFonts w:ascii="Arial" w:hAnsi="Arial" w:cs="Arial"/>
          <w:vertAlign w:val="superscript"/>
        </w:rPr>
        <w:t xml:space="preserve"> </w:t>
      </w:r>
    </w:p>
    <w:p w:rsidR="00F11B0B" w:rsidRPr="004E3A00" w:rsidRDefault="00F11B0B" w:rsidP="00F11B0B">
      <w:pPr>
        <w:spacing w:line="360" w:lineRule="auto"/>
        <w:contextualSpacing/>
        <w:rPr>
          <w:rFonts w:ascii="Arial" w:hAnsi="Arial" w:cs="Arial"/>
          <w:b/>
        </w:rPr>
      </w:pPr>
    </w:p>
    <w:p w:rsidR="00174EF6" w:rsidRPr="004E3A00" w:rsidRDefault="00174EF6" w:rsidP="00F11B0B">
      <w:pPr>
        <w:spacing w:line="360" w:lineRule="auto"/>
        <w:contextualSpacing/>
        <w:rPr>
          <w:rFonts w:ascii="Arial" w:hAnsi="Arial" w:cs="Arial"/>
          <w:b/>
        </w:rPr>
      </w:pPr>
      <w:r w:rsidRPr="004E3A00">
        <w:rPr>
          <w:rFonts w:ascii="Arial" w:hAnsi="Arial" w:cs="Arial"/>
          <w:b/>
        </w:rPr>
        <w:t>Process overview and scheduling</w:t>
      </w:r>
    </w:p>
    <w:p w:rsidR="00174EF6" w:rsidRPr="004E3A00" w:rsidRDefault="00174EF6" w:rsidP="00F11B0B">
      <w:pPr>
        <w:spacing w:line="360" w:lineRule="auto"/>
        <w:ind w:firstLine="720"/>
        <w:contextualSpacing/>
        <w:rPr>
          <w:rFonts w:ascii="Arial" w:hAnsi="Arial" w:cs="Arial"/>
        </w:rPr>
      </w:pPr>
      <w:r w:rsidRPr="004E3A00">
        <w:rPr>
          <w:rFonts w:ascii="Arial" w:hAnsi="Arial" w:cs="Arial"/>
        </w:rPr>
        <w:t xml:space="preserve">Initially the distribution of individuals is determined by randomly distributing </w:t>
      </w:r>
      <w:r w:rsidR="007B14D9">
        <w:rPr>
          <w:rFonts w:ascii="Arial" w:hAnsi="Arial" w:cs="Arial"/>
        </w:rPr>
        <w:t>43</w:t>
      </w:r>
      <w:r w:rsidR="00C3566F">
        <w:rPr>
          <w:rFonts w:ascii="Arial" w:hAnsi="Arial" w:cs="Arial"/>
        </w:rPr>
        <w:t>0</w:t>
      </w:r>
      <w:r w:rsidRPr="004E3A00">
        <w:rPr>
          <w:rFonts w:ascii="Arial" w:hAnsi="Arial" w:cs="Arial"/>
        </w:rPr>
        <w:t xml:space="preserve"> mature individuals with a random age drawn from an exponential distribution with a mean of </w:t>
      </w:r>
      <w:r w:rsidR="007B14D9">
        <w:rPr>
          <w:rFonts w:ascii="Arial" w:hAnsi="Arial" w:cs="Arial"/>
        </w:rPr>
        <w:t>55</w:t>
      </w:r>
      <w:r w:rsidRPr="004E3A00">
        <w:rPr>
          <w:rFonts w:ascii="Arial" w:hAnsi="Arial" w:cs="Arial"/>
        </w:rPr>
        <w:t xml:space="preserve"> years assigned to each individual. This was approximately the density and age structure of Denny Wood when </w:t>
      </w:r>
      <w:r w:rsidR="008B0D23" w:rsidRPr="004E3A00">
        <w:rPr>
          <w:rFonts w:ascii="Arial" w:hAnsi="Arial" w:cs="Arial"/>
        </w:rPr>
        <w:t>first surveyed in 1964</w:t>
      </w:r>
      <w:r w:rsidRPr="004E3A00">
        <w:rPr>
          <w:rFonts w:ascii="Arial" w:hAnsi="Arial" w:cs="Arial"/>
        </w:rPr>
        <w:t xml:space="preserve">. </w:t>
      </w:r>
      <w:r w:rsidR="007B14D9">
        <w:rPr>
          <w:rFonts w:ascii="Arial" w:hAnsi="Arial" w:cs="Arial"/>
        </w:rPr>
        <w:t>Following this</w:t>
      </w:r>
      <w:r w:rsidR="009B692C" w:rsidRPr="004E3A00">
        <w:rPr>
          <w:rFonts w:ascii="Arial" w:hAnsi="Arial" w:cs="Arial"/>
        </w:rPr>
        <w:t xml:space="preserve"> </w:t>
      </w:r>
      <w:r w:rsidR="007B14D9">
        <w:rPr>
          <w:rFonts w:ascii="Arial" w:hAnsi="Arial" w:cs="Arial"/>
        </w:rPr>
        <w:t xml:space="preserve">20 </w:t>
      </w:r>
      <w:r w:rsidR="009B692C" w:rsidRPr="004E3A00">
        <w:rPr>
          <w:rFonts w:ascii="Arial" w:hAnsi="Arial" w:cs="Arial"/>
        </w:rPr>
        <w:t>juvenile trees</w:t>
      </w:r>
      <w:r w:rsidRPr="004E3A00">
        <w:rPr>
          <w:rFonts w:ascii="Arial" w:hAnsi="Arial" w:cs="Arial"/>
        </w:rPr>
        <w:t xml:space="preserve"> </w:t>
      </w:r>
      <w:r w:rsidR="007B14D9">
        <w:rPr>
          <w:rFonts w:ascii="Arial" w:hAnsi="Arial" w:cs="Arial"/>
        </w:rPr>
        <w:t xml:space="preserve">for each mature tree aged &gt; 50 years of age </w:t>
      </w:r>
      <w:r w:rsidR="007B14D9">
        <w:rPr>
          <w:rFonts w:ascii="Arial" w:hAnsi="Arial" w:cs="Arial"/>
        </w:rPr>
        <w:fldChar w:fldCharType="begin" w:fldLock="1"/>
      </w:r>
      <w:r w:rsidR="00040770">
        <w:rPr>
          <w:rFonts w:ascii="Arial" w:hAnsi="Arial" w:cs="Arial"/>
        </w:rPr>
        <w:instrText>ADDIN CSL_CITATION { "citationItems" : [ { "id" : "ITEM-1", "itemData" : { "DOI" : "10.1111/j.1365-2745.2012.02017.x", "ISSN" : "00220477", "abstract" : "* This account presents information on all aspects of the biology of Fagus sylvatica L. that are relevant to understanding its ecological characteristics and behaviour. The main topics are presented within the standard framework of the Biological Flora of the British Isles: distribution, habitat, communities, responses to biotic factors, responses to environment, structure and physiology, phenology, floral and seed characters, herbivores and disease, history and conservation. * Fagus sylvatica (Beech) is a large usually single-stemmed deciduous tree native to south-east England but now growing over almost the whole of the British Isles, often planted as a forestry tree on all but the wettest soils. It forms extensive woodlands, where it is dominant over a large altitudinal range, competing primarily with Quercus robur. The outcome of this competition is determined by local soil and climatic conditions leading to a gradation into oak woodlands. It is monoecious, wind-pollinated and notable for its periodic large seed numbers (mast years); seed is dispersed by birds and mammals but mostly drops below the parent tree. * Fagus sylvatica is hardy, very shade tolerant, casts a deep shade and is fairly resistant to browsing but susceptible to spring frosts. * Due to its shallow rooting and intensive rather than extensive mode of soil water exploitation, it is also susceptible to drought, and this is likely to be the main factor controlling its expected response to climate change. * Fagus sylvatica is facing few conservation problems, and indeed, its range is currently expanding into central Europe. However, in the face of climate change, its range is likely to contract from its extremes in all but the north, and Phytophthora diseases may become more serious.", "author" : [ { "dropping-particle" : "", "family" : "Packham", "given" : "John R.", "non-dropping-particle" : "", "parse-names" : false, "suffix" : "" }, { "dropping-particle" : "", "family" : "Thomas", "given" : "Peter a.", "non-dropping-particle" : "", "parse-names" : false, "suffix" : "" }, { "dropping-particle" : "", "family" : "Atkinson", "given" : "Mark D.", "non-dropping-particle" : "", "parse-names" : false, "suffix" : "" }, { "dropping-particle" : "", "family" : "Degen", "given" : "Thomas", "non-dropping-particle" : "", "parse-names" : false, "suffix" : "" } ], "container-title" : "Journal of Ecology", "id" : "ITEM-1", "issue" : "6", "issued" : { "date-parts" : [ [ "2012" ] ] }, "page" : "1557-1608", "title" : "Biological Flora of the British Isles: Fagus sylvatica", "type" : "article-journal", "volume" : "100" }, "label" : "line", "prefix" : "minimum age of masting as defined by ", "uris" : [ "http://www.mendeley.com/documents/?uuid=67deb461-c3ca-494b-b80a-fe289c427cd1" ] } ], "mendeley" : { "formattedCitation" : "(minimum age of masting as defined by Packham &lt;i&gt;et al.&lt;/i&gt; 2012)", "plainTextFormattedCitation" : "(minimum age of masting as defined by Packham et al. 2012)", "previouslyFormattedCitation" : "(minimum age of masting as defined by Packham &lt;i&gt;et al.&lt;/i&gt; 2012)" }, "properties" : { "noteIndex" : 0 }, "schema" : "https://github.com/citation-style-language/schema/raw/master/csl-citation.json" }</w:instrText>
      </w:r>
      <w:r w:rsidR="007B14D9">
        <w:rPr>
          <w:rFonts w:ascii="Arial" w:hAnsi="Arial" w:cs="Arial"/>
        </w:rPr>
        <w:fldChar w:fldCharType="separate"/>
      </w:r>
      <w:r w:rsidR="007B14D9" w:rsidRPr="007B14D9">
        <w:rPr>
          <w:rFonts w:ascii="Arial" w:hAnsi="Arial" w:cs="Arial"/>
          <w:noProof/>
        </w:rPr>
        <w:t xml:space="preserve">(minimum age of masting as defined by Packham </w:t>
      </w:r>
      <w:r w:rsidR="007B14D9" w:rsidRPr="007B14D9">
        <w:rPr>
          <w:rFonts w:ascii="Arial" w:hAnsi="Arial" w:cs="Arial"/>
          <w:i/>
          <w:noProof/>
        </w:rPr>
        <w:t>et al.</w:t>
      </w:r>
      <w:r w:rsidR="007B14D9" w:rsidRPr="007B14D9">
        <w:rPr>
          <w:rFonts w:ascii="Arial" w:hAnsi="Arial" w:cs="Arial"/>
          <w:noProof/>
        </w:rPr>
        <w:t xml:space="preserve"> 2012)</w:t>
      </w:r>
      <w:r w:rsidR="007B14D9">
        <w:rPr>
          <w:rFonts w:ascii="Arial" w:hAnsi="Arial" w:cs="Arial"/>
        </w:rPr>
        <w:fldChar w:fldCharType="end"/>
      </w:r>
      <w:r w:rsidR="007B14D9" w:rsidRPr="004E3A00">
        <w:rPr>
          <w:rFonts w:ascii="Arial" w:hAnsi="Arial" w:cs="Arial"/>
        </w:rPr>
        <w:t xml:space="preserve">, </w:t>
      </w:r>
      <w:r w:rsidRPr="004E3A00">
        <w:rPr>
          <w:rFonts w:ascii="Arial" w:hAnsi="Arial" w:cs="Arial"/>
        </w:rPr>
        <w:t>are randomly distributed across the space</w:t>
      </w:r>
      <w:r w:rsidR="00C3566F">
        <w:rPr>
          <w:rFonts w:ascii="Arial" w:hAnsi="Arial" w:cs="Arial"/>
        </w:rPr>
        <w:t xml:space="preserve"> with their age drawn randomly from an exponential distribution with a mean of 2</w:t>
      </w:r>
      <w:r w:rsidRPr="004E3A00">
        <w:rPr>
          <w:rFonts w:ascii="Arial" w:hAnsi="Arial" w:cs="Arial"/>
        </w:rPr>
        <w:t xml:space="preserve">. Then in each time step the following events are processed in the given order: </w:t>
      </w:r>
      <w:r w:rsidR="00B15A2F">
        <w:rPr>
          <w:rFonts w:ascii="Arial" w:hAnsi="Arial" w:cs="Arial"/>
        </w:rPr>
        <w:t xml:space="preserve">identification of whether the time step represents a mast year, </w:t>
      </w:r>
      <w:r w:rsidRPr="004E3A00">
        <w:rPr>
          <w:rFonts w:ascii="Arial" w:hAnsi="Arial" w:cs="Arial"/>
        </w:rPr>
        <w:t>increase age of individuals by one year</w:t>
      </w:r>
      <w:r w:rsidR="009B692C" w:rsidRPr="004E3A00">
        <w:rPr>
          <w:rFonts w:ascii="Arial" w:hAnsi="Arial" w:cs="Arial"/>
        </w:rPr>
        <w:t xml:space="preserve">, increase </w:t>
      </w:r>
      <w:r w:rsidR="00263A1D">
        <w:rPr>
          <w:rFonts w:ascii="Arial" w:hAnsi="Arial" w:cs="Arial"/>
        </w:rPr>
        <w:t xml:space="preserve">mature </w:t>
      </w:r>
      <w:r w:rsidR="009B692C" w:rsidRPr="004E3A00">
        <w:rPr>
          <w:rFonts w:ascii="Arial" w:hAnsi="Arial" w:cs="Arial"/>
        </w:rPr>
        <w:t>individual DBH &amp; BA</w:t>
      </w:r>
      <w:r w:rsidR="00263A1D">
        <w:rPr>
          <w:rFonts w:ascii="Arial" w:hAnsi="Arial" w:cs="Arial"/>
        </w:rPr>
        <w:t xml:space="preserve">, increase </w:t>
      </w:r>
      <w:r w:rsidR="007B14D9">
        <w:rPr>
          <w:rFonts w:ascii="Arial" w:hAnsi="Arial" w:cs="Arial"/>
        </w:rPr>
        <w:t xml:space="preserve">in </w:t>
      </w:r>
      <w:r w:rsidR="00263A1D">
        <w:rPr>
          <w:rFonts w:ascii="Arial" w:hAnsi="Arial" w:cs="Arial"/>
        </w:rPr>
        <w:t>juvenile individual height</w:t>
      </w:r>
      <w:r w:rsidRPr="004E3A00">
        <w:rPr>
          <w:rFonts w:ascii="Arial" w:hAnsi="Arial" w:cs="Arial"/>
        </w:rPr>
        <w:t>, seed</w:t>
      </w:r>
      <w:r w:rsidR="003348F5" w:rsidRPr="004E3A00">
        <w:rPr>
          <w:rFonts w:ascii="Arial" w:hAnsi="Arial" w:cs="Arial"/>
        </w:rPr>
        <w:t xml:space="preserve"> dispersal from mature tre</w:t>
      </w:r>
      <w:r w:rsidR="00B15A2F">
        <w:rPr>
          <w:rFonts w:ascii="Arial" w:hAnsi="Arial" w:cs="Arial"/>
        </w:rPr>
        <w:t>es &gt; 5</w:t>
      </w:r>
      <w:r w:rsidRPr="004E3A00">
        <w:rPr>
          <w:rFonts w:ascii="Arial" w:hAnsi="Arial" w:cs="Arial"/>
        </w:rPr>
        <w:t>0 years old</w:t>
      </w:r>
      <w:r w:rsidR="00B15A2F">
        <w:rPr>
          <w:rFonts w:ascii="Arial" w:hAnsi="Arial" w:cs="Arial"/>
        </w:rPr>
        <w:t xml:space="preserve"> </w:t>
      </w:r>
      <w:r w:rsidRPr="004E3A00">
        <w:rPr>
          <w:rFonts w:ascii="Arial" w:hAnsi="Arial" w:cs="Arial"/>
        </w:rPr>
        <w:t>and death.</w:t>
      </w:r>
    </w:p>
    <w:p w:rsidR="00F11B0B" w:rsidRPr="004E3A00" w:rsidRDefault="00F11B0B" w:rsidP="00F11B0B">
      <w:pPr>
        <w:spacing w:line="360" w:lineRule="auto"/>
        <w:contextualSpacing/>
        <w:rPr>
          <w:rFonts w:ascii="Arial" w:hAnsi="Arial" w:cs="Arial"/>
          <w:b/>
        </w:rPr>
      </w:pPr>
    </w:p>
    <w:p w:rsidR="00174EF6" w:rsidRPr="004E3A00" w:rsidRDefault="00174EF6" w:rsidP="00F11B0B">
      <w:pPr>
        <w:spacing w:line="360" w:lineRule="auto"/>
        <w:contextualSpacing/>
        <w:rPr>
          <w:rFonts w:ascii="Arial" w:hAnsi="Arial" w:cs="Arial"/>
          <w:b/>
        </w:rPr>
      </w:pPr>
      <w:r w:rsidRPr="004E3A00">
        <w:rPr>
          <w:rFonts w:ascii="Arial" w:hAnsi="Arial" w:cs="Arial"/>
          <w:b/>
        </w:rPr>
        <w:t>Design concepts</w:t>
      </w:r>
    </w:p>
    <w:p w:rsidR="00C82816" w:rsidRDefault="00174EF6" w:rsidP="00F11B0B">
      <w:pPr>
        <w:spacing w:line="360" w:lineRule="auto"/>
        <w:ind w:firstLine="720"/>
        <w:contextualSpacing/>
        <w:rPr>
          <w:rFonts w:ascii="Arial" w:hAnsi="Arial" w:cs="Arial"/>
        </w:rPr>
      </w:pPr>
      <w:r w:rsidRPr="004E3A00">
        <w:rPr>
          <w:rFonts w:ascii="Arial" w:hAnsi="Arial" w:cs="Arial"/>
        </w:rPr>
        <w:t xml:space="preserve">The total number of mature trees and basal area </w:t>
      </w:r>
      <w:r w:rsidRPr="004E3A00">
        <w:rPr>
          <w:rFonts w:ascii="Arial" w:hAnsi="Arial" w:cs="Arial"/>
          <w:i/>
        </w:rPr>
        <w:t>emerge</w:t>
      </w:r>
      <w:r w:rsidRPr="004E3A00">
        <w:rPr>
          <w:rFonts w:ascii="Arial" w:hAnsi="Arial" w:cs="Arial"/>
        </w:rPr>
        <w:t xml:space="preserve"> from changes in the probability of mature tree mortality that occur as they age and increase in size, as well as from changes in the mortality of </w:t>
      </w:r>
      <w:r w:rsidR="009B692C" w:rsidRPr="004E3A00">
        <w:rPr>
          <w:rFonts w:ascii="Arial" w:hAnsi="Arial" w:cs="Arial"/>
        </w:rPr>
        <w:t>juvenile trees</w:t>
      </w:r>
      <w:r w:rsidRPr="004E3A00">
        <w:rPr>
          <w:rFonts w:ascii="Arial" w:hAnsi="Arial" w:cs="Arial"/>
        </w:rPr>
        <w:t xml:space="preserve">. </w:t>
      </w:r>
      <w:r w:rsidRPr="004E3A00">
        <w:rPr>
          <w:rFonts w:ascii="Arial" w:hAnsi="Arial" w:cs="Arial"/>
          <w:i/>
        </w:rPr>
        <w:t>Interactions</w:t>
      </w:r>
      <w:r w:rsidRPr="004E3A00">
        <w:rPr>
          <w:rFonts w:ascii="Arial" w:hAnsi="Arial" w:cs="Arial"/>
        </w:rPr>
        <w:t xml:space="preserve"> between individuals are the result of density dependant mortality processes, which show size asymmetry. </w:t>
      </w:r>
      <w:r w:rsidR="00A33D3E" w:rsidRPr="004E3A00">
        <w:rPr>
          <w:rFonts w:ascii="Arial" w:hAnsi="Arial" w:cs="Arial"/>
        </w:rPr>
        <w:t>For juveniles t</w:t>
      </w:r>
      <w:r w:rsidRPr="004E3A00">
        <w:rPr>
          <w:rFonts w:ascii="Arial" w:hAnsi="Arial" w:cs="Arial"/>
        </w:rPr>
        <w:t xml:space="preserve">his is </w:t>
      </w:r>
      <w:r w:rsidRPr="00B15A2F">
        <w:rPr>
          <w:rFonts w:ascii="Arial" w:hAnsi="Arial" w:cs="Arial"/>
        </w:rPr>
        <w:t xml:space="preserve">modelled by defining a maximum number of </w:t>
      </w:r>
      <w:r w:rsidR="009B692C" w:rsidRPr="00B15A2F">
        <w:rPr>
          <w:rFonts w:ascii="Arial" w:hAnsi="Arial" w:cs="Arial"/>
        </w:rPr>
        <w:t xml:space="preserve">juveniles that can coexist in </w:t>
      </w:r>
      <w:r w:rsidR="00B15A2F" w:rsidRPr="00B15A2F">
        <w:rPr>
          <w:rFonts w:ascii="Arial" w:hAnsi="Arial" w:cs="Arial"/>
        </w:rPr>
        <w:t xml:space="preserve">any cell as 3 </w:t>
      </w:r>
      <w:r w:rsidR="00B15A2F" w:rsidRPr="00B15A2F">
        <w:rPr>
          <w:rFonts w:ascii="Arial" w:hAnsi="Arial" w:cs="Arial"/>
        </w:rPr>
        <w:fldChar w:fldCharType="begin" w:fldLock="1"/>
      </w:r>
      <w:r w:rsidR="00B15A2F">
        <w:rPr>
          <w:rFonts w:ascii="Arial" w:hAnsi="Arial" w:cs="Arial"/>
        </w:rPr>
        <w:instrText>ADDIN CSL_CITATION { "citationItems" : [ { "id" : "ITEM-1", "itemData" : { "DOI" : "10.1016/j.foreco.2008.03.050", "ISBN" : "0378-1127", "ISSN" : "03781127", "abstract" : "The aim of the present study was to quantify the effects of roe deer browsing relative to the effects of soil preparation, shelterwood density (light) and seed fall. Ultimately, the goal was better silvicultural guidelines to support the use of natural beech regeneration in the close-to-nature forestry context. In spring 1995, an experiment on natural regeneration with three experimental stands (0.28-0.6 ha) was installed in a beech (Fagus sylvatica) dominated broadleaved forest inhabited by a dense roe deer (Capreolus capreolus) population (24 deer km-2). The autumn of 1995 offered a large beech mast (stand average 307-1168 beechnuts m-2). Treatments installed included fencing to exclude deer, soil preparation, shelterwood thinning, and the relevant control treatments. Roe deer and soil preparation had dramatic effects on regeneration from the moment the seedlings sprouted in the spring 1996. The regeneration sprouted only sparsely in the unprepared seedbed producing only 5 seedlings m-2 (average across fence treatments) after 2 months, which was reduced to 1 sapling m-2 8 years later. Deer had no significant effect on the regeneration density of the unprepared seedbed. In contrast, the cultivated seedbeds produced initially (after 2 months) up to 191 seedlings m-2 protected by fence, whereas the densities in the unfenced treatments peaked by 22 seedlings m-2. By the end of the study, these densities were reduced to 22 saplings m-2 in the permanently fenced mineral soil seedbed and to 2 saplings m-2 in the unfenced mineral soil seedbed. Regeneration height outside the permanent fence was generally only half the height of the regeneration inside. Additionally, we found significantly positive effects of increasing light and seed fall on regeneration density and of light on regeneration growth. We conclude that the roe deer only reduced the regeneration density of the dense regenerations established in the cultivated seedbeds. However, the regeneration density of the unprepared seedbed was not sufficient to support a future high quality stand. We found no treatment that within the timeframe of this study could support successful regeneration establishment outside the permanent fences. Whether this will change in the future with more time given for the regeneration to establish is yet to be revealed. ?? 2008 Elsevier B.V. All rights reserved.", "author" : [ { "dropping-particle" : "", "family" : "Olesen", "given" : "Carsten Riis", "non-dropping-particle" : "", "parse-names" : false, "suffix" : "" }, { "dropping-particle" : "", "family" : "Madsen", "given" : "Palle", "non-dropping-particle" : "", "parse-names" : false, "suffix" : "" } ], "container-title" : "Forest Ecology and Management", "id" : "ITEM-1", "issue" : "12", "issued" : { "date-parts" : [ [ "2008" ] ] }, "page" : "3962-3972", "title" : "The impact of roe deer (Capreolus capreolus), seedbed, light and seed fall on natural beech (Fagus sylvatica) regeneration", "type" : "article-journal", "volume" : "255" }, "label" : "line", "prefix" : "Table 3; ", "uris" : [ "http://www.mendeley.com/documents/?uuid=0726a33e-ba01-41ac-b4fc-38d41d6a54e3" ] } ], "mendeley" : { "formattedCitation" : "(Table 3; Olesen &amp; Madsen 2008)", "plainTextFormattedCitation" : "(Table 3; Olesen &amp; Madsen 2008)", "previouslyFormattedCitation" : "(Table 3; Olesen &amp; Madsen 2008)" }, "properties" : { "noteIndex" : 0 }, "schema" : "https://github.com/citation-style-language/schema/raw/master/csl-citation.json" }</w:instrText>
      </w:r>
      <w:r w:rsidR="00B15A2F" w:rsidRPr="00B15A2F">
        <w:rPr>
          <w:rFonts w:ascii="Arial" w:hAnsi="Arial" w:cs="Arial"/>
        </w:rPr>
        <w:fldChar w:fldCharType="separate"/>
      </w:r>
      <w:r w:rsidR="00B15A2F" w:rsidRPr="00B15A2F">
        <w:rPr>
          <w:rFonts w:ascii="Arial" w:hAnsi="Arial" w:cs="Arial"/>
          <w:noProof/>
        </w:rPr>
        <w:t>(Table 3; Olesen &amp; Madsen 2008)</w:t>
      </w:r>
      <w:r w:rsidR="00B15A2F" w:rsidRPr="00B15A2F">
        <w:rPr>
          <w:rFonts w:ascii="Arial" w:hAnsi="Arial" w:cs="Arial"/>
        </w:rPr>
        <w:fldChar w:fldCharType="end"/>
      </w:r>
      <w:r w:rsidRPr="00B15A2F">
        <w:rPr>
          <w:rFonts w:ascii="Arial" w:hAnsi="Arial" w:cs="Arial"/>
        </w:rPr>
        <w:t>.</w:t>
      </w:r>
      <w:r w:rsidR="00A33D3E" w:rsidRPr="004E3A00">
        <w:rPr>
          <w:rFonts w:ascii="Arial" w:hAnsi="Arial" w:cs="Arial"/>
        </w:rPr>
        <w:t xml:space="preserve"> When these numbers are</w:t>
      </w:r>
      <w:r w:rsidR="00B15A2F">
        <w:rPr>
          <w:rFonts w:ascii="Arial" w:hAnsi="Arial" w:cs="Arial"/>
        </w:rPr>
        <w:t xml:space="preserve"> exceeded the smallest juvenile tree</w:t>
      </w:r>
      <w:r w:rsidR="00A33D3E" w:rsidRPr="004E3A00">
        <w:rPr>
          <w:rFonts w:ascii="Arial" w:hAnsi="Arial" w:cs="Arial"/>
        </w:rPr>
        <w:t xml:space="preserve"> </w:t>
      </w:r>
      <w:r w:rsidR="00B15A2F">
        <w:rPr>
          <w:rFonts w:ascii="Arial" w:hAnsi="Arial" w:cs="Arial"/>
        </w:rPr>
        <w:t>is</w:t>
      </w:r>
      <w:r w:rsidR="00A33D3E" w:rsidRPr="004E3A00">
        <w:rPr>
          <w:rFonts w:ascii="Arial" w:hAnsi="Arial" w:cs="Arial"/>
        </w:rPr>
        <w:t xml:space="preserve"> killed. Similarly, for mature trees the </w:t>
      </w:r>
      <w:r w:rsidR="00655D51" w:rsidRPr="004E3A00">
        <w:rPr>
          <w:rFonts w:ascii="Arial" w:hAnsi="Arial" w:cs="Arial"/>
        </w:rPr>
        <w:t>local maximum BA was set at 75 m</w:t>
      </w:r>
      <w:r w:rsidR="00655D51" w:rsidRPr="004E3A00">
        <w:rPr>
          <w:rFonts w:ascii="Arial" w:hAnsi="Arial" w:cs="Arial"/>
          <w:vertAlign w:val="superscript"/>
        </w:rPr>
        <w:t>2</w:t>
      </w:r>
      <w:r w:rsidR="00655D51" w:rsidRPr="004E3A00">
        <w:rPr>
          <w:rFonts w:ascii="Arial" w:hAnsi="Arial" w:cs="Arial"/>
        </w:rPr>
        <w:t xml:space="preserve"> ha</w:t>
      </w:r>
      <w:r w:rsidR="00655D51" w:rsidRPr="004E3A00">
        <w:rPr>
          <w:rFonts w:ascii="Arial" w:hAnsi="Arial" w:cs="Arial"/>
          <w:vertAlign w:val="superscript"/>
        </w:rPr>
        <w:t>-1</w:t>
      </w:r>
      <w:r w:rsidR="00655D51" w:rsidRPr="004E3A00">
        <w:rPr>
          <w:rFonts w:ascii="Arial" w:hAnsi="Arial" w:cs="Arial"/>
        </w:rPr>
        <w:t>, the maximum observed for any plot during 1964-2014. When this maximum is exceeded the smallest mature tree in an area of 400</w:t>
      </w:r>
      <w:r w:rsidR="003E727E" w:rsidRPr="004E3A00">
        <w:rPr>
          <w:rFonts w:ascii="Arial" w:hAnsi="Arial" w:cs="Arial"/>
        </w:rPr>
        <w:t xml:space="preserve"> </w:t>
      </w:r>
      <w:r w:rsidR="00655D51" w:rsidRPr="004E3A00">
        <w:rPr>
          <w:rFonts w:ascii="Arial" w:hAnsi="Arial" w:cs="Arial"/>
        </w:rPr>
        <w:t>m</w:t>
      </w:r>
      <w:r w:rsidR="00655D51" w:rsidRPr="004E3A00">
        <w:rPr>
          <w:rFonts w:ascii="Arial" w:hAnsi="Arial" w:cs="Arial"/>
          <w:vertAlign w:val="superscript"/>
        </w:rPr>
        <w:t>2</w:t>
      </w:r>
      <w:r w:rsidR="00655D51" w:rsidRPr="004E3A00">
        <w:rPr>
          <w:rFonts w:ascii="Arial" w:hAnsi="Arial" w:cs="Arial"/>
        </w:rPr>
        <w:t xml:space="preserve"> is killed.</w:t>
      </w:r>
      <w:r w:rsidR="007B14D9">
        <w:rPr>
          <w:rFonts w:ascii="Arial" w:hAnsi="Arial" w:cs="Arial"/>
        </w:rPr>
        <w:t xml:space="preserve"> </w:t>
      </w:r>
      <w:r w:rsidR="00040770">
        <w:rPr>
          <w:rFonts w:ascii="Arial" w:hAnsi="Arial" w:cs="Arial"/>
        </w:rPr>
        <w:t>J</w:t>
      </w:r>
      <w:r w:rsidR="007B14D9">
        <w:rPr>
          <w:rFonts w:ascii="Arial" w:hAnsi="Arial" w:cs="Arial"/>
        </w:rPr>
        <w:t xml:space="preserve">uvenile growth rate </w:t>
      </w:r>
      <w:r w:rsidR="00040770">
        <w:rPr>
          <w:rFonts w:ascii="Arial" w:hAnsi="Arial" w:cs="Arial"/>
        </w:rPr>
        <w:t xml:space="preserve">is determined by mature tree canopy cover </w:t>
      </w:r>
      <w:r w:rsidR="007B14D9">
        <w:rPr>
          <w:rFonts w:ascii="Arial" w:hAnsi="Arial" w:cs="Arial"/>
        </w:rPr>
        <w:t>such that when canopy openness is &gt;50%</w:t>
      </w:r>
      <w:r w:rsidR="00040770">
        <w:rPr>
          <w:rFonts w:ascii="Arial" w:hAnsi="Arial" w:cs="Arial"/>
        </w:rPr>
        <w:t xml:space="preserve"> vertical growth</w:t>
      </w:r>
      <w:r w:rsidR="007B14D9">
        <w:rPr>
          <w:rFonts w:ascii="Arial" w:hAnsi="Arial" w:cs="Arial"/>
        </w:rPr>
        <w:t xml:space="preserve"> is</w:t>
      </w:r>
      <w:r w:rsidR="00040770">
        <w:rPr>
          <w:rFonts w:ascii="Arial" w:hAnsi="Arial" w:cs="Arial"/>
        </w:rPr>
        <w:t xml:space="preserve"> 12.6 cm year</w:t>
      </w:r>
      <w:r w:rsidR="00040770">
        <w:rPr>
          <w:rFonts w:ascii="Arial" w:hAnsi="Arial" w:cs="Arial"/>
          <w:vertAlign w:val="superscript"/>
        </w:rPr>
        <w:t>-1</w:t>
      </w:r>
      <w:r w:rsidR="00040770">
        <w:rPr>
          <w:rFonts w:ascii="Arial" w:hAnsi="Arial" w:cs="Arial"/>
        </w:rPr>
        <w:t>, otherwise the growth rate is 10.9 cm year</w:t>
      </w:r>
      <w:r w:rsidR="00040770">
        <w:rPr>
          <w:rFonts w:ascii="Arial" w:hAnsi="Arial" w:cs="Arial"/>
          <w:vertAlign w:val="superscript"/>
        </w:rPr>
        <w:t>-1</w:t>
      </w:r>
      <w:r w:rsidR="00040770">
        <w:rPr>
          <w:rFonts w:ascii="Arial" w:hAnsi="Arial" w:cs="Arial"/>
        </w:rPr>
        <w:t xml:space="preserve"> following the measurements of </w:t>
      </w:r>
      <w:proofErr w:type="spellStart"/>
      <w:r w:rsidR="00040770">
        <w:rPr>
          <w:rFonts w:ascii="Arial" w:hAnsi="Arial" w:cs="Arial"/>
        </w:rPr>
        <w:t>Ammer</w:t>
      </w:r>
      <w:proofErr w:type="spellEnd"/>
      <w:r w:rsidR="00040770">
        <w:rPr>
          <w:rFonts w:ascii="Arial" w:hAnsi="Arial" w:cs="Arial"/>
        </w:rPr>
        <w:t xml:space="preserve">, </w:t>
      </w:r>
      <w:proofErr w:type="spellStart"/>
      <w:r w:rsidR="00040770">
        <w:rPr>
          <w:rFonts w:ascii="Arial" w:hAnsi="Arial" w:cs="Arial"/>
        </w:rPr>
        <w:t>Stimm</w:t>
      </w:r>
      <w:proofErr w:type="spellEnd"/>
      <w:r w:rsidR="00040770">
        <w:rPr>
          <w:rFonts w:ascii="Arial" w:hAnsi="Arial" w:cs="Arial"/>
        </w:rPr>
        <w:t xml:space="preserve"> and </w:t>
      </w:r>
      <w:proofErr w:type="spellStart"/>
      <w:r w:rsidR="00040770">
        <w:rPr>
          <w:rFonts w:ascii="Arial" w:hAnsi="Arial" w:cs="Arial"/>
        </w:rPr>
        <w:t>Mosandl</w:t>
      </w:r>
      <w:proofErr w:type="spellEnd"/>
      <w:r w:rsidR="00040770">
        <w:rPr>
          <w:rFonts w:ascii="Arial" w:hAnsi="Arial" w:cs="Arial"/>
        </w:rPr>
        <w:t xml:space="preserve"> </w:t>
      </w:r>
      <w:r w:rsidR="00040770">
        <w:rPr>
          <w:rFonts w:ascii="Arial" w:hAnsi="Arial" w:cs="Arial"/>
        </w:rPr>
        <w:fldChar w:fldCharType="begin" w:fldLock="1"/>
      </w:r>
      <w:r w:rsidR="00040770">
        <w:rPr>
          <w:rFonts w:ascii="Arial" w:hAnsi="Arial" w:cs="Arial"/>
        </w:rPr>
        <w:instrText>ADDIN CSL_CITATION { "citationItems" : [ { "id" : "ITEM-1", "itemData" : { "DOI" : "10.1093/treephys/28.5.721", "ISSN" : "0829-318X", "abstract" : "We used height growth data from a 7-year field experiment with European beech (Fagus sylvatica L.) seedlings to test the hypothesis that the effects of above- and belowground resources on height growth depend on seedling size and age. Photosynthetically active radiation (PAR) was determined by hemispheric photography, and estimates of fine root biomass of the overstory trees were used as an inverse proportional surrogate for belowground resource availability. For recently germinated seedlings growing under the canopy of Picea abies (L.) Karst., belowground resource availability affected height growth more than light. During subsequent stages of seedling development, apart from initial seedling size, PAR increasingly determined seedling growth. Besides initial size, seedling age determined the effects of above- and belowground resources on seedling height growth. In seedlings identical in initial size but differing in age, the increase in height growth with increasing PAR was greater in older seedlings than in younger seedlings. The ranking of seedling height by year showed that small differences in size at the end of the first growing season resulted in continuously increasing differences during the following years. Mortality data indicated that the chances of a seedling surviving intraspecific competition was strongly determined by its dominance ranking within the first 5 years after establishment.", "author" : [ { "dropping-particle" : "", "family" : "Ammer", "given" : "C.", "non-dropping-particle" : "", "parse-names" : false, "suffix" : "" }, { "dropping-particle" : "", "family" : "Stimm", "given" : "B.", "non-dropping-particle" : "", "parse-names" : false, "suffix" : "" }, { "dropping-particle" : "", "family" : "Mosandl", "given" : "R.", "non-dropping-particle" : "", "parse-names" : false, "suffix" : "" } ], "container-title" : "Tree Physiology", "id" : "ITEM-1", "issue" : "5", "issued" : { "date-parts" : [ [ "2008", "5", "1" ] ] }, "page" : "721-728", "title" : "Ontogenetic variation in the relative influence of light and belowground resources on European beech seedling growth", "type" : "article-journal", "volume" : "28" }, "label" : "line", "suppress-author" : 1, "uris" : [ "http://www.mendeley.com/documents/?uuid=0a83409a-2048-471f-9ec3-45bbae8b5e66" ] } ], "mendeley" : { "formattedCitation" : "(2008)", "plainTextFormattedCitation" : "(2008)", "previouslyFormattedCitation" : "(2008)" }, "properties" : { "noteIndex" : 0 }, "schema" : "https://github.com/citation-style-language/schema/raw/master/csl-citation.json" }</w:instrText>
      </w:r>
      <w:r w:rsidR="00040770">
        <w:rPr>
          <w:rFonts w:ascii="Arial" w:hAnsi="Arial" w:cs="Arial"/>
        </w:rPr>
        <w:fldChar w:fldCharType="separate"/>
      </w:r>
      <w:r w:rsidR="00040770" w:rsidRPr="00040770">
        <w:rPr>
          <w:rFonts w:ascii="Arial" w:hAnsi="Arial" w:cs="Arial"/>
          <w:noProof/>
        </w:rPr>
        <w:t>(2008)</w:t>
      </w:r>
      <w:r w:rsidR="00040770">
        <w:rPr>
          <w:rFonts w:ascii="Arial" w:hAnsi="Arial" w:cs="Arial"/>
        </w:rPr>
        <w:fldChar w:fldCharType="end"/>
      </w:r>
      <w:r w:rsidR="00040770">
        <w:rPr>
          <w:rFonts w:ascii="Arial" w:hAnsi="Arial" w:cs="Arial"/>
        </w:rPr>
        <w:t>.</w:t>
      </w:r>
    </w:p>
    <w:p w:rsidR="00472B3E" w:rsidRPr="00040770" w:rsidRDefault="00472B3E" w:rsidP="00472B3E">
      <w:pPr>
        <w:spacing w:line="360" w:lineRule="auto"/>
        <w:ind w:firstLine="720"/>
        <w:contextualSpacing/>
        <w:rPr>
          <w:rFonts w:ascii="Arial" w:hAnsi="Arial" w:cs="Arial"/>
        </w:rPr>
      </w:pPr>
      <w:proofErr w:type="spellStart"/>
      <w:r w:rsidRPr="004E3A00">
        <w:rPr>
          <w:rFonts w:ascii="Arial" w:hAnsi="Arial" w:cs="Arial"/>
          <w:i/>
        </w:rPr>
        <w:t>Stochasticity</w:t>
      </w:r>
      <w:proofErr w:type="spellEnd"/>
      <w:r w:rsidRPr="004E3A00">
        <w:rPr>
          <w:rFonts w:ascii="Arial" w:hAnsi="Arial" w:cs="Arial"/>
          <w:i/>
        </w:rPr>
        <w:t xml:space="preserve"> </w:t>
      </w:r>
      <w:r w:rsidRPr="004E3A00">
        <w:rPr>
          <w:rFonts w:ascii="Arial" w:hAnsi="Arial" w:cs="Arial"/>
        </w:rPr>
        <w:t xml:space="preserve">is used in the model to define whether a given time step represents a mast year. Beech trees produce large amounts of seed once every 2-3 years in the UK </w:t>
      </w:r>
      <w:r w:rsidRPr="004E3A00">
        <w:rPr>
          <w:rFonts w:ascii="Arial" w:hAnsi="Arial" w:cs="Arial"/>
        </w:rPr>
        <w:fldChar w:fldCharType="begin" w:fldLock="1"/>
      </w:r>
      <w:r w:rsidRPr="004E3A00">
        <w:rPr>
          <w:rFonts w:ascii="Arial" w:hAnsi="Arial" w:cs="Arial"/>
        </w:rPr>
        <w:instrText>ADDIN CSL_CITATION { "citationItems" : [ { "id" : "ITEM-1", "itemData" : { "DOI" : "10.1111/j.1365-2745.2012.02017.x", "ISSN" : "00220477", "abstract" : "* This account presents information on all aspects of the biology of Fagus sylvatica L. that are relevant to understanding its ecological characteristics and behaviour. The main topics are presented within the standard framework of the Biological Flora of the British Isles: distribution, habitat, communities, responses to biotic factors, responses to environment, structure and physiology, phenology, floral and seed characters, herbivores and disease, history and conservation. * Fagus sylvatica (Beech) is a large usually single-stemmed deciduous tree native to south-east England but now growing over almost the whole of the British Isles, often planted as a forestry tree on all but the wettest soils. It forms extensive woodlands, where it is dominant over a large altitudinal range, competing primarily with Quercus robur. The outcome of this competition is determined by local soil and climatic conditions leading to a gradation into oak woodlands. It is monoecious, wind-pollinated and notable for its periodic large seed numbers (mast years); seed is dispersed by birds and mammals but mostly drops below the parent tree. * Fagus sylvatica is hardy, very shade tolerant, casts a deep shade and is fairly resistant to browsing but susceptible to spring frosts. * Due to its shallow rooting and intensive rather than extensive mode of soil water exploitation, it is also susceptible to drought, and this is likely to be the main factor controlling its expected response to climate change. * Fagus sylvatica is facing few conservation problems, and indeed, its range is currently expanding into central Europe. However, in the face of climate change, its range is likely to contract from its extremes in all but the north, and Phytophthora diseases may become more serious.", "author" : [ { "dropping-particle" : "", "family" : "Packham", "given" : "John R.", "non-dropping-particle" : "", "parse-names" : false, "suffix" : "" }, { "dropping-particle" : "", "family" : "Thomas", "given" : "Peter a.", "non-dropping-particle" : "", "parse-names" : false, "suffix" : "" }, { "dropping-particle" : "", "family" : "Atkinson", "given" : "Mark D.", "non-dropping-particle" : "", "parse-names" : false, "suffix" : "" }, { "dropping-particle" : "", "family" : "Degen", "given" : "Thomas", "non-dropping-particle" : "", "parse-names" : false, "suffix" : "" } ], "container-title" : "Journal of Ecology", "id" : "ITEM-1", "issue" : "6", "issued" : { "date-parts" : [ [ "2012" ] ] }, "page" : "1557-1608", "title" : "Biological Flora of the British Isles: Fagus sylvatica", "type" : "article-journal", "volume" : "100" }, "uris" : [ "http://www.mendeley.com/documents/?uuid=67deb461-c3ca-494b-b80a-fe289c427cd1" ] } ], "mendeley" : { "formattedCitation" : "(Packham &lt;i&gt;et al.&lt;/i&gt; 2012)", "plainTextFormattedCitation" : "(Packham et al. 2012)", "previouslyFormattedCitation" : "(Packham &lt;i&gt;et al.&lt;/i&gt; 2012)" }, "properties" : { "noteIndex" : 0 }, "schema" : "https://github.com/citation-style-language/schema/raw/master/csl-citation.json" }</w:instrText>
      </w:r>
      <w:r w:rsidRPr="004E3A00">
        <w:rPr>
          <w:rFonts w:ascii="Arial" w:hAnsi="Arial" w:cs="Arial"/>
        </w:rPr>
        <w:fldChar w:fldCharType="separate"/>
      </w:r>
      <w:r w:rsidRPr="004E3A00">
        <w:rPr>
          <w:rFonts w:ascii="Arial" w:hAnsi="Arial" w:cs="Arial"/>
          <w:noProof/>
        </w:rPr>
        <w:t xml:space="preserve">(Packham </w:t>
      </w:r>
      <w:r w:rsidRPr="004E3A00">
        <w:rPr>
          <w:rFonts w:ascii="Arial" w:hAnsi="Arial" w:cs="Arial"/>
          <w:i/>
          <w:noProof/>
        </w:rPr>
        <w:t>et al.</w:t>
      </w:r>
      <w:r w:rsidRPr="004E3A00">
        <w:rPr>
          <w:rFonts w:ascii="Arial" w:hAnsi="Arial" w:cs="Arial"/>
          <w:noProof/>
        </w:rPr>
        <w:t xml:space="preserve"> 2012)</w:t>
      </w:r>
      <w:r w:rsidRPr="004E3A00">
        <w:rPr>
          <w:rFonts w:ascii="Arial" w:hAnsi="Arial" w:cs="Arial"/>
        </w:rPr>
        <w:fldChar w:fldCharType="end"/>
      </w:r>
      <w:r w:rsidRPr="004E3A00">
        <w:rPr>
          <w:rFonts w:ascii="Arial" w:hAnsi="Arial" w:cs="Arial"/>
        </w:rPr>
        <w:t xml:space="preserve"> and thus we set a probability of 0.3 of each year being a mast year.</w:t>
      </w:r>
      <w:r>
        <w:rPr>
          <w:rFonts w:ascii="Arial" w:hAnsi="Arial" w:cs="Arial"/>
        </w:rPr>
        <w:t xml:space="preserve"> In addition, the chance of </w:t>
      </w:r>
      <w:proofErr w:type="spellStart"/>
      <w:r>
        <w:rPr>
          <w:rFonts w:ascii="Arial" w:hAnsi="Arial" w:cs="Arial"/>
        </w:rPr>
        <w:t>masting</w:t>
      </w:r>
      <w:proofErr w:type="spellEnd"/>
      <w:r>
        <w:rPr>
          <w:rFonts w:ascii="Arial" w:hAnsi="Arial" w:cs="Arial"/>
        </w:rPr>
        <w:t xml:space="preserve"> in a year following a mast year was set to zero since it is very rare for simultaneous </w:t>
      </w:r>
      <w:proofErr w:type="spellStart"/>
      <w:r>
        <w:rPr>
          <w:rFonts w:ascii="Arial" w:hAnsi="Arial" w:cs="Arial"/>
        </w:rPr>
        <w:t>masting</w:t>
      </w:r>
      <w:proofErr w:type="spellEnd"/>
      <w:r>
        <w:rPr>
          <w:rFonts w:ascii="Arial" w:hAnsi="Arial" w:cs="Arial"/>
        </w:rPr>
        <w:t xml:space="preserve"> years to occur in the UK </w:t>
      </w:r>
      <w:r>
        <w:rPr>
          <w:rFonts w:ascii="Arial" w:hAnsi="Arial" w:cs="Arial"/>
        </w:rPr>
        <w:fldChar w:fldCharType="begin" w:fldLock="1"/>
      </w:r>
      <w:r>
        <w:rPr>
          <w:rFonts w:ascii="Arial" w:hAnsi="Arial" w:cs="Arial"/>
        </w:rPr>
        <w:instrText>ADDIN CSL_CITATION { "citationItems" : [ { "id" : "ITEM-1", "itemData" : { "DOI" : "10.1080/03071375.2008.9747535", "ISSN" : "0307-1375", "abstract" : "Summary 1. Study of annual production of beech mast at twelve main sites including closed canopy beechwood, shelter belts, avenues and an isolated tree in a park, as well as intermittent observations at others, has now continued for twenty-eight years.2. During this period beech mast was sampled from up to 100 trees by seven-minute samples collected from the ground. Aerial samples have also been collected from low-growing branches.3. Production of full seed varies greatly from year to year, and all trees produce empty pericarps as well as full mast, especially on lower or shaded branches.4. The proportion of full nuts consumed or damaged by the moth Cydia fagiglandana Z., birds and small mammals, in English sites, can become significant especially in non-mast years.5. Good masting occurred in 1980, 1982, 1984, 1987, 1990, 1995, 1997, 2000, 2002, 2004 and 2006: after each of these good years, one year of very poor masting normally followed. The best year recorded so far was 1990. In both 1981 and 2005, no full mast was found, and singularly very little in 1991 and 2001.6. Regional variation within England is much less than the annual variation, but over the period the northern trees have produced on average fewer full nuts but rather more empty and total nuts. In 2007, however, northern trees produced markedly less full and total nuts than their southern counterparts.7. Over such a long period it was inevitable that site changes would occur. In some instances the substrate beneath particular trees is now less favourable for rapid nut collection. As some trees have died, additional younger trees are now being assessed. In 1996, far more viable seed was formed in certain Scottish sites than at those we observed in England, so it is highly desirable that Scottish and Welsh sites be monitored in the future.\\nSummary 1. Study of annual production of beech mast at twelve main sites including closed canopy beechwood, shelter belts, avenues and an isolated tree in a park, as well as intermittent observations at others, has now continued for twenty-eight years.2. During this period beech mast was sampled from up to 100 trees by seven-minute samples collected from the ground. Aerial samples have also been collected from low-growing branches.3. Production of full seed varies greatly from year to year, and all trees produce empty pericarps as well as full mast, especially on lower or shaded branches.4. The proportion of full nuts consumed or damaged by the moth Cydi\u2026", "author" : [ { "dropping-particle" : "", "family" : "Packham", "given" : "J. R.", "non-dropping-particle" : "", "parse-names" : false, "suffix" : "" }, { "dropping-particle" : "", "family" : "Thomas", "given" : "P. A.", "non-dropping-particle" : "", "parse-names" : false, "suffix" : "" }, { "dropping-particle" : "", "family" : "Lageard", "given" : "J. G.A.", "non-dropping-particle" : "", "parse-names" : false, "suffix" : "" }, { "dropping-particle" : "", "family" : "Hilton", "given" : "G. M.", "non-dropping-particle" : "", "parse-names" : false, "suffix" : "" } ], "container-title" : "Arboricultural Journal", "id" : "ITEM-1", "issue" : "3", "issued" : { "date-parts" : [ [ "2008" ] ] }, "page" : "189-214", "title" : "the English Beech Masting Survey 1980\u20132007: Variation in the Fruiting of the Common Beech ( Fagus Sylvatica L.) and Its Effects on Woodland Ecosystems", "type" : "article-journal", "volume" : "31" }, "uris" : [ "http://www.mendeley.com/documents/?uuid=c618f598-a709-4853-8b17-566e90f131fc" ] }, { "id" : "ITEM-2", "itemData" : { "DOI" : "10.1111/j.1365-2745.2012.02017.x", "ISSN" : "00220477", "abstract" : "* This account presents information on all aspects of the biology of Fagus sylvatica L. that are relevant to understanding its ecological characteristics and behaviour. The main topics are presented within the standard framework of the Biological Flora of the British Isles: distribution, habitat, communities, responses to biotic factors, responses to environment, structure and physiology, phenology, floral and seed characters, herbivores and disease, history and conservation. * Fagus sylvatica (Beech) is a large usually single-stemmed deciduous tree native to south-east England but now growing over almost the whole of the British Isles, often planted as a forestry tree on all but the wettest soils. It forms extensive woodlands, where it is dominant over a large altitudinal range, competing primarily with Quercus robur. The outcome of this competition is determined by local soil and climatic conditions leading to a gradation into oak woodlands. It is monoecious, wind-pollinated and notable for its periodic large seed numbers (mast years); seed is dispersed by birds and mammals but mostly drops below the parent tree. * Fagus sylvatica is hardy, very shade tolerant, casts a deep shade and is fairly resistant to browsing but susceptible to spring frosts. * Due to its shallow rooting and intensive rather than extensive mode of soil water exploitation, it is also susceptible to drought, and this is likely to be the main factor controlling its expected response to climate change. * Fagus sylvatica is facing few conservation problems, and indeed, its range is currently expanding into central Europe. However, in the face of climate change, its range is likely to contract from its extremes in all but the north, and Phytophthora diseases may become more serious.", "author" : [ { "dropping-particle" : "", "family" : "Packham", "given" : "John R.", "non-dropping-particle" : "", "parse-names" : false, "suffix" : "" }, { "dropping-particle" : "", "family" : "Thomas", "given" : "Peter a.", "non-dropping-particle" : "", "parse-names" : false, "suffix" : "" }, { "dropping-particle" : "", "family" : "Atkinson", "given" : "Mark D.", "non-dropping-particle" : "", "parse-names" : false, "suffix" : "" }, { "dropping-particle" : "", "family" : "Degen", "given" : "Thomas", "non-dropping-particle" : "", "parse-names" : false, "suffix" : "" } ], "container-title" : "Journal of Ecology", "id" : "ITEM-2", "issue" : "6", "issued" : { "date-parts" : [ [ "2012" ] ] }, "page" : "1557-1608", "title" : "Biological Flora of the British Isles: Fagus sylvatica", "type" : "article-journal", "volume" : "100" }, "uris" : [ "http://www.mendeley.com/documents/?uuid=67deb461-c3ca-494b-b80a-fe289c427cd1" ] } ], "mendeley" : { "formattedCitation" : "(Packham &lt;i&gt;et al.&lt;/i&gt; 2008, 2012)", "plainTextFormattedCitation" : "(Packham et al. 2008, 2012)", "previouslyFormattedCitation" : "(Packham &lt;i&gt;et al.&lt;/i&gt; 2008, 2012)" }, "properties" : { "noteIndex" : 0 }, "schema" : "https://github.com/citation-style-language/schema/raw/master/csl-citation.json" }</w:instrText>
      </w:r>
      <w:r>
        <w:rPr>
          <w:rFonts w:ascii="Arial" w:hAnsi="Arial" w:cs="Arial"/>
        </w:rPr>
        <w:fldChar w:fldCharType="separate"/>
      </w:r>
      <w:r w:rsidRPr="004E15D2">
        <w:rPr>
          <w:rFonts w:ascii="Arial" w:hAnsi="Arial" w:cs="Arial"/>
          <w:noProof/>
        </w:rPr>
        <w:t xml:space="preserve">(Packham </w:t>
      </w:r>
      <w:r w:rsidRPr="004E15D2">
        <w:rPr>
          <w:rFonts w:ascii="Arial" w:hAnsi="Arial" w:cs="Arial"/>
          <w:i/>
          <w:noProof/>
        </w:rPr>
        <w:t>et al.</w:t>
      </w:r>
      <w:r w:rsidRPr="004E15D2">
        <w:rPr>
          <w:rFonts w:ascii="Arial" w:hAnsi="Arial" w:cs="Arial"/>
          <w:noProof/>
        </w:rPr>
        <w:t xml:space="preserve"> 2008, 2012)</w:t>
      </w:r>
      <w:r>
        <w:rPr>
          <w:rFonts w:ascii="Arial" w:hAnsi="Arial" w:cs="Arial"/>
        </w:rPr>
        <w:fldChar w:fldCharType="end"/>
      </w:r>
      <w:r>
        <w:rPr>
          <w:rFonts w:ascii="Arial" w:hAnsi="Arial" w:cs="Arial"/>
        </w:rPr>
        <w:t>.</w:t>
      </w:r>
      <w:r>
        <w:rPr>
          <w:rFonts w:ascii="Arial" w:hAnsi="Arial" w:cs="Arial"/>
        </w:rPr>
        <w:t xml:space="preserve"> </w:t>
      </w:r>
      <w:proofErr w:type="spellStart"/>
      <w:r>
        <w:rPr>
          <w:rFonts w:ascii="Arial" w:hAnsi="Arial" w:cs="Arial"/>
        </w:rPr>
        <w:t>Stochasticity</w:t>
      </w:r>
      <w:proofErr w:type="spellEnd"/>
      <w:r>
        <w:rPr>
          <w:rFonts w:ascii="Arial" w:hAnsi="Arial" w:cs="Arial"/>
        </w:rPr>
        <w:t xml:space="preserve"> was also used to define whether a given year was a drought year. To do this we allowed one drought to occur after 14 time steps to approximate the effects of a major drought in 1976 </w:t>
      </w:r>
      <w:r>
        <w:rPr>
          <w:rFonts w:ascii="Arial" w:hAnsi="Arial" w:cs="Arial"/>
        </w:rPr>
        <w:fldChar w:fldCharType="begin" w:fldLock="1"/>
      </w:r>
      <w:r w:rsidR="008264CF">
        <w:rPr>
          <w:rFonts w:ascii="Arial" w:hAnsi="Arial" w:cs="Arial"/>
        </w:rPr>
        <w:instrText>ADDIN CSL_CITATION { "citationItems" : [ { "id" : "ITEM-1", "itemData" : { "DOI" : "10.1111/1365-2435.12126", "ISSN" : "02698463", "author" : [ { "dropping-particle" : "", "family" : "Cavin", "given" : "Liam", "non-dropping-particle" : "", "parse-names" : false, "suffix" : "" }, { "dropping-particle" : "", "family" : "Mountford", "given" : "Edward P.", "non-dropping-particle" : "", "parse-names" : false, "suffix" : "" }, { "dropping-particle" : "", "family" : "Peterken", "given" : "George F.", "non-dropping-particle" : "", "parse-names" : false, "suffix" : "" }, { "dropping-particle" : "", "family" : "Jump", "given" : "Alistair S.", "non-dropping-particle" : "", "parse-names" : false, "suffix" : "" } ], "container-title" : "Functional Ecology", "editor" : [ { "dropping-particle" : "", "family" : "Whitehead", "given" : "David", "non-dropping-particle" : "", "parse-names" : false, "suffix" : "" } ], "id" : "ITEM-1", "issue" : "6", "issued" : { "date-parts" : [ [ "2013", "12", "23" ] ] }, "page" : "1424-1435", "title" : "Extreme drought alters competitive dominance within and between tree species in a mixed forest stand", "type" : "article-journal", "volume" : "27" }, "uris" : [ "http://www.mendeley.com/documents/?uuid=1439016b-822d-4e92-a8af-9a44ee30c70a" ] } ], "mendeley" : { "formattedCitation" : "(Cavin &lt;i&gt;et al.&lt;/i&gt; 2013)", "plainTextFormattedCitation" : "(Cavin et al. 2013)", "previouslyFormattedCitation" : "(Cavin &lt;i&gt;et al.&lt;/i&gt; 2013)" }, "properties" : { "noteIndex" : 0 }, "schema" : "https://github.com/citation-style-language/schema/raw/master/csl-citation.json" }</w:instrText>
      </w:r>
      <w:r>
        <w:rPr>
          <w:rFonts w:ascii="Arial" w:hAnsi="Arial" w:cs="Arial"/>
        </w:rPr>
        <w:fldChar w:fldCharType="separate"/>
      </w:r>
      <w:r w:rsidRPr="00472B3E">
        <w:rPr>
          <w:rFonts w:ascii="Arial" w:hAnsi="Arial" w:cs="Arial"/>
          <w:noProof/>
        </w:rPr>
        <w:t xml:space="preserve">(Cavin </w:t>
      </w:r>
      <w:r w:rsidRPr="00472B3E">
        <w:rPr>
          <w:rFonts w:ascii="Arial" w:hAnsi="Arial" w:cs="Arial"/>
          <w:i/>
          <w:noProof/>
        </w:rPr>
        <w:t>et al.</w:t>
      </w:r>
      <w:r w:rsidRPr="00472B3E">
        <w:rPr>
          <w:rFonts w:ascii="Arial" w:hAnsi="Arial" w:cs="Arial"/>
          <w:noProof/>
        </w:rPr>
        <w:t xml:space="preserve"> 2013)</w:t>
      </w:r>
      <w:r>
        <w:rPr>
          <w:rFonts w:ascii="Arial" w:hAnsi="Arial" w:cs="Arial"/>
        </w:rPr>
        <w:fldChar w:fldCharType="end"/>
      </w:r>
      <w:r>
        <w:rPr>
          <w:rFonts w:ascii="Arial" w:hAnsi="Arial" w:cs="Arial"/>
        </w:rPr>
        <w:t xml:space="preserve">. After 50 time steps we allowed the user to vary the annual chance of </w:t>
      </w:r>
      <w:r w:rsidR="004F03D4">
        <w:rPr>
          <w:rFonts w:ascii="Arial" w:hAnsi="Arial" w:cs="Arial"/>
        </w:rPr>
        <w:t xml:space="preserve">major </w:t>
      </w:r>
      <w:r>
        <w:rPr>
          <w:rFonts w:ascii="Arial" w:hAnsi="Arial" w:cs="Arial"/>
        </w:rPr>
        <w:t xml:space="preserve">drought from 1-5%. </w:t>
      </w:r>
    </w:p>
    <w:p w:rsidR="008C51BD" w:rsidRDefault="00263A1D" w:rsidP="00F11B0B">
      <w:pPr>
        <w:spacing w:line="360" w:lineRule="auto"/>
        <w:ind w:firstLine="720"/>
        <w:contextualSpacing/>
        <w:rPr>
          <w:rFonts w:ascii="Arial" w:hAnsi="Arial" w:cs="Arial"/>
        </w:rPr>
      </w:pPr>
      <w:r>
        <w:rPr>
          <w:rStyle w:val="CommentReference"/>
        </w:rPr>
        <w:lastRenderedPageBreak/>
        <w:commentReference w:id="5"/>
      </w:r>
      <w:r w:rsidR="00040770">
        <w:rPr>
          <w:rFonts w:ascii="Arial" w:hAnsi="Arial" w:cs="Arial"/>
        </w:rPr>
        <w:t>O</w:t>
      </w:r>
      <w:r w:rsidR="005E23F2" w:rsidRPr="004E3A00">
        <w:rPr>
          <w:rFonts w:ascii="Arial" w:hAnsi="Arial" w:cs="Arial"/>
        </w:rPr>
        <w:t xml:space="preserve">ur model tests what impact an increase in the probability of </w:t>
      </w:r>
      <w:r w:rsidR="008513D6" w:rsidRPr="004E3A00">
        <w:rPr>
          <w:rFonts w:ascii="Arial" w:hAnsi="Arial" w:cs="Arial"/>
        </w:rPr>
        <w:t xml:space="preserve">mature </w:t>
      </w:r>
      <w:r w:rsidR="005E23F2" w:rsidRPr="004E3A00">
        <w:rPr>
          <w:rFonts w:ascii="Arial" w:hAnsi="Arial" w:cs="Arial"/>
        </w:rPr>
        <w:t>mortality as a result of being close to a dead tree would have on forest structure.</w:t>
      </w:r>
      <w:r w:rsidR="008513D6" w:rsidRPr="004E3A00">
        <w:rPr>
          <w:rFonts w:ascii="Arial" w:hAnsi="Arial" w:cs="Arial"/>
        </w:rPr>
        <w:t xml:space="preserve"> This can be switched on and off. When switched on this causes the annual </w:t>
      </w:r>
      <w:r>
        <w:rPr>
          <w:rFonts w:ascii="Arial" w:hAnsi="Arial" w:cs="Arial"/>
        </w:rPr>
        <w:t xml:space="preserve">probability of </w:t>
      </w:r>
      <w:r w:rsidR="008513D6" w:rsidRPr="004E3A00">
        <w:rPr>
          <w:rFonts w:ascii="Arial" w:hAnsi="Arial" w:cs="Arial"/>
        </w:rPr>
        <w:t xml:space="preserve">mortality to be increased as a function of distance to nearest cell </w:t>
      </w:r>
      <w:r>
        <w:rPr>
          <w:rFonts w:ascii="Arial" w:hAnsi="Arial" w:cs="Arial"/>
        </w:rPr>
        <w:t>in which a tree has died in the previous 10 years</w:t>
      </w:r>
      <w:r w:rsidR="008513D6" w:rsidRPr="004E3A00">
        <w:rPr>
          <w:rFonts w:ascii="Arial" w:hAnsi="Arial" w:cs="Arial"/>
        </w:rPr>
        <w:t>. The parameter estimate for this was derived from our statistical</w:t>
      </w:r>
      <w:r w:rsidR="009A7386" w:rsidRPr="004E3A00">
        <w:rPr>
          <w:rFonts w:ascii="Arial" w:hAnsi="Arial" w:cs="Arial"/>
        </w:rPr>
        <w:t xml:space="preserve"> model of mature tree mortality described above.</w:t>
      </w:r>
      <w:r w:rsidR="00040770">
        <w:rPr>
          <w:rFonts w:ascii="Arial" w:hAnsi="Arial" w:cs="Arial"/>
        </w:rPr>
        <w:t xml:space="preserve"> In addition we tested the effect of increased drought on forest structure. A severe drought in 1976 reduced growth for 20 years in some UK forests </w:t>
      </w:r>
      <w:r w:rsidR="00040770">
        <w:rPr>
          <w:rFonts w:ascii="Arial" w:hAnsi="Arial" w:cs="Arial"/>
        </w:rPr>
        <w:fldChar w:fldCharType="begin" w:fldLock="1"/>
      </w:r>
      <w:r w:rsidR="00472B3E">
        <w:rPr>
          <w:rFonts w:ascii="Arial" w:hAnsi="Arial" w:cs="Arial"/>
        </w:rPr>
        <w:instrText>ADDIN CSL_CITATION { "citationItems" : [ { "id" : "ITEM-1", "itemData" : { "DOI" : "10.1111/1365-2435.12126", "ISSN" : "02698463", "author" : [ { "dropping-particle" : "", "family" : "Cavin", "given" : "Liam", "non-dropping-particle" : "", "parse-names" : false, "suffix" : "" }, { "dropping-particle" : "", "family" : "Mountford", "given" : "Edward P.", "non-dropping-particle" : "", "parse-names" : false, "suffix" : "" }, { "dropping-particle" : "", "family" : "Peterken", "given" : "George F.", "non-dropping-particle" : "", "parse-names" : false, "suffix" : "" }, { "dropping-particle" : "", "family" : "Jump", "given" : "Alistair S.", "non-dropping-particle" : "", "parse-names" : false, "suffix" : "" } ], "container-title" : "Functional Ecology", "editor" : [ { "dropping-particle" : "", "family" : "Whitehead", "given" : "David", "non-dropping-particle" : "", "parse-names" : false, "suffix" : "" } ], "id" : "ITEM-1", "issue" : "6", "issued" : { "date-parts" : [ [ "2013", "12", "23" ] ] }, "page" : "1424-1435", "title" : "Extreme drought alters competitive dominance within and between tree species in a mixed forest stand", "type" : "article-journal", "volume" : "27" }, "uris" : [ "http://www.mendeley.com/documents/?uuid=1439016b-822d-4e92-a8af-9a44ee30c70a" ] } ], "mendeley" : { "formattedCitation" : "(Cavin &lt;i&gt;et al.&lt;/i&gt; 2013)", "plainTextFormattedCitation" : "(Cavin et al. 2013)", "previouslyFormattedCitation" : "(Cavin &lt;i&gt;et al.&lt;/i&gt; 2013)" }, "properties" : { "noteIndex" : 0 }, "schema" : "https://github.com/citation-style-language/schema/raw/master/csl-citation.json" }</w:instrText>
      </w:r>
      <w:r w:rsidR="00040770">
        <w:rPr>
          <w:rFonts w:ascii="Arial" w:hAnsi="Arial" w:cs="Arial"/>
        </w:rPr>
        <w:fldChar w:fldCharType="separate"/>
      </w:r>
      <w:r w:rsidR="00040770" w:rsidRPr="00040770">
        <w:rPr>
          <w:rFonts w:ascii="Arial" w:hAnsi="Arial" w:cs="Arial"/>
          <w:noProof/>
        </w:rPr>
        <w:t xml:space="preserve">(Cavin </w:t>
      </w:r>
      <w:r w:rsidR="00040770" w:rsidRPr="00040770">
        <w:rPr>
          <w:rFonts w:ascii="Arial" w:hAnsi="Arial" w:cs="Arial"/>
          <w:i/>
          <w:noProof/>
        </w:rPr>
        <w:t>et al.</w:t>
      </w:r>
      <w:r w:rsidR="00040770" w:rsidRPr="00040770">
        <w:rPr>
          <w:rFonts w:ascii="Arial" w:hAnsi="Arial" w:cs="Arial"/>
          <w:noProof/>
        </w:rPr>
        <w:t xml:space="preserve"> 2013)</w:t>
      </w:r>
      <w:r w:rsidR="00040770">
        <w:rPr>
          <w:rFonts w:ascii="Arial" w:hAnsi="Arial" w:cs="Arial"/>
        </w:rPr>
        <w:fldChar w:fldCharType="end"/>
      </w:r>
      <w:r w:rsidR="00040770">
        <w:rPr>
          <w:rFonts w:ascii="Arial" w:hAnsi="Arial" w:cs="Arial"/>
        </w:rPr>
        <w:t xml:space="preserve">, so using this observation we modelled the </w:t>
      </w:r>
      <w:r w:rsidR="00472B3E">
        <w:rPr>
          <w:rFonts w:ascii="Arial" w:hAnsi="Arial" w:cs="Arial"/>
        </w:rPr>
        <w:t>change in tree size post</w:t>
      </w:r>
      <w:r w:rsidR="00040770">
        <w:rPr>
          <w:rFonts w:ascii="Arial" w:hAnsi="Arial" w:cs="Arial"/>
        </w:rPr>
        <w:t xml:space="preserve">-drought using </w:t>
      </w:r>
      <w:r w:rsidR="00472B3E">
        <w:rPr>
          <w:rFonts w:ascii="Arial" w:hAnsi="Arial" w:cs="Arial"/>
        </w:rPr>
        <w:t xml:space="preserve">the </w:t>
      </w:r>
      <w:r w:rsidR="00040770">
        <w:rPr>
          <w:rFonts w:ascii="Arial" w:hAnsi="Arial" w:cs="Arial"/>
        </w:rPr>
        <w:t>model:</w:t>
      </w:r>
    </w:p>
    <w:p w:rsidR="00040770" w:rsidRPr="00472B3E" w:rsidRDefault="00472B3E" w:rsidP="00F11B0B">
      <w:pPr>
        <w:spacing w:line="360" w:lineRule="auto"/>
        <w:ind w:firstLine="720"/>
        <w:contextualSpacing/>
        <w:rPr>
          <w:rFonts w:ascii="Arial" w:eastAsiaTheme="minorEastAsia" w:hAnsi="Arial" w:cs="Arial"/>
        </w:rPr>
      </w:pPr>
      <m:oMathPara>
        <m:oMath>
          <m:sSub>
            <m:sSubPr>
              <m:ctrlPr>
                <w:rPr>
                  <w:rFonts w:ascii="Cambria Math" w:hAnsi="Cambria Math" w:cs="Arial"/>
                  <w:i/>
                </w:rPr>
              </m:ctrlPr>
            </m:sSubPr>
            <m:e>
              <m:r>
                <w:rPr>
                  <w:rFonts w:ascii="Cambria Math" w:hAnsi="Cambria Math" w:cs="Arial"/>
                </w:rPr>
                <m:t>DBH</m:t>
              </m:r>
            </m:e>
            <m:sub>
              <m:r>
                <w:rPr>
                  <w:rFonts w:ascii="Cambria Math" w:hAnsi="Cambria Math" w:cs="Arial"/>
                </w:rPr>
                <m:t>t+1</m:t>
              </m:r>
            </m:sub>
          </m:sSub>
          <m:r>
            <w:rPr>
              <w:rFonts w:ascii="Cambria Math" w:hAnsi="Cambria Math" w:cs="Arial"/>
            </w:rPr>
            <m:t xml:space="preserve">= </m:t>
          </m:r>
          <m:sSub>
            <m:sSubPr>
              <m:ctrlPr>
                <w:rPr>
                  <w:rFonts w:ascii="Cambria Math" w:hAnsi="Cambria Math" w:cs="Arial"/>
                  <w:i/>
                </w:rPr>
              </m:ctrlPr>
            </m:sSubPr>
            <m:e>
              <m:r>
                <w:rPr>
                  <w:rFonts w:ascii="Cambria Math" w:hAnsi="Cambria Math" w:cs="Arial"/>
                </w:rPr>
                <m:t>DBH</m:t>
              </m:r>
            </m:e>
            <m:sub>
              <m:r>
                <w:rPr>
                  <w:rFonts w:ascii="Cambria Math" w:hAnsi="Cambria Math" w:cs="Arial"/>
                </w:rPr>
                <m:t>t</m:t>
              </m:r>
            </m:sub>
          </m:sSub>
          <m:r>
            <w:rPr>
              <w:rFonts w:ascii="Cambria Math" w:hAnsi="Cambria Math" w:cs="Arial"/>
            </w:rPr>
            <m:t xml:space="preserve">+ </m:t>
          </m:r>
          <m:f>
            <m:fPr>
              <m:ctrlPr>
                <w:rPr>
                  <w:rFonts w:ascii="Cambria Math" w:hAnsi="Cambria Math" w:cs="Arial"/>
                  <w:i/>
                </w:rPr>
              </m:ctrlPr>
            </m:fPr>
            <m:num>
              <m:r>
                <w:rPr>
                  <w:rFonts w:ascii="Cambria Math" w:hAnsi="Cambria Math" w:cs="Arial"/>
                </w:rPr>
                <m:t>0.25-(0.003*</m:t>
              </m:r>
              <m:sSub>
                <m:sSubPr>
                  <m:ctrlPr>
                    <w:rPr>
                      <w:rFonts w:ascii="Cambria Math" w:hAnsi="Cambria Math" w:cs="Arial"/>
                      <w:i/>
                    </w:rPr>
                  </m:ctrlPr>
                </m:sSubPr>
                <m:e>
                  <m:r>
                    <w:rPr>
                      <w:rFonts w:ascii="Cambria Math" w:hAnsi="Cambria Math" w:cs="Arial"/>
                    </w:rPr>
                    <m:t>DBH</m:t>
                  </m:r>
                </m:e>
                <m:sub>
                  <m:r>
                    <w:rPr>
                      <w:rFonts w:ascii="Cambria Math" w:hAnsi="Cambria Math" w:cs="Arial"/>
                    </w:rPr>
                    <m:t>t</m:t>
                  </m:r>
                </m:sub>
              </m:sSub>
              <m:r>
                <w:rPr>
                  <w:rFonts w:ascii="Cambria Math" w:hAnsi="Cambria Math" w:cs="Arial"/>
                </w:rPr>
                <m:t>)</m:t>
              </m:r>
            </m:num>
            <m:den>
              <m:sSup>
                <m:sSupPr>
                  <m:ctrlPr>
                    <w:rPr>
                      <w:rFonts w:ascii="Cambria Math" w:hAnsi="Cambria Math" w:cs="Arial"/>
                      <w:i/>
                    </w:rPr>
                  </m:ctrlPr>
                </m:sSupPr>
                <m:e>
                  <m:r>
                    <w:rPr>
                      <w:rFonts w:ascii="Cambria Math" w:hAnsi="Cambria Math" w:cs="Arial"/>
                    </w:rPr>
                    <m:t>1-(</m:t>
                  </m:r>
                  <m:r>
                    <w:rPr>
                      <w:rFonts w:ascii="Cambria Math" w:hAnsi="Cambria Math" w:cs="Arial"/>
                    </w:rPr>
                    <m:t>e</m:t>
                  </m:r>
                </m:e>
                <m:sup>
                  <m:r>
                    <w:rPr>
                      <w:rFonts w:ascii="Cambria Math" w:hAnsi="Cambria Math" w:cs="Arial"/>
                    </w:rPr>
                    <m:t>-0.8 (TSD-10)</m:t>
                  </m:r>
                </m:sup>
              </m:sSup>
              <m:r>
                <w:rPr>
                  <w:rFonts w:ascii="Cambria Math" w:hAnsi="Cambria Math" w:cs="Arial"/>
                </w:rPr>
                <m:t>)</m:t>
              </m:r>
            </m:den>
          </m:f>
        </m:oMath>
      </m:oMathPara>
    </w:p>
    <w:p w:rsidR="00040770" w:rsidRPr="004E3A00" w:rsidRDefault="00472B3E" w:rsidP="00472B3E">
      <w:pPr>
        <w:spacing w:line="360" w:lineRule="auto"/>
        <w:contextualSpacing/>
        <w:rPr>
          <w:rFonts w:ascii="Arial" w:hAnsi="Arial" w:cs="Arial"/>
        </w:rPr>
      </w:pPr>
      <w:r>
        <w:rPr>
          <w:rFonts w:ascii="Arial" w:eastAsiaTheme="minorEastAsia" w:hAnsi="Arial" w:cs="Arial"/>
        </w:rPr>
        <w:t xml:space="preserve">Where </w:t>
      </w:r>
      <m:oMath>
        <m:sSub>
          <m:sSubPr>
            <m:ctrlPr>
              <w:rPr>
                <w:rFonts w:ascii="Cambria Math" w:hAnsi="Cambria Math" w:cs="Arial"/>
                <w:i/>
              </w:rPr>
            </m:ctrlPr>
          </m:sSubPr>
          <m:e>
            <m:r>
              <w:rPr>
                <w:rFonts w:ascii="Cambria Math" w:hAnsi="Cambria Math" w:cs="Arial"/>
              </w:rPr>
              <m:t>DBH</m:t>
            </m:r>
          </m:e>
          <m:sub>
            <m:r>
              <w:rPr>
                <w:rFonts w:ascii="Cambria Math" w:hAnsi="Cambria Math" w:cs="Arial"/>
              </w:rPr>
              <m:t>t</m:t>
            </m:r>
          </m:sub>
        </m:sSub>
      </m:oMath>
      <w:r>
        <w:rPr>
          <w:rFonts w:ascii="Arial" w:eastAsiaTheme="minorEastAsia" w:hAnsi="Arial" w:cs="Arial"/>
        </w:rPr>
        <w:t xml:space="preserve"> and </w:t>
      </w:r>
      <m:oMath>
        <m:sSub>
          <m:sSubPr>
            <m:ctrlPr>
              <w:rPr>
                <w:rFonts w:ascii="Cambria Math" w:hAnsi="Cambria Math" w:cs="Arial"/>
                <w:i/>
              </w:rPr>
            </m:ctrlPr>
          </m:sSubPr>
          <m:e>
            <m:r>
              <w:rPr>
                <w:rFonts w:ascii="Cambria Math" w:hAnsi="Cambria Math" w:cs="Arial"/>
              </w:rPr>
              <m:t>DBH</m:t>
            </m:r>
          </m:e>
          <m:sub>
            <m:r>
              <w:rPr>
                <w:rFonts w:ascii="Cambria Math" w:hAnsi="Cambria Math" w:cs="Arial"/>
              </w:rPr>
              <m:t>t+1</m:t>
            </m:r>
          </m:sub>
        </m:sSub>
      </m:oMath>
      <w:r>
        <w:rPr>
          <w:rFonts w:ascii="Arial" w:eastAsiaTheme="minorEastAsia" w:hAnsi="Arial" w:cs="Arial"/>
        </w:rPr>
        <w:t xml:space="preserve"> are the diameters at breast height of a tree at times t and t+1 respectively and TSD is the number of years since a drought occurred. This model caused growth rate to drop rapidly following drought, recovering to pre-drought dynamics in 20 years.</w:t>
      </w:r>
    </w:p>
    <w:p w:rsidR="00A9613B" w:rsidRPr="004E3A00" w:rsidRDefault="00A9613B" w:rsidP="00F11B0B">
      <w:pPr>
        <w:spacing w:line="360" w:lineRule="auto"/>
        <w:ind w:firstLine="720"/>
        <w:contextualSpacing/>
        <w:rPr>
          <w:rFonts w:ascii="Arial" w:hAnsi="Arial" w:cs="Arial"/>
        </w:rPr>
      </w:pPr>
      <w:r w:rsidRPr="004E3A00">
        <w:rPr>
          <w:rFonts w:ascii="Arial" w:hAnsi="Arial" w:cs="Arial"/>
        </w:rPr>
        <w:t xml:space="preserve">To </w:t>
      </w:r>
      <w:r w:rsidR="003D61E5" w:rsidRPr="004E3A00">
        <w:rPr>
          <w:rFonts w:ascii="Arial" w:hAnsi="Arial" w:cs="Arial"/>
        </w:rPr>
        <w:t>test the model we first initiated the model so that forest structure was similar to that seen in 1964. We then ran different scenarios with and without differential juvenile mortality and spatial mortality feedbacks an</w:t>
      </w:r>
      <w:r w:rsidR="00B15A2F">
        <w:rPr>
          <w:rFonts w:ascii="Arial" w:hAnsi="Arial" w:cs="Arial"/>
        </w:rPr>
        <w:t xml:space="preserve">d compared the change in BA </w:t>
      </w:r>
      <w:r w:rsidR="003D61E5" w:rsidRPr="004E3A00">
        <w:rPr>
          <w:rFonts w:ascii="Arial" w:hAnsi="Arial" w:cs="Arial"/>
        </w:rPr>
        <w:t>after 50 time steps to those we observed in 2014. Following this we ran the models using the same parameterisation for a further 100 years to investigate possible future changes in BA and tree cover under the different scenarios. Each model run had 100 iterations and median values were used to summarise model results.</w:t>
      </w:r>
      <w:r w:rsidR="00B15A2F">
        <w:rPr>
          <w:rFonts w:ascii="Arial" w:hAnsi="Arial" w:cs="Arial"/>
        </w:rPr>
        <w:t xml:space="preserve"> Following this we tested the potential effects of projected increases in </w:t>
      </w:r>
      <w:r w:rsidR="004F03D4">
        <w:rPr>
          <w:rFonts w:ascii="Arial" w:hAnsi="Arial" w:cs="Arial"/>
        </w:rPr>
        <w:t>drought in the region</w:t>
      </w:r>
      <w:r w:rsidR="00B15A2F">
        <w:rPr>
          <w:rFonts w:ascii="Arial" w:hAnsi="Arial" w:cs="Arial"/>
        </w:rPr>
        <w:t xml:space="preserve"> </w:t>
      </w:r>
      <w:r w:rsidR="00B15A2F">
        <w:rPr>
          <w:rFonts w:ascii="Arial" w:hAnsi="Arial" w:cs="Arial"/>
        </w:rPr>
        <w:fldChar w:fldCharType="begin" w:fldLock="1"/>
      </w:r>
      <w:r w:rsidR="009534FF">
        <w:rPr>
          <w:rFonts w:ascii="Arial" w:hAnsi="Arial" w:cs="Arial"/>
        </w:rPr>
        <w:instrText>ADDIN CSL_CITATION { "citationItems" : [ { "id" : "ITEM-1", "itemData" : { "DOI" : "10.1038/nclimate2318", "ISBN" : "1758-6798", "ISSN" : "1758-678X", "abstract" : "We present repeated stem measurement data from 20 0.5-ha (100 \u00d7 50 m) permanent rain forest plots in northern Queensland, Australia, from 1971 to 2013. The plots have a rainfall range of 1200 to 3500 mm, represent 11 vegetation types, six parent materials, and range from 15 to 1200 m above sea level. Except for minor disturbances associated with selective logging on two plots, the plots were established in old growth forest and all plots have thereafter been protected. Plots were regularly censused and at each census the diameter at breast height (DBH) of all stems \u226510 cm DBH were recorded. Data is presented for 10 998 individual stems with plot stem densities at establishment ranging from 476 to 1104 stems/ha. Due to the wide geographical range of the plots, no species dominate, although the families Lauraceae, Rutaceae, and Myrtaceae contribute a large number of species. Basal area values at establishment ranged from 28.6 to 63.3 m2/ha and showed no trend of increasing or decreasing over time due mainly to regular disturbance and recovery from natural events such as cyclones. In addition to stems \u226510 cm DBH data, we present height data, floristic data from understory stems (\u226550 cm height to &lt;10 cm DBH), an auxiliary species list (including vines, epiphytes, ferns, grasses, herbs, and other life forms), and a list of voucher specimens lodged in herbaria. The data collected from the 20 plots provides an insight into the floristics, structure, and long-term forest dynamics of Australian tropical rain forests and allows direct comparisons to be made with long-term monitoring plots at a global scale. Read More: http://www.esajournals.org/doi/abs/10.1890/14-0458R.1", "author" : [ { "dropping-particle" : "", "family" : "Seidl", "given" : "Rupert", "non-dropping-particle" : "", "parse-names" : false, "suffix" : "" }, { "dropping-particle" : "", "family" : "Schelhaas", "given" : "Mart-jan", "non-dropping-particle" : "", "parse-names" : false, "suffix" : "" }, { "dropping-particle" : "", "family" : "Rammer", "given" : "Werner", "non-dropping-particle" : "", "parse-names" : false, "suffix" : "" }, { "dropping-particle" : "", "family" : "Verkerk", "given" : "Pieter Johannes", "non-dropping-particle" : "", "parse-names" : false, "suffix" : "" } ], "container-title" : "Nature Climate Change", "id" : "ITEM-1", "issue" : "August", "issued" : { "date-parts" : [ [ "2014" ] ] }, "page" : "1-6", "title" : "Increasing forest disturbances in Europe and their impact on carbon storage", "type" : "article-journal" }, "uris" : [ "http://www.mendeley.com/documents/?uuid=f1579293-1a7d-4e8f-b3ed-61dbd15e6478" ] } ], "mendeley" : { "formattedCitation" : "(Seidl &lt;i&gt;et al.&lt;/i&gt; 2014)", "plainTextFormattedCitation" : "(Seidl et al. 2014)", "previouslyFormattedCitation" : "(Seidl &lt;i&gt;et al.&lt;/i&gt; 2014)" }, "properties" : { "noteIndex" : 0 }, "schema" : "https://github.com/citation-style-language/schema/raw/master/csl-citation.json" }</w:instrText>
      </w:r>
      <w:r w:rsidR="00B15A2F">
        <w:rPr>
          <w:rFonts w:ascii="Arial" w:hAnsi="Arial" w:cs="Arial"/>
        </w:rPr>
        <w:fldChar w:fldCharType="separate"/>
      </w:r>
      <w:r w:rsidR="00B15A2F" w:rsidRPr="00B15A2F">
        <w:rPr>
          <w:rFonts w:ascii="Arial" w:hAnsi="Arial" w:cs="Arial"/>
          <w:noProof/>
        </w:rPr>
        <w:t xml:space="preserve">(Seidl </w:t>
      </w:r>
      <w:r w:rsidR="00B15A2F" w:rsidRPr="00B15A2F">
        <w:rPr>
          <w:rFonts w:ascii="Arial" w:hAnsi="Arial" w:cs="Arial"/>
          <w:i/>
          <w:noProof/>
        </w:rPr>
        <w:t>et al.</w:t>
      </w:r>
      <w:r w:rsidR="00B15A2F" w:rsidRPr="00B15A2F">
        <w:rPr>
          <w:rFonts w:ascii="Arial" w:hAnsi="Arial" w:cs="Arial"/>
          <w:noProof/>
        </w:rPr>
        <w:t xml:space="preserve"> 2014)</w:t>
      </w:r>
      <w:r w:rsidR="00B15A2F">
        <w:rPr>
          <w:rFonts w:ascii="Arial" w:hAnsi="Arial" w:cs="Arial"/>
        </w:rPr>
        <w:fldChar w:fldCharType="end"/>
      </w:r>
      <w:r w:rsidR="00B15A2F">
        <w:rPr>
          <w:rFonts w:ascii="Arial" w:hAnsi="Arial" w:cs="Arial"/>
        </w:rPr>
        <w:t xml:space="preserve"> by </w:t>
      </w:r>
      <w:r w:rsidR="004F03D4">
        <w:rPr>
          <w:rFonts w:ascii="Arial" w:hAnsi="Arial" w:cs="Arial"/>
        </w:rPr>
        <w:t xml:space="preserve">examining the effect of </w:t>
      </w:r>
      <w:r w:rsidR="00B15A2F">
        <w:rPr>
          <w:rFonts w:ascii="Arial" w:hAnsi="Arial" w:cs="Arial"/>
        </w:rPr>
        <w:t xml:space="preserve">increasing </w:t>
      </w:r>
      <w:r w:rsidR="004F03D4">
        <w:rPr>
          <w:rFonts w:ascii="Arial" w:hAnsi="Arial" w:cs="Arial"/>
        </w:rPr>
        <w:t>the chance of major annual droughts</w:t>
      </w:r>
      <w:r w:rsidR="00DB2CE2">
        <w:rPr>
          <w:rFonts w:ascii="Arial" w:hAnsi="Arial" w:cs="Arial"/>
        </w:rPr>
        <w:t xml:space="preserve"> </w:t>
      </w:r>
      <w:r w:rsidR="004F03D4">
        <w:rPr>
          <w:rFonts w:ascii="Arial" w:hAnsi="Arial" w:cs="Arial"/>
        </w:rPr>
        <w:t>from 1-5% on BA and tree cover.</w:t>
      </w:r>
    </w:p>
    <w:p w:rsidR="00174EF6" w:rsidRPr="004E3A00" w:rsidRDefault="00174EF6" w:rsidP="00F11B0B">
      <w:pPr>
        <w:spacing w:before="40" w:after="140" w:line="360" w:lineRule="auto"/>
        <w:contextualSpacing/>
        <w:textAlignment w:val="baseline"/>
        <w:rPr>
          <w:rFonts w:ascii="Arial" w:eastAsia="Times New Roman" w:hAnsi="Arial" w:cs="Arial"/>
          <w:color w:val="000000"/>
          <w:lang w:eastAsia="en-GB"/>
        </w:rPr>
      </w:pPr>
    </w:p>
    <w:p w:rsidR="00C9060F" w:rsidRPr="004E3A00" w:rsidRDefault="00C9060F" w:rsidP="00F11B0B">
      <w:pPr>
        <w:spacing w:before="40" w:after="140" w:line="360" w:lineRule="auto"/>
        <w:contextualSpacing/>
        <w:rPr>
          <w:rFonts w:ascii="Times New Roman" w:eastAsia="Times New Roman" w:hAnsi="Times New Roman" w:cs="Times New Roman"/>
          <w:sz w:val="24"/>
          <w:szCs w:val="24"/>
          <w:lang w:eastAsia="en-GB"/>
        </w:rPr>
      </w:pPr>
      <w:r w:rsidRPr="004E3A00">
        <w:rPr>
          <w:rFonts w:ascii="Arial" w:eastAsia="Times New Roman" w:hAnsi="Arial" w:cs="Arial"/>
          <w:b/>
          <w:bCs/>
          <w:color w:val="000000"/>
          <w:lang w:eastAsia="en-GB"/>
        </w:rPr>
        <w:t>Results (</w:t>
      </w:r>
      <w:r w:rsidR="0056725C" w:rsidRPr="004E3A00">
        <w:rPr>
          <w:rFonts w:ascii="Arial" w:eastAsia="Times New Roman" w:hAnsi="Arial" w:cs="Arial"/>
          <w:b/>
          <w:bCs/>
          <w:color w:val="000000"/>
          <w:lang w:eastAsia="en-GB"/>
        </w:rPr>
        <w:t>aim for ~</w:t>
      </w:r>
      <w:r w:rsidR="00695472" w:rsidRPr="004E3A00">
        <w:rPr>
          <w:rFonts w:ascii="Arial" w:eastAsia="Times New Roman" w:hAnsi="Arial" w:cs="Arial"/>
          <w:b/>
          <w:bCs/>
          <w:color w:val="000000"/>
          <w:lang w:eastAsia="en-GB"/>
        </w:rPr>
        <w:t>6</w:t>
      </w:r>
      <w:r w:rsidRPr="004E3A00">
        <w:rPr>
          <w:rFonts w:ascii="Arial" w:eastAsia="Times New Roman" w:hAnsi="Arial" w:cs="Arial"/>
          <w:b/>
          <w:bCs/>
          <w:color w:val="000000"/>
          <w:lang w:eastAsia="en-GB"/>
        </w:rPr>
        <w:t>00 words)</w:t>
      </w:r>
      <w:r w:rsidR="0056725C" w:rsidRPr="004E3A00">
        <w:rPr>
          <w:rFonts w:ascii="Arial" w:eastAsia="Times New Roman" w:hAnsi="Arial" w:cs="Arial"/>
          <w:b/>
          <w:bCs/>
          <w:color w:val="000000"/>
          <w:lang w:eastAsia="en-GB"/>
        </w:rPr>
        <w:t xml:space="preserve"> – currently 539</w:t>
      </w:r>
    </w:p>
    <w:p w:rsidR="0056725C" w:rsidRPr="004E3A00" w:rsidRDefault="0056725C" w:rsidP="00A87DA1">
      <w:pPr>
        <w:spacing w:line="360" w:lineRule="auto"/>
        <w:contextualSpacing/>
        <w:rPr>
          <w:rFonts w:ascii="Arial" w:eastAsia="Times New Roman" w:hAnsi="Arial" w:cs="Arial"/>
          <w:color w:val="000000"/>
          <w:lang w:eastAsia="en-GB"/>
        </w:rPr>
      </w:pPr>
    </w:p>
    <w:p w:rsidR="00A87DA1" w:rsidRPr="00B67877" w:rsidRDefault="00B67877" w:rsidP="00A87DA1">
      <w:pPr>
        <w:spacing w:line="360" w:lineRule="auto"/>
        <w:contextualSpacing/>
        <w:rPr>
          <w:rFonts w:ascii="Arial" w:hAnsi="Arial" w:cs="Arial"/>
          <w:b/>
        </w:rPr>
      </w:pPr>
      <w:r>
        <w:rPr>
          <w:rFonts w:ascii="Arial" w:hAnsi="Arial" w:cs="Arial"/>
          <w:b/>
        </w:rPr>
        <w:t>Tree recruitment</w:t>
      </w:r>
    </w:p>
    <w:p w:rsidR="00A87DA1" w:rsidRPr="004E3A00" w:rsidRDefault="00A87DA1" w:rsidP="00A87DA1">
      <w:pPr>
        <w:spacing w:line="360" w:lineRule="auto"/>
        <w:ind w:firstLine="720"/>
        <w:contextualSpacing/>
        <w:rPr>
          <w:rFonts w:ascii="Arial" w:hAnsi="Arial" w:cs="Arial"/>
        </w:rPr>
      </w:pPr>
      <w:r w:rsidRPr="004E3A00">
        <w:rPr>
          <w:rFonts w:ascii="Arial" w:hAnsi="Arial" w:cs="Arial"/>
        </w:rPr>
        <w:t>Mean beech seedling density (± SE) in 2014 was 115.22 ± 32.14 seedlings ha</w:t>
      </w:r>
      <w:r w:rsidRPr="004E3A00">
        <w:rPr>
          <w:rFonts w:ascii="Arial" w:hAnsi="Arial" w:cs="Arial"/>
          <w:vertAlign w:val="superscript"/>
        </w:rPr>
        <w:t>-1</w:t>
      </w:r>
      <w:r w:rsidRPr="004E3A00">
        <w:rPr>
          <w:rFonts w:ascii="Arial" w:hAnsi="Arial" w:cs="Arial"/>
        </w:rPr>
        <w:t>. Canopy openness was positively related to beech seedling density (slope=0.56 ± 0.09, P value &lt;0.001), but no other variables were included in models which had ΔAICc≤7 and thus were considered to have poor support. No metrics of deer or pony density were related to seedling density in any way.</w:t>
      </w:r>
      <w:r w:rsidR="00B67877">
        <w:rPr>
          <w:rFonts w:ascii="Arial" w:hAnsi="Arial" w:cs="Arial"/>
        </w:rPr>
        <w:t xml:space="preserve"> Similar relationships were seen in data from</w:t>
      </w:r>
      <w:r w:rsidR="004F03D4">
        <w:rPr>
          <w:rFonts w:ascii="Arial" w:hAnsi="Arial" w:cs="Arial"/>
        </w:rPr>
        <w:t xml:space="preserve"> 12 sites across the New Forest</w:t>
      </w:r>
      <w:r w:rsidR="00B67877">
        <w:rPr>
          <w:rFonts w:ascii="Arial" w:hAnsi="Arial" w:cs="Arial"/>
        </w:rPr>
        <w:t>, with a positive relationship between canopy openness and beech seedling density</w:t>
      </w:r>
      <w:r w:rsidR="003D20CF">
        <w:rPr>
          <w:rFonts w:ascii="Arial" w:hAnsi="Arial" w:cs="Arial"/>
        </w:rPr>
        <w:t xml:space="preserve"> (slope=-</w:t>
      </w:r>
      <w:r w:rsidR="003D20CF" w:rsidRPr="003D20CF">
        <w:rPr>
          <w:rFonts w:ascii="Arial" w:hAnsi="Arial" w:cs="Arial"/>
        </w:rPr>
        <w:t>0.4</w:t>
      </w:r>
      <w:r w:rsidR="003D20CF">
        <w:rPr>
          <w:rFonts w:ascii="Arial" w:hAnsi="Arial" w:cs="Arial"/>
        </w:rPr>
        <w:t>1± 0.06</w:t>
      </w:r>
      <w:r w:rsidR="004F03D4" w:rsidRPr="004E3A00">
        <w:rPr>
          <w:rFonts w:ascii="Arial" w:hAnsi="Arial" w:cs="Arial"/>
        </w:rPr>
        <w:t>, P value &lt;0.001</w:t>
      </w:r>
      <w:r w:rsidR="003D20CF">
        <w:rPr>
          <w:rFonts w:ascii="Arial" w:hAnsi="Arial" w:cs="Arial"/>
        </w:rPr>
        <w:t>)</w:t>
      </w:r>
      <w:r w:rsidR="00B67877">
        <w:rPr>
          <w:rFonts w:ascii="Arial" w:hAnsi="Arial" w:cs="Arial"/>
        </w:rPr>
        <w:t>.</w:t>
      </w:r>
    </w:p>
    <w:p w:rsidR="00A87DA1" w:rsidRPr="004E3A00" w:rsidRDefault="003D20CF" w:rsidP="00A87DA1">
      <w:pPr>
        <w:spacing w:line="360" w:lineRule="auto"/>
        <w:ind w:firstLine="360"/>
        <w:contextualSpacing/>
        <w:rPr>
          <w:rFonts w:ascii="Arial" w:hAnsi="Arial" w:cs="Arial"/>
        </w:rPr>
      </w:pPr>
      <w:r>
        <w:rPr>
          <w:rFonts w:ascii="Arial" w:hAnsi="Arial" w:cs="Arial"/>
        </w:rPr>
        <w:t xml:space="preserve">There was no clear relationship between sapling density and canopy openness at Denny wood or other sites across the New Forest (Figures 1b &amp; 1d). </w:t>
      </w:r>
      <w:r w:rsidR="00A87DA1" w:rsidRPr="004E3A00">
        <w:rPr>
          <w:rFonts w:ascii="Arial" w:hAnsi="Arial" w:cs="Arial"/>
        </w:rPr>
        <w:t xml:space="preserve">As the number of beech saplings declined during the years 1964-2014, so did the mortality rates of these saplings, </w:t>
      </w:r>
      <w:r w:rsidR="00A87DA1" w:rsidRPr="004E3A00">
        <w:rPr>
          <w:rFonts w:ascii="Arial" w:hAnsi="Arial" w:cs="Arial"/>
        </w:rPr>
        <w:lastRenderedPageBreak/>
        <w:t>from a maximum of 4.07% per year in 1964-1984 to 0.50% in 1996-2014 (Table 1). Conversely the proportion of saplings that became mature trees (&gt;10 cm DBH) showed an increase over this time period (Table 1).</w:t>
      </w:r>
    </w:p>
    <w:p w:rsidR="00A87DA1" w:rsidRPr="004E3A00" w:rsidRDefault="00A87DA1" w:rsidP="00A87DA1">
      <w:pPr>
        <w:spacing w:before="40" w:after="0" w:line="360" w:lineRule="auto"/>
        <w:contextualSpacing/>
        <w:textAlignment w:val="baseline"/>
        <w:rPr>
          <w:rFonts w:ascii="Arial" w:eastAsia="Times New Roman" w:hAnsi="Arial" w:cs="Arial"/>
          <w:color w:val="000000"/>
          <w:lang w:eastAsia="en-GB"/>
        </w:rPr>
      </w:pPr>
    </w:p>
    <w:p w:rsidR="00DD6D42" w:rsidRPr="004E3A00" w:rsidRDefault="003D20CF" w:rsidP="00DD6D42">
      <w:pPr>
        <w:spacing w:after="0" w:line="360" w:lineRule="auto"/>
        <w:contextualSpacing/>
        <w:textAlignment w:val="baseline"/>
        <w:rPr>
          <w:rFonts w:ascii="Arial" w:eastAsia="Times New Roman" w:hAnsi="Arial" w:cs="Arial"/>
          <w:b/>
          <w:color w:val="000000"/>
          <w:lang w:eastAsia="en-GB"/>
        </w:rPr>
      </w:pPr>
      <w:r>
        <w:rPr>
          <w:rFonts w:ascii="Arial" w:eastAsia="Times New Roman" w:hAnsi="Arial" w:cs="Arial"/>
          <w:b/>
          <w:color w:val="000000"/>
          <w:lang w:eastAsia="en-GB"/>
        </w:rPr>
        <w:t>Mature t</w:t>
      </w:r>
      <w:r w:rsidR="00DD6D42" w:rsidRPr="004E3A00">
        <w:rPr>
          <w:rFonts w:ascii="Arial" w:eastAsia="Times New Roman" w:hAnsi="Arial" w:cs="Arial"/>
          <w:b/>
          <w:color w:val="000000"/>
          <w:lang w:eastAsia="en-GB"/>
        </w:rPr>
        <w:t>ree mortality</w:t>
      </w:r>
    </w:p>
    <w:p w:rsidR="00A87DA1" w:rsidRPr="004E3A00" w:rsidRDefault="00A87DA1" w:rsidP="00DD6D42">
      <w:pPr>
        <w:spacing w:line="360" w:lineRule="auto"/>
        <w:ind w:firstLine="357"/>
        <w:contextualSpacing/>
        <w:rPr>
          <w:rFonts w:ascii="Arial" w:hAnsi="Arial" w:cs="Arial"/>
        </w:rPr>
      </w:pPr>
      <w:r w:rsidRPr="004E3A00">
        <w:rPr>
          <w:rFonts w:ascii="Arial" w:hAnsi="Arial" w:cs="Arial"/>
        </w:rPr>
        <w:t>The slope of the relationship between log subplot stem density and log subplot basal area was positive (slope=0.41 ± 0.05, marginal R</w:t>
      </w:r>
      <w:r w:rsidRPr="004E3A00">
        <w:rPr>
          <w:rFonts w:ascii="Arial" w:hAnsi="Arial" w:cs="Arial"/>
          <w:vertAlign w:val="superscript"/>
        </w:rPr>
        <w:t>2</w:t>
      </w:r>
      <w:r w:rsidRPr="004E3A00">
        <w:rPr>
          <w:rFonts w:ascii="Arial" w:hAnsi="Arial" w:cs="Arial"/>
        </w:rPr>
        <w:t>=0.24, Figure 1). However, in general subplots lost both stem density and basal area</w:t>
      </w:r>
      <w:r w:rsidR="00C049AF" w:rsidRPr="004E3A00">
        <w:rPr>
          <w:rFonts w:ascii="Arial" w:hAnsi="Arial" w:cs="Arial"/>
        </w:rPr>
        <w:t xml:space="preserve"> between 1964 and 2014 (Figure 2</w:t>
      </w:r>
      <w:r w:rsidRPr="004E3A00">
        <w:rPr>
          <w:rFonts w:ascii="Arial" w:hAnsi="Arial" w:cs="Arial"/>
        </w:rPr>
        <w:t xml:space="preserve">). Given that self-thinning processes tend to be strongest when plots are increasing in biomass and losing stem density at the same time </w:t>
      </w:r>
      <w:r w:rsidRPr="004E3A00">
        <w:rPr>
          <w:rFonts w:ascii="Arial" w:hAnsi="Arial" w:cs="Arial"/>
        </w:rPr>
        <w:fldChar w:fldCharType="begin" w:fldLock="1"/>
      </w:r>
      <w:r w:rsidR="00EC6C08" w:rsidRPr="004E3A00">
        <w:rPr>
          <w:rFonts w:ascii="Arial" w:hAnsi="Arial" w:cs="Arial"/>
        </w:rPr>
        <w:instrText>ADDIN CSL_CITATION { "citationItems" : [ { "id" : "ITEM-1", "itemData" : { "DOI" : "10.1111/j.1365-2745.2006.01179.x", "ISBN" : "0022-0477", "ISSN" : "00220477", "abstract" : "1 Tree-size distributions are changing in many natural forests around the world, and it is important to understand the underlying processes that are causing these changes. Here we use a classic conceptual framework-the shifting mosaic of patches model to explore the ways in which competitive thinning and disturbance influence tree-size distributions, and to consider the effects of temporal variability in disturbance frequency on the size structure of forests. 2 We monitored 250 stands of Nothofagus solandri var. cliffortiodes (mountain beech), randomly distributed over 9000 hectares, for 19 years. Mountain beech is a light-demanding species that forms monospecific forests in New Zealand mountains. For the purposes of our model, we assumed that each stand functions as an even-aged population: it is initiated by a pulse of recruitment, undergoes competitive thinning as it matures, and is eventually destroyed by a disturbance event. The tree-size distribution of the whole forest is driven partly by the frequency and temporal patchiness of disturbance events and partly by competitive processes within the constituent stands. 3 Temporal changes in stem density and mean tree size were observed to be remarkably similar in all young stands, indicating that a consistent packing rule operates during this phase of stand development. A popular idea in the self-thinning literature is that the maintenance of constant leaf area index (LAI) provides the mechanism for this packing rule, but our analyses suggest that LAI increased by about 30% during the thinning phase. We use leaf economic theory to develop a new packing rule based on light interception, and argue that LAI increases with stand age because of changes in canopy organisation. 4 Smaller trees were significantly more likely to die than larger trees within the young stands. Tree-diameter distributions within young stands were left skewed but those of older populations were normally distributed. These observations are consistent with asymmetric competition winnowing out small, suppressed trees from young stands but having less effect in older stands. 5 Large-scale disturbances created gaps of sufficient size to allow mass recruitment of seedlings in about 0.8% of stands each year. Older stands were most susceptible to such large-scale disturbance, but the trend was weak. 6 The diameter-distribution of the whole Nothofagus forest was found to be approximately exponential in form. Simulation models only produced \u2026", "author" : [ { "dropping-particle" : "", "family" : "Coomes", "given" : "David a.", "non-dropping-particle" : "", "parse-names" : false, "suffix" : "" }, { "dropping-particle" : "", "family" : "Allen", "given" : "Robert B.", "non-dropping-particle" : "", "parse-names" : false, "suffix" : "" } ], "container-title" : "Journal of Ecology", "id" : "ITEM-1", "issued" : { "date-parts" : [ [ "2007" ] ] }, "page" : "27-40", "title" : "Mortality and tree-size distributions in natural mixed-age forests", "type" : "article-journal", "volume" : "95" }, "uris" : [ "http://www.mendeley.com/documents/?uuid=00beb47a-6cd4-44be-a55c-3ad8fbbfa9ab" ] } ], "mendeley" : { "formattedCitation" : "(Coomes &amp; Allen 2007)", "plainTextFormattedCitation" : "(Coomes &amp; Allen 2007)", "previouslyFormattedCitation" : "(Coomes &amp; Allen 2007)" }, "properties" : { "noteIndex" : 0 }, "schema" : "https://github.com/citation-style-language/schema/raw/master/csl-citation.json" }</w:instrText>
      </w:r>
      <w:r w:rsidRPr="004E3A00">
        <w:rPr>
          <w:rFonts w:ascii="Arial" w:hAnsi="Arial" w:cs="Arial"/>
        </w:rPr>
        <w:fldChar w:fldCharType="separate"/>
      </w:r>
      <w:r w:rsidR="00732C7B" w:rsidRPr="004E3A00">
        <w:rPr>
          <w:rFonts w:ascii="Arial" w:hAnsi="Arial" w:cs="Arial"/>
          <w:noProof/>
        </w:rPr>
        <w:t>(Coomes &amp; Allen 2007)</w:t>
      </w:r>
      <w:r w:rsidRPr="004E3A00">
        <w:rPr>
          <w:rFonts w:ascii="Arial" w:hAnsi="Arial" w:cs="Arial"/>
        </w:rPr>
        <w:fldChar w:fldCharType="end"/>
      </w:r>
      <w:r w:rsidRPr="004E3A00">
        <w:rPr>
          <w:rFonts w:ascii="Arial" w:hAnsi="Arial" w:cs="Arial"/>
        </w:rPr>
        <w:t xml:space="preserve"> such processes are unlikely to be responsible for the majority of tree death seen in Denny wood from 1964-2014.</w:t>
      </w:r>
    </w:p>
    <w:p w:rsidR="00A87DA1" w:rsidRPr="004E3A00" w:rsidRDefault="00A87DA1" w:rsidP="00DD6D42">
      <w:pPr>
        <w:spacing w:line="360" w:lineRule="auto"/>
        <w:ind w:firstLine="357"/>
        <w:contextualSpacing/>
        <w:rPr>
          <w:rFonts w:ascii="Arial" w:hAnsi="Arial" w:cs="Arial"/>
        </w:rPr>
      </w:pPr>
      <w:r w:rsidRPr="004E3A00">
        <w:rPr>
          <w:rFonts w:ascii="Arial" w:hAnsi="Arial" w:cs="Arial"/>
        </w:rPr>
        <w:t>When predicting the mortality of individual beech trees growth rate was considered the most important predictor, as it was included in all models with a ΔAICc≤7. Trees that grew slowly or shrunk were more likely to die than those that grew relatively quickly</w:t>
      </w:r>
      <w:r w:rsidR="003D20CF">
        <w:rPr>
          <w:rFonts w:ascii="Arial" w:hAnsi="Arial" w:cs="Arial"/>
        </w:rPr>
        <w:t xml:space="preserve"> (slope=-0.93</w:t>
      </w:r>
      <w:r w:rsidRPr="004E3A00">
        <w:rPr>
          <w:rFonts w:ascii="Arial" w:hAnsi="Arial" w:cs="Arial"/>
        </w:rPr>
        <w:t xml:space="preserve"> </w:t>
      </w:r>
      <w:r w:rsidR="003D20CF">
        <w:rPr>
          <w:rFonts w:ascii="Arial" w:hAnsi="Arial" w:cs="Arial"/>
        </w:rPr>
        <w:t>± 0.15</w:t>
      </w:r>
      <w:r w:rsidR="00C049AF" w:rsidRPr="004E3A00">
        <w:rPr>
          <w:rFonts w:ascii="Arial" w:hAnsi="Arial" w:cs="Arial"/>
        </w:rPr>
        <w:t>, P value &lt;0.001, Figure 3</w:t>
      </w:r>
      <w:r w:rsidRPr="004E3A00">
        <w:rPr>
          <w:rFonts w:ascii="Arial" w:hAnsi="Arial" w:cs="Arial"/>
        </w:rPr>
        <w:t>a). Next most important was tree DBH</w:t>
      </w:r>
      <w:r w:rsidR="003D20CF">
        <w:rPr>
          <w:rFonts w:ascii="Arial" w:hAnsi="Arial" w:cs="Arial"/>
        </w:rPr>
        <w:t xml:space="preserve"> with an importance value of 0.8</w:t>
      </w:r>
      <w:r w:rsidRPr="004E3A00">
        <w:rPr>
          <w:rFonts w:ascii="Arial" w:hAnsi="Arial" w:cs="Arial"/>
        </w:rPr>
        <w:t>, and models suggested that tree size was positively correlated with prob</w:t>
      </w:r>
      <w:r w:rsidR="003D20CF">
        <w:rPr>
          <w:rFonts w:ascii="Arial" w:hAnsi="Arial" w:cs="Arial"/>
        </w:rPr>
        <w:t>ability of mortality (slope=0.23 ± 0.1</w:t>
      </w:r>
      <w:r w:rsidRPr="004E3A00">
        <w:rPr>
          <w:rFonts w:ascii="Arial" w:hAnsi="Arial" w:cs="Arial"/>
        </w:rPr>
        <w:t>, P value&lt;</w:t>
      </w:r>
      <w:r w:rsidR="00C049AF" w:rsidRPr="004E3A00">
        <w:rPr>
          <w:rFonts w:ascii="Arial" w:hAnsi="Arial" w:cs="Arial"/>
        </w:rPr>
        <w:t>0.0</w:t>
      </w:r>
      <w:r w:rsidR="003D20CF">
        <w:rPr>
          <w:rFonts w:ascii="Arial" w:hAnsi="Arial" w:cs="Arial"/>
        </w:rPr>
        <w:t>45</w:t>
      </w:r>
      <w:r w:rsidR="00C049AF" w:rsidRPr="004E3A00">
        <w:rPr>
          <w:rFonts w:ascii="Arial" w:hAnsi="Arial" w:cs="Arial"/>
        </w:rPr>
        <w:t>, Figure 3</w:t>
      </w:r>
      <w:r w:rsidRPr="004E3A00">
        <w:rPr>
          <w:rFonts w:ascii="Arial" w:hAnsi="Arial" w:cs="Arial"/>
        </w:rPr>
        <w:t xml:space="preserve">b). Distance to nearest dead tree and soil type were of similar importance with importance values of 0.52 and 0.45 respectively, with models indicating </w:t>
      </w:r>
      <w:r w:rsidR="003D20CF">
        <w:rPr>
          <w:rFonts w:ascii="Arial" w:hAnsi="Arial" w:cs="Arial"/>
        </w:rPr>
        <w:t>there was no significant relationship between distance to dead trees (slope=-0.1</w:t>
      </w:r>
      <w:r w:rsidRPr="004E3A00">
        <w:rPr>
          <w:rFonts w:ascii="Arial" w:hAnsi="Arial" w:cs="Arial"/>
        </w:rPr>
        <w:t>4 ± 0.</w:t>
      </w:r>
      <w:r w:rsidR="003D20CF">
        <w:rPr>
          <w:rFonts w:ascii="Arial" w:hAnsi="Arial" w:cs="Arial"/>
        </w:rPr>
        <w:t>19</w:t>
      </w:r>
      <w:r w:rsidRPr="004E3A00">
        <w:rPr>
          <w:rFonts w:ascii="Arial" w:hAnsi="Arial" w:cs="Arial"/>
        </w:rPr>
        <w:t>,</w:t>
      </w:r>
      <w:r w:rsidR="00C049AF" w:rsidRPr="004E3A00">
        <w:rPr>
          <w:rFonts w:ascii="Arial" w:hAnsi="Arial" w:cs="Arial"/>
        </w:rPr>
        <w:t xml:space="preserve"> P value&lt;0.</w:t>
      </w:r>
      <w:r w:rsidR="003D20CF">
        <w:rPr>
          <w:rFonts w:ascii="Arial" w:hAnsi="Arial" w:cs="Arial"/>
        </w:rPr>
        <w:t>46</w:t>
      </w:r>
      <w:r w:rsidR="00C049AF" w:rsidRPr="004E3A00">
        <w:rPr>
          <w:rFonts w:ascii="Arial" w:hAnsi="Arial" w:cs="Arial"/>
        </w:rPr>
        <w:t>, Figure 3</w:t>
      </w:r>
      <w:r w:rsidRPr="004E3A00">
        <w:rPr>
          <w:rFonts w:ascii="Arial" w:hAnsi="Arial" w:cs="Arial"/>
        </w:rPr>
        <w:t xml:space="preserve">c) and </w:t>
      </w:r>
      <w:r w:rsidR="003D20CF">
        <w:rPr>
          <w:rFonts w:ascii="Arial" w:hAnsi="Arial" w:cs="Arial"/>
        </w:rPr>
        <w:t>soil</w:t>
      </w:r>
      <w:r w:rsidRPr="004E3A00">
        <w:rPr>
          <w:rFonts w:ascii="Arial" w:hAnsi="Arial" w:cs="Arial"/>
        </w:rPr>
        <w:t xml:space="preserve"> </w:t>
      </w:r>
      <w:r w:rsidR="003D20CF">
        <w:rPr>
          <w:rFonts w:ascii="Arial" w:hAnsi="Arial" w:cs="Arial"/>
        </w:rPr>
        <w:t>texture and mortality</w:t>
      </w:r>
      <w:r w:rsidRPr="004E3A00">
        <w:rPr>
          <w:rFonts w:ascii="Arial" w:hAnsi="Arial" w:cs="Arial"/>
        </w:rPr>
        <w:t xml:space="preserve"> (slope=-0.</w:t>
      </w:r>
      <w:r w:rsidR="003D20CF">
        <w:rPr>
          <w:rFonts w:ascii="Arial" w:hAnsi="Arial" w:cs="Arial"/>
        </w:rPr>
        <w:t>14</w:t>
      </w:r>
      <w:r w:rsidR="00C049AF" w:rsidRPr="004E3A00">
        <w:rPr>
          <w:rFonts w:ascii="Arial" w:hAnsi="Arial" w:cs="Arial"/>
        </w:rPr>
        <w:t xml:space="preserve"> ± </w:t>
      </w:r>
      <w:r w:rsidR="003D20CF">
        <w:rPr>
          <w:rFonts w:ascii="Arial" w:hAnsi="Arial" w:cs="Arial"/>
        </w:rPr>
        <w:t>0.19</w:t>
      </w:r>
      <w:r w:rsidR="00C049AF" w:rsidRPr="004E3A00">
        <w:rPr>
          <w:rFonts w:ascii="Arial" w:hAnsi="Arial" w:cs="Arial"/>
        </w:rPr>
        <w:t>, P value&lt;0.</w:t>
      </w:r>
      <w:r w:rsidR="003D20CF">
        <w:rPr>
          <w:rFonts w:ascii="Arial" w:hAnsi="Arial" w:cs="Arial"/>
        </w:rPr>
        <w:t>45</w:t>
      </w:r>
      <w:r w:rsidR="00C049AF" w:rsidRPr="004E3A00">
        <w:rPr>
          <w:rFonts w:ascii="Arial" w:hAnsi="Arial" w:cs="Arial"/>
        </w:rPr>
        <w:t>, Figure 3</w:t>
      </w:r>
      <w:r w:rsidRPr="004E3A00">
        <w:rPr>
          <w:rFonts w:ascii="Arial" w:hAnsi="Arial" w:cs="Arial"/>
        </w:rPr>
        <w:t>d).</w:t>
      </w:r>
    </w:p>
    <w:p w:rsidR="003D20CF" w:rsidRPr="004E3A00" w:rsidRDefault="003D20CF" w:rsidP="00DD6D42">
      <w:pPr>
        <w:spacing w:after="140" w:line="360" w:lineRule="auto"/>
        <w:contextualSpacing/>
        <w:textAlignment w:val="baseline"/>
        <w:rPr>
          <w:rFonts w:ascii="Arial" w:eastAsia="Times New Roman" w:hAnsi="Arial" w:cs="Arial"/>
          <w:b/>
          <w:color w:val="000000"/>
          <w:lang w:eastAsia="en-GB"/>
        </w:rPr>
      </w:pPr>
    </w:p>
    <w:p w:rsidR="00DD6D42" w:rsidRPr="004E3A00" w:rsidRDefault="00DD6D42" w:rsidP="00DD6D42">
      <w:pPr>
        <w:spacing w:after="140" w:line="360" w:lineRule="auto"/>
        <w:contextualSpacing/>
        <w:textAlignment w:val="baseline"/>
        <w:rPr>
          <w:rFonts w:ascii="Arial" w:eastAsia="Times New Roman" w:hAnsi="Arial" w:cs="Arial"/>
          <w:b/>
          <w:color w:val="000000"/>
          <w:lang w:eastAsia="en-GB"/>
        </w:rPr>
      </w:pPr>
      <w:r w:rsidRPr="004E3A00">
        <w:rPr>
          <w:rFonts w:ascii="Arial" w:eastAsia="Times New Roman" w:hAnsi="Arial" w:cs="Arial"/>
          <w:b/>
          <w:color w:val="000000"/>
          <w:lang w:eastAsia="en-GB"/>
        </w:rPr>
        <w:t>Individual based model</w:t>
      </w:r>
    </w:p>
    <w:p w:rsidR="00DD6D42" w:rsidRDefault="00DD6D42" w:rsidP="00695472">
      <w:pPr>
        <w:spacing w:after="140" w:line="360" w:lineRule="auto"/>
        <w:ind w:firstLine="720"/>
        <w:contextualSpacing/>
        <w:textAlignment w:val="baseline"/>
        <w:rPr>
          <w:rFonts w:ascii="Arial" w:eastAsia="Times New Roman" w:hAnsi="Arial" w:cs="Arial"/>
          <w:color w:val="000000"/>
          <w:lang w:eastAsia="en-GB"/>
        </w:rPr>
      </w:pPr>
      <w:r w:rsidRPr="004E3A00">
        <w:rPr>
          <w:rFonts w:ascii="Arial" w:eastAsia="Times New Roman" w:hAnsi="Arial" w:cs="Arial"/>
          <w:color w:val="000000"/>
          <w:lang w:eastAsia="en-GB"/>
        </w:rPr>
        <w:t xml:space="preserve">Results from our individual based model suggest that when the annual probability of juvenile death is low, the forest does not undergo a transition to a treeless state even if feedbacks are present. However, when annual probability of juvenile death is &gt;0.4 </w:t>
      </w:r>
      <w:r w:rsidR="003D20CF">
        <w:rPr>
          <w:rFonts w:ascii="Arial" w:eastAsia="Times New Roman" w:hAnsi="Arial" w:cs="Arial"/>
          <w:color w:val="000000"/>
          <w:lang w:eastAsia="en-GB"/>
        </w:rPr>
        <w:t xml:space="preserve">with or without spatial </w:t>
      </w:r>
      <w:r w:rsidRPr="004E3A00">
        <w:rPr>
          <w:rFonts w:ascii="Arial" w:eastAsia="Times New Roman" w:hAnsi="Arial" w:cs="Arial"/>
          <w:color w:val="000000"/>
          <w:lang w:eastAsia="en-GB"/>
        </w:rPr>
        <w:t xml:space="preserve">feedbacks </w:t>
      </w:r>
      <w:r w:rsidR="003D20CF">
        <w:rPr>
          <w:rFonts w:ascii="Arial" w:eastAsia="Times New Roman" w:hAnsi="Arial" w:cs="Arial"/>
          <w:color w:val="000000"/>
          <w:lang w:eastAsia="en-GB"/>
        </w:rPr>
        <w:t xml:space="preserve">basal area declines </w:t>
      </w:r>
      <w:r w:rsidR="00C049AF" w:rsidRPr="004E3A00">
        <w:rPr>
          <w:rFonts w:ascii="Arial" w:eastAsia="Times New Roman" w:hAnsi="Arial" w:cs="Arial"/>
          <w:color w:val="000000"/>
          <w:lang w:eastAsia="en-GB"/>
        </w:rPr>
        <w:t>(Figure 4</w:t>
      </w:r>
      <w:r w:rsidR="0056725C" w:rsidRPr="004E3A00">
        <w:rPr>
          <w:rFonts w:ascii="Arial" w:eastAsia="Times New Roman" w:hAnsi="Arial" w:cs="Arial"/>
          <w:color w:val="000000"/>
          <w:lang w:eastAsia="en-GB"/>
        </w:rPr>
        <w:t>). Thus the effect of feedbacks was dependent upon high background juvenile mortality</w:t>
      </w:r>
      <w:r w:rsidR="003D20CF">
        <w:rPr>
          <w:rFonts w:ascii="Arial" w:eastAsia="Times New Roman" w:hAnsi="Arial" w:cs="Arial"/>
          <w:color w:val="000000"/>
          <w:lang w:eastAsia="en-GB"/>
        </w:rPr>
        <w:t>, but made relatively little difference to forest structure</w:t>
      </w:r>
      <w:r w:rsidR="0056725C" w:rsidRPr="004E3A00">
        <w:rPr>
          <w:rFonts w:ascii="Arial" w:eastAsia="Times New Roman" w:hAnsi="Arial" w:cs="Arial"/>
          <w:color w:val="000000"/>
          <w:lang w:eastAsia="en-GB"/>
        </w:rPr>
        <w:t>.</w:t>
      </w:r>
    </w:p>
    <w:p w:rsidR="00534FAA" w:rsidRPr="004E3A00" w:rsidRDefault="00534FAA" w:rsidP="00695472">
      <w:pPr>
        <w:spacing w:after="140" w:line="360" w:lineRule="auto"/>
        <w:ind w:firstLine="720"/>
        <w:contextualSpacing/>
        <w:textAlignment w:val="baseline"/>
        <w:rPr>
          <w:rFonts w:ascii="Arial" w:eastAsia="Times New Roman" w:hAnsi="Arial" w:cs="Arial"/>
          <w:color w:val="000000"/>
          <w:lang w:eastAsia="en-GB"/>
        </w:rPr>
      </w:pPr>
    </w:p>
    <w:p w:rsidR="00DD6D42" w:rsidRPr="004E3A00" w:rsidRDefault="00DD6D42" w:rsidP="00DD6D42">
      <w:pPr>
        <w:spacing w:after="140" w:line="360" w:lineRule="auto"/>
        <w:contextualSpacing/>
        <w:textAlignment w:val="baseline"/>
        <w:rPr>
          <w:rFonts w:ascii="Arial" w:eastAsia="Times New Roman" w:hAnsi="Arial" w:cs="Arial"/>
          <w:color w:val="000000"/>
          <w:lang w:eastAsia="en-GB"/>
        </w:rPr>
      </w:pPr>
    </w:p>
    <w:p w:rsidR="00937D98" w:rsidRPr="004E3A00" w:rsidRDefault="00C049AF" w:rsidP="00534FAA">
      <w:pPr>
        <w:spacing w:before="40" w:after="140" w:line="360" w:lineRule="auto"/>
        <w:contextualSpacing/>
        <w:rPr>
          <w:rFonts w:ascii="Arial" w:eastAsia="Times New Roman" w:hAnsi="Arial" w:cs="Arial"/>
          <w:color w:val="000000"/>
          <w:lang w:eastAsia="en-GB"/>
        </w:rPr>
      </w:pPr>
      <w:r w:rsidRPr="004E3A00">
        <w:rPr>
          <w:rFonts w:ascii="Arial" w:eastAsia="Times New Roman" w:hAnsi="Arial" w:cs="Arial"/>
          <w:b/>
          <w:bCs/>
          <w:color w:val="000000"/>
          <w:lang w:eastAsia="en-GB"/>
        </w:rPr>
        <w:t>Discussion (aim for ~12</w:t>
      </w:r>
      <w:r w:rsidR="00C9060F" w:rsidRPr="004E3A00">
        <w:rPr>
          <w:rFonts w:ascii="Arial" w:eastAsia="Times New Roman" w:hAnsi="Arial" w:cs="Arial"/>
          <w:b/>
          <w:bCs/>
          <w:color w:val="000000"/>
          <w:lang w:eastAsia="en-GB"/>
        </w:rPr>
        <w:t>00 words)</w:t>
      </w:r>
    </w:p>
    <w:p w:rsidR="008B348E" w:rsidRPr="004E3A00" w:rsidRDefault="008B348E" w:rsidP="008B348E">
      <w:pPr>
        <w:spacing w:before="40" w:after="0" w:line="360" w:lineRule="auto"/>
        <w:contextualSpacing/>
        <w:textAlignment w:val="baseline"/>
        <w:rPr>
          <w:rFonts w:ascii="Arial" w:eastAsia="Times New Roman" w:hAnsi="Arial" w:cs="Arial"/>
          <w:color w:val="000000"/>
          <w:lang w:eastAsia="en-GB"/>
        </w:rPr>
      </w:pPr>
      <w:r w:rsidRPr="004E3A00">
        <w:rPr>
          <w:rFonts w:ascii="Arial" w:eastAsia="Times New Roman" w:hAnsi="Arial" w:cs="Arial"/>
          <w:color w:val="000000"/>
          <w:lang w:eastAsia="en-GB"/>
        </w:rPr>
        <w:t xml:space="preserve">In our study we found that recruitment of beech seedlings and saplings in Denny wood was limited. Seedling density was negatively correlated with canopy cover, while sapling abundance was positively correlated. Modelling of mortality showed that slow growing, large trees, close to dead trees, on soils with low sand content were the most likely to die. An individual based model suggested that forest basal area would decline unless juvenile </w:t>
      </w:r>
      <w:r w:rsidRPr="004E3A00">
        <w:rPr>
          <w:rFonts w:ascii="Arial" w:eastAsia="Times New Roman" w:hAnsi="Arial" w:cs="Arial"/>
          <w:color w:val="000000"/>
          <w:lang w:eastAsia="en-GB"/>
        </w:rPr>
        <w:lastRenderedPageBreak/>
        <w:t>mortality was dramatically reduced. However, none of the scenarios suggested the potential for total loss of tree cover.</w:t>
      </w:r>
    </w:p>
    <w:p w:rsidR="008B348E" w:rsidRPr="004E3A00" w:rsidRDefault="008B348E" w:rsidP="008B348E">
      <w:pPr>
        <w:spacing w:before="40" w:after="0" w:line="360" w:lineRule="auto"/>
        <w:contextualSpacing/>
        <w:textAlignment w:val="baseline"/>
        <w:rPr>
          <w:rFonts w:ascii="Arial" w:eastAsia="Times New Roman" w:hAnsi="Arial" w:cs="Arial"/>
          <w:color w:val="000000"/>
          <w:lang w:eastAsia="en-GB"/>
        </w:rPr>
      </w:pPr>
    </w:p>
    <w:p w:rsidR="007D6626" w:rsidRPr="00534FAA" w:rsidRDefault="007D6626" w:rsidP="00534FAA">
      <w:pPr>
        <w:spacing w:before="40" w:after="0" w:line="360" w:lineRule="auto"/>
        <w:contextualSpacing/>
        <w:textAlignment w:val="baseline"/>
        <w:rPr>
          <w:rFonts w:ascii="Arial" w:eastAsia="Times New Roman" w:hAnsi="Arial" w:cs="Arial"/>
          <w:b/>
          <w:color w:val="000000"/>
          <w:lang w:eastAsia="en-GB"/>
        </w:rPr>
      </w:pPr>
      <w:r w:rsidRPr="00534FAA">
        <w:rPr>
          <w:rFonts w:ascii="Arial" w:eastAsia="Times New Roman" w:hAnsi="Arial" w:cs="Arial"/>
          <w:b/>
          <w:color w:val="000000"/>
          <w:lang w:eastAsia="en-GB"/>
        </w:rPr>
        <w:t>Causes of juvenile recruitment limitation</w:t>
      </w:r>
    </w:p>
    <w:p w:rsidR="00534FAA" w:rsidRDefault="00534FAA" w:rsidP="007D6626">
      <w:pPr>
        <w:spacing w:before="40" w:after="0" w:line="360" w:lineRule="auto"/>
        <w:contextualSpacing/>
        <w:textAlignment w:val="baseline"/>
        <w:rPr>
          <w:rFonts w:ascii="Arial" w:eastAsia="Times New Roman" w:hAnsi="Arial" w:cs="Arial"/>
          <w:color w:val="000000"/>
          <w:lang w:eastAsia="en-GB"/>
        </w:rPr>
      </w:pPr>
    </w:p>
    <w:p w:rsidR="004D78CA" w:rsidRPr="004E3A00" w:rsidRDefault="008B2F2E" w:rsidP="007D6626">
      <w:pPr>
        <w:spacing w:before="40" w:after="0" w:line="360" w:lineRule="auto"/>
        <w:contextualSpacing/>
        <w:textAlignment w:val="baseline"/>
        <w:rPr>
          <w:rFonts w:ascii="Arial" w:eastAsia="Times New Roman" w:hAnsi="Arial" w:cs="Arial"/>
          <w:color w:val="000000"/>
          <w:lang w:eastAsia="en-GB"/>
        </w:rPr>
      </w:pPr>
      <w:r w:rsidRPr="004E3A00">
        <w:rPr>
          <w:rFonts w:ascii="Arial" w:eastAsia="Times New Roman" w:hAnsi="Arial" w:cs="Arial"/>
          <w:color w:val="000000"/>
          <w:lang w:eastAsia="en-GB"/>
        </w:rPr>
        <w:t>Seedling density was highe</w:t>
      </w:r>
      <w:r w:rsidR="004D78CA" w:rsidRPr="004E3A00">
        <w:rPr>
          <w:rFonts w:ascii="Arial" w:eastAsia="Times New Roman" w:hAnsi="Arial" w:cs="Arial"/>
          <w:color w:val="000000"/>
          <w:lang w:eastAsia="en-GB"/>
        </w:rPr>
        <w:t>st</w:t>
      </w:r>
      <w:r w:rsidRPr="004E3A00">
        <w:rPr>
          <w:rFonts w:ascii="Arial" w:eastAsia="Times New Roman" w:hAnsi="Arial" w:cs="Arial"/>
          <w:color w:val="000000"/>
          <w:lang w:eastAsia="en-GB"/>
        </w:rPr>
        <w:t xml:space="preserve"> in areas with low canopy cover</w:t>
      </w:r>
      <w:r w:rsidR="004D78CA" w:rsidRPr="004E3A00">
        <w:rPr>
          <w:rFonts w:ascii="Arial" w:eastAsia="Times New Roman" w:hAnsi="Arial" w:cs="Arial"/>
          <w:color w:val="000000"/>
          <w:lang w:eastAsia="en-GB"/>
        </w:rPr>
        <w:t xml:space="preserve"> reflecting increased germination and growth rates of tree seedlings</w:t>
      </w:r>
      <w:r w:rsidRPr="004E3A00">
        <w:rPr>
          <w:rFonts w:ascii="Arial" w:eastAsia="Times New Roman" w:hAnsi="Arial" w:cs="Arial"/>
          <w:color w:val="000000"/>
          <w:lang w:eastAsia="en-GB"/>
        </w:rPr>
        <w:t xml:space="preserve"> where light intensity is higher and grass or shrubs provide protection against ungulate herbivores </w:t>
      </w:r>
      <w:r w:rsidR="004D78CA" w:rsidRPr="004E3A00">
        <w:rPr>
          <w:rFonts w:ascii="Arial" w:eastAsia="Times New Roman" w:hAnsi="Arial" w:cs="Arial"/>
          <w:color w:val="000000"/>
          <w:lang w:eastAsia="en-GB"/>
        </w:rPr>
        <w:fldChar w:fldCharType="begin" w:fldLock="1"/>
      </w:r>
      <w:r w:rsidR="004D78CA" w:rsidRPr="004E3A00">
        <w:rPr>
          <w:rFonts w:ascii="Arial" w:eastAsia="Times New Roman" w:hAnsi="Arial" w:cs="Arial"/>
          <w:color w:val="000000"/>
          <w:lang w:eastAsia="en-GB"/>
        </w:rPr>
        <w:instrText>ADDIN CSL_CITATION { "citationItems" : [ { "id" : "ITEM-1", "itemData" : { "DOI" : "10.1111/1365-2745.12382", "ISSN" : "00220477", "author" : [ { "dropping-particle" : "", "family" : "Duwyn", "given" : "Alisha", "non-dropping-particle" : "", "parse-names" : false, "suffix" : "" }, { "dropping-particle" : "", "family" : "MacDougall", "given" : "Andrew S.", "non-dropping-particle" : "", "parse-names" : false, "suffix" : "" } ], "container-title" : "Journal of Ecology", "id" : "ITEM-1", "issue" : "Caughley 1994", "issued" : { "date-parts" : [ [ "2015" ] ] }, "page" : "n/a-n/a", "title" : "When anthropogenic-related disturbances overwhelm demographic persistence mechanisms", "type" : "article-journal" }, "uris" : [ "http://www.mendeley.com/documents/?uuid=ae8b1cf2-3e54-41ac-8217-5be146cd88fd" ] }, { "id" : "ITEM-2", "itemData" : { "abstract" : "In order to analyze the growth dynamics of beech seedlings growing under contrasting canopy conditions, a beech stand in which two types of canopy opening (canopy release or gap creation) had been applied in 1995 was selected. Three and four years after the canopy had been opened, 113 naturally regenerated seedlings were sampled in gaps or under the canopy. The effects of canopy opening and seedling age on annual height and diameter growth were analyzed using mixed models. Under closed canopy, average annual seedling height and diameter increments were 1.2 cm and 0.18 mm, respectively. Diameter growth increased in the first year after the canopy had been opened, and exhibited considerable inter-annual variation related to climatic conditions. Conversely, height growth did not increase immediately after canopy opening, but increased regularly in the following years. Four years after the gap had been created, annual seedling height and diameter growth were 9.5 cm and 0.49 mm respectively in the gaps, and 3.8 cm and 0.21 mm respectively under released canopy. Age did not affect the dynamics of seedling growth.", "author" : [ { "dropping-particle" : "", "family" : "Collet", "given" : "Catherine", "non-dropping-particle" : "", "parse-names" : false, "suffix" : "" }, { "dropping-particle" : "", "family" : "Lantera", "given" : "Olivier", "non-dropping-particle" : "", "parse-names" : false, "suffix" : "" }, { "dropping-particle" : "", "family" : "Pardos", "given" : "Marta", "non-dropping-particle" : "", "parse-names" : false, "suffix" : "" } ], "container-title" : "Annuals of forest science", "id" : "ITEM-2", "issued" : { "date-parts" : [ [ "2001" ] ] }, "page" : "127-134", "title" : "Effects of canopy opening on height and diameter growth", "type" : "article-journal", "volume" : "58" }, "uris" : [ "http://www.mendeley.com/documents/?uuid=245f974d-94e1-46d4-bc1b-b7d95755f6f1" ] }, { "id" : "ITEM-3", "itemData" : { "DOI" : "10.1111/j.1365-2745.2010.01656.x", "ISSN" : "00220477", "author" : [ { "dropping-particle" : "", "family" : "Kuijper", "given" : "Dries P. J.", "non-dropping-particle" : "", "parse-names" : false, "suffix" : "" }, { "dropping-particle" : "", "family" : "Cromsigt", "given" : "Joris P. G. M.", "non-dropping-particle" : "", "parse-names" : false, "suffix" : "" }, { "dropping-particle" : "", "family" : "J\u0119drzejewska", "given" : "Bogumi\u0142a", "non-dropping-particle" : "", "parse-names" : false, "suffix" : "" }, { "dropping-particle" : "", "family" : "Mi\u015bcicki", "given" : "Stanis\u0142aw", "non-dropping-particle" : "", "parse-names" : false, "suffix" : "" }, { "dropping-particle" : "", "family" : "Churski", "given" : "Marcin", "non-dropping-particle" : "", "parse-names" : false, "suffix" : "" }, { "dropping-particle" : "", "family" : "J\u0119drzejewski", "given" : "W\u0142odzimierz", "non-dropping-particle" : "", "parse-names" : false, "suffix" : "" }, { "dropping-particle" : "", "family" : "Kweczlich", "given" : "Iwona", "non-dropping-particle" : "", "parse-names" : false, "suffix" : "" } ], "container-title" : "Journal of Ecology", "id" : "ITEM-3", "issue" : "4", "issued" : { "date-parts" : [ [ "2010" ] ] }, "page" : "888-899", "title" : "Bottom-up versus top-down control of tree regeneration in the Bia\u0142owie\u017ca Primeval Forest, Poland", "type" : "article-journal", "volume" : "98" }, "uris" : [ "http://www.mendeley.com/documents/?uuid=13e6a55d-f70f-4a49-9cd7-01d1e1b7491a" ] } ], "mendeley" : { "formattedCitation" : "(Collet, Lantera &amp; Pardos 2001; Kuijper &lt;i&gt;et al.&lt;/i&gt; 2010; Duwyn &amp; MacDougall 2015)", "plainTextFormattedCitation" : "(Collet, Lantera &amp; Pardos 2001; Kuijper et al. 2010; Duwyn &amp; MacDougall 2015)", "previouslyFormattedCitation" : "(Collet, Lantera &amp; Pardos 2001; Kuijper &lt;i&gt;et al.&lt;/i&gt; 2010; Duwyn &amp; MacDougall 2015)" }, "properties" : { "noteIndex" : 0 }, "schema" : "https://github.com/citation-style-language/schema/raw/master/csl-citation.json" }</w:instrText>
      </w:r>
      <w:r w:rsidR="004D78CA" w:rsidRPr="004E3A00">
        <w:rPr>
          <w:rFonts w:ascii="Arial" w:eastAsia="Times New Roman" w:hAnsi="Arial" w:cs="Arial"/>
          <w:color w:val="000000"/>
          <w:lang w:eastAsia="en-GB"/>
        </w:rPr>
        <w:fldChar w:fldCharType="separate"/>
      </w:r>
      <w:r w:rsidR="004D78CA" w:rsidRPr="004E3A00">
        <w:rPr>
          <w:rFonts w:ascii="Arial" w:eastAsia="Times New Roman" w:hAnsi="Arial" w:cs="Arial"/>
          <w:noProof/>
          <w:color w:val="000000"/>
          <w:lang w:eastAsia="en-GB"/>
        </w:rPr>
        <w:t xml:space="preserve">(Collet, Lantera &amp; Pardos 2001; Kuijper </w:t>
      </w:r>
      <w:r w:rsidR="004D78CA" w:rsidRPr="004E3A00">
        <w:rPr>
          <w:rFonts w:ascii="Arial" w:eastAsia="Times New Roman" w:hAnsi="Arial" w:cs="Arial"/>
          <w:i/>
          <w:noProof/>
          <w:color w:val="000000"/>
          <w:lang w:eastAsia="en-GB"/>
        </w:rPr>
        <w:t>et al.</w:t>
      </w:r>
      <w:r w:rsidR="004D78CA" w:rsidRPr="004E3A00">
        <w:rPr>
          <w:rFonts w:ascii="Arial" w:eastAsia="Times New Roman" w:hAnsi="Arial" w:cs="Arial"/>
          <w:noProof/>
          <w:color w:val="000000"/>
          <w:lang w:eastAsia="en-GB"/>
        </w:rPr>
        <w:t xml:space="preserve"> 2010; Duwyn &amp; MacDougall 2015)</w:t>
      </w:r>
      <w:r w:rsidR="004D78CA" w:rsidRPr="004E3A00">
        <w:rPr>
          <w:rFonts w:ascii="Arial" w:eastAsia="Times New Roman" w:hAnsi="Arial" w:cs="Arial"/>
          <w:color w:val="000000"/>
          <w:lang w:eastAsia="en-GB"/>
        </w:rPr>
        <w:fldChar w:fldCharType="end"/>
      </w:r>
      <w:r w:rsidR="004D78CA" w:rsidRPr="004E3A00">
        <w:rPr>
          <w:rFonts w:ascii="Arial" w:eastAsia="Times New Roman" w:hAnsi="Arial" w:cs="Arial"/>
          <w:color w:val="000000"/>
          <w:lang w:eastAsia="en-GB"/>
        </w:rPr>
        <w:t xml:space="preserve">. However, this was not reflected by higher sapling density in areas with low canopy cover, but the opposite resulting in very limited regeneration following death of large trees </w:t>
      </w:r>
      <w:r w:rsidR="004D78CA" w:rsidRPr="004E3A00">
        <w:rPr>
          <w:rFonts w:ascii="Arial" w:eastAsia="Times New Roman" w:hAnsi="Arial" w:cs="Arial"/>
          <w:color w:val="000000"/>
          <w:lang w:eastAsia="en-GB"/>
        </w:rPr>
        <w:fldChar w:fldCharType="begin" w:fldLock="1"/>
      </w:r>
      <w:r w:rsidR="00B6284F">
        <w:rPr>
          <w:rFonts w:ascii="Arial" w:eastAsia="Times New Roman" w:hAnsi="Arial" w:cs="Arial"/>
          <w:color w:val="000000"/>
          <w:lang w:eastAsia="en-GB"/>
        </w:rPr>
        <w:instrText>ADDIN CSL_CITATION { "citationItems" : [ { "id" : "ITEM-1", "itemData" : { "DOI" : "10.1016/j.foreco.2015.08.033", "ISSN" : "03781127", "author" : [ { "dropping-particle" : "", "family" : "Martin", "given" : "Philip Anthony", "non-dropping-particle" : "", "parse-names" : false, "suffix" : "" }, { "dropping-particle" : "", "family" : "Newton", "given" : "Adrian Christopher", "non-dropping-particle" : "", "parse-names" : false, "suffix" : "" }, { "dropping-particle" : "", "family" : "Cantarello", "given" : "Elena", "non-dropping-particle" : "", "parse-names" : false, "suffix" : "" }, { "dropping-particle" : "", "family" : "Evans", "given" : "Paul", "non-dropping-particle" : "", "parse-names" : false, "suffix" : "" } ], "container-title" : "Forest Ecology and Management", "id" : "ITEM-1", "issued" : { "date-parts" : [ [ "2015" ] ] }, "page" : "130-138", "publisher" : "Elsevier B.V.", "title" : "Stand dieback and collapse in a temperate forest and its impact on forest structure and biodiversity", "type" : "article-journal", "volume" : "358" }, "uris" : [ "http://www.mendeley.com/documents/?uuid=75d39a02-1354-4c7f-820e-7546ff4862d0" ] } ], "mendeley" : { "formattedCitation" : "(Martin &lt;i&gt;et al.&lt;/i&gt; 2015)", "plainTextFormattedCitation" : "(Martin et al. 2015)", "previouslyFormattedCitation" : "(Martin &lt;i&gt;et al.&lt;/i&gt; 2015)" }, "properties" : { "noteIndex" : 0 }, "schema" : "https://github.com/citation-style-language/schema/raw/master/csl-citation.json" }</w:instrText>
      </w:r>
      <w:r w:rsidR="004D78CA" w:rsidRPr="004E3A00">
        <w:rPr>
          <w:rFonts w:ascii="Arial" w:eastAsia="Times New Roman" w:hAnsi="Arial" w:cs="Arial"/>
          <w:color w:val="000000"/>
          <w:lang w:eastAsia="en-GB"/>
        </w:rPr>
        <w:fldChar w:fldCharType="separate"/>
      </w:r>
      <w:r w:rsidR="002324D1" w:rsidRPr="002324D1">
        <w:rPr>
          <w:rFonts w:ascii="Arial" w:eastAsia="Times New Roman" w:hAnsi="Arial" w:cs="Arial"/>
          <w:noProof/>
          <w:color w:val="000000"/>
          <w:lang w:eastAsia="en-GB"/>
        </w:rPr>
        <w:t xml:space="preserve">(Martin </w:t>
      </w:r>
      <w:r w:rsidR="002324D1" w:rsidRPr="002324D1">
        <w:rPr>
          <w:rFonts w:ascii="Arial" w:eastAsia="Times New Roman" w:hAnsi="Arial" w:cs="Arial"/>
          <w:i/>
          <w:noProof/>
          <w:color w:val="000000"/>
          <w:lang w:eastAsia="en-GB"/>
        </w:rPr>
        <w:t>et al.</w:t>
      </w:r>
      <w:r w:rsidR="002324D1" w:rsidRPr="002324D1">
        <w:rPr>
          <w:rFonts w:ascii="Arial" w:eastAsia="Times New Roman" w:hAnsi="Arial" w:cs="Arial"/>
          <w:noProof/>
          <w:color w:val="000000"/>
          <w:lang w:eastAsia="en-GB"/>
        </w:rPr>
        <w:t xml:space="preserve"> 2015)</w:t>
      </w:r>
      <w:r w:rsidR="004D78CA" w:rsidRPr="004E3A00">
        <w:rPr>
          <w:rFonts w:ascii="Arial" w:eastAsia="Times New Roman" w:hAnsi="Arial" w:cs="Arial"/>
          <w:color w:val="000000"/>
          <w:lang w:eastAsia="en-GB"/>
        </w:rPr>
        <w:fldChar w:fldCharType="end"/>
      </w:r>
      <w:r w:rsidR="004D78CA" w:rsidRPr="004E3A00">
        <w:rPr>
          <w:rFonts w:ascii="Arial" w:eastAsia="Times New Roman" w:hAnsi="Arial" w:cs="Arial"/>
          <w:color w:val="000000"/>
          <w:lang w:eastAsia="en-GB"/>
        </w:rPr>
        <w:t>. There are a number of potential explanations of this. It is possible that ungulate browsing is concentrated in areas where grass cover is highest resulting in high mortality of seedlings which are eaten</w:t>
      </w:r>
      <w:r w:rsidR="002D37F9">
        <w:rPr>
          <w:rFonts w:ascii="Arial" w:eastAsia="Times New Roman" w:hAnsi="Arial" w:cs="Arial"/>
          <w:color w:val="000000"/>
          <w:lang w:eastAsia="en-GB"/>
        </w:rPr>
        <w:t xml:space="preserve"> or trampled while </w:t>
      </w:r>
      <w:r w:rsidR="004D78CA" w:rsidRPr="004E3A00">
        <w:rPr>
          <w:rFonts w:ascii="Arial" w:eastAsia="Times New Roman" w:hAnsi="Arial" w:cs="Arial"/>
          <w:color w:val="000000"/>
          <w:lang w:eastAsia="en-GB"/>
        </w:rPr>
        <w:t xml:space="preserve">seedlings </w:t>
      </w:r>
      <w:r w:rsidR="002D37F9">
        <w:rPr>
          <w:rFonts w:ascii="Arial" w:eastAsia="Times New Roman" w:hAnsi="Arial" w:cs="Arial"/>
          <w:color w:val="000000"/>
          <w:lang w:eastAsia="en-GB"/>
        </w:rPr>
        <w:t>growing</w:t>
      </w:r>
      <w:r w:rsidR="004D78CA" w:rsidRPr="004E3A00">
        <w:rPr>
          <w:rFonts w:ascii="Arial" w:eastAsia="Times New Roman" w:hAnsi="Arial" w:cs="Arial"/>
          <w:color w:val="000000"/>
          <w:lang w:eastAsia="en-GB"/>
        </w:rPr>
        <w:t xml:space="preserve"> under closed canopies may be less likely to </w:t>
      </w:r>
      <w:r w:rsidR="002D37F9">
        <w:rPr>
          <w:rFonts w:ascii="Arial" w:eastAsia="Times New Roman" w:hAnsi="Arial" w:cs="Arial"/>
          <w:color w:val="000000"/>
          <w:lang w:eastAsia="en-GB"/>
        </w:rPr>
        <w:t>suffer damage</w:t>
      </w:r>
      <w:r w:rsidR="004D78CA" w:rsidRPr="004E3A00">
        <w:rPr>
          <w:rFonts w:ascii="Arial" w:eastAsia="Times New Roman" w:hAnsi="Arial" w:cs="Arial"/>
          <w:color w:val="000000"/>
          <w:lang w:eastAsia="en-GB"/>
        </w:rPr>
        <w:t xml:space="preserve">. Though grass </w:t>
      </w:r>
      <w:r w:rsidR="002D37F9">
        <w:rPr>
          <w:rFonts w:ascii="Arial" w:eastAsia="Times New Roman" w:hAnsi="Arial" w:cs="Arial"/>
          <w:color w:val="000000"/>
          <w:lang w:eastAsia="en-GB"/>
        </w:rPr>
        <w:t>has previously been shown to</w:t>
      </w:r>
      <w:r w:rsidR="004D78CA" w:rsidRPr="004E3A00">
        <w:rPr>
          <w:rFonts w:ascii="Arial" w:eastAsia="Times New Roman" w:hAnsi="Arial" w:cs="Arial"/>
          <w:color w:val="000000"/>
          <w:lang w:eastAsia="en-GB"/>
        </w:rPr>
        <w:t xml:space="preserve"> provide protection from browsing herbivores, at high densities this protection can be overwhelmed </w:t>
      </w:r>
      <w:r w:rsidR="004D78CA" w:rsidRPr="004E3A00">
        <w:rPr>
          <w:rFonts w:ascii="Arial" w:eastAsia="Times New Roman" w:hAnsi="Arial" w:cs="Arial"/>
          <w:color w:val="000000"/>
          <w:lang w:eastAsia="en-GB"/>
        </w:rPr>
        <w:fldChar w:fldCharType="begin" w:fldLock="1"/>
      </w:r>
      <w:r w:rsidR="00BC7DA4" w:rsidRPr="004E3A00">
        <w:rPr>
          <w:rFonts w:ascii="Arial" w:eastAsia="Times New Roman" w:hAnsi="Arial" w:cs="Arial"/>
          <w:color w:val="000000"/>
          <w:lang w:eastAsia="en-GB"/>
        </w:rPr>
        <w:instrText>ADDIN CSL_CITATION { "citationItems" : [ { "id" : "ITEM-1", "itemData" : { "DOI" : "10.1111/1365-2745.12382", "ISSN" : "00220477", "author" : [ { "dropping-particle" : "", "family" : "Duwyn", "given" : "Alisha", "non-dropping-particle" : "", "parse-names" : false, "suffix" : "" }, { "dropping-particle" : "", "family" : "MacDougall", "given" : "Andrew S.", "non-dropping-particle" : "", "parse-names" : false, "suffix" : "" } ], "container-title" : "Journal of Ecology", "id" : "ITEM-1", "issue" : "Caughley 1994", "issued" : { "date-parts" : [ [ "2015" ] ] }, "page" : "n/a-n/a", "title" : "When anthropogenic-related disturbances overwhelm demographic persistence mechanisms", "type" : "article-journal" }, "uris" : [ "http://www.mendeley.com/documents/?uuid=ae8b1cf2-3e54-41ac-8217-5be146cd88fd" ] } ], "mendeley" : { "formattedCitation" : "(Duwyn &amp; MacDougall 2015)", "plainTextFormattedCitation" : "(Duwyn &amp; MacDougall 2015)", "previouslyFormattedCitation" : "(Duwyn &amp; MacDougall 2015)" }, "properties" : { "noteIndex" : 0 }, "schema" : "https://github.com/citation-style-language/schema/raw/master/csl-citation.json" }</w:instrText>
      </w:r>
      <w:r w:rsidR="004D78CA" w:rsidRPr="004E3A00">
        <w:rPr>
          <w:rFonts w:ascii="Arial" w:eastAsia="Times New Roman" w:hAnsi="Arial" w:cs="Arial"/>
          <w:color w:val="000000"/>
          <w:lang w:eastAsia="en-GB"/>
        </w:rPr>
        <w:fldChar w:fldCharType="separate"/>
      </w:r>
      <w:r w:rsidR="004D78CA" w:rsidRPr="004E3A00">
        <w:rPr>
          <w:rFonts w:ascii="Arial" w:eastAsia="Times New Roman" w:hAnsi="Arial" w:cs="Arial"/>
          <w:noProof/>
          <w:color w:val="000000"/>
          <w:lang w:eastAsia="en-GB"/>
        </w:rPr>
        <w:t>(Duwyn &amp; MacDougall 2015)</w:t>
      </w:r>
      <w:r w:rsidR="004D78CA" w:rsidRPr="004E3A00">
        <w:rPr>
          <w:rFonts w:ascii="Arial" w:eastAsia="Times New Roman" w:hAnsi="Arial" w:cs="Arial"/>
          <w:color w:val="000000"/>
          <w:lang w:eastAsia="en-GB"/>
        </w:rPr>
        <w:fldChar w:fldCharType="end"/>
      </w:r>
      <w:r w:rsidR="00BC7DA4" w:rsidRPr="004E3A00">
        <w:rPr>
          <w:rFonts w:ascii="Arial" w:eastAsia="Times New Roman" w:hAnsi="Arial" w:cs="Arial"/>
          <w:color w:val="000000"/>
          <w:lang w:eastAsia="en-GB"/>
        </w:rPr>
        <w:t>. Given the high density of herbivores in the New Forest, this appears to be the most likely cause of recruitment failure in the woodland we used in our study. However, debarking of beech saplings by grey squirrels has also been seen in Denny wood, suggesting a further mechanism limiting recruitment.</w:t>
      </w:r>
    </w:p>
    <w:p w:rsidR="008B2F2E" w:rsidRPr="004E3A00" w:rsidRDefault="008B2F2E" w:rsidP="007D6626">
      <w:pPr>
        <w:spacing w:before="40" w:after="0" w:line="360" w:lineRule="auto"/>
        <w:contextualSpacing/>
        <w:textAlignment w:val="baseline"/>
        <w:rPr>
          <w:rFonts w:ascii="Arial" w:eastAsia="Times New Roman" w:hAnsi="Arial" w:cs="Arial"/>
          <w:color w:val="000000"/>
          <w:lang w:eastAsia="en-GB"/>
        </w:rPr>
      </w:pPr>
    </w:p>
    <w:p w:rsidR="00937D98" w:rsidRPr="00534FAA" w:rsidRDefault="00937D98" w:rsidP="00534FAA">
      <w:pPr>
        <w:spacing w:before="40" w:after="0" w:line="360" w:lineRule="auto"/>
        <w:contextualSpacing/>
        <w:textAlignment w:val="baseline"/>
        <w:rPr>
          <w:rFonts w:ascii="Arial" w:eastAsia="Times New Roman" w:hAnsi="Arial" w:cs="Arial"/>
          <w:b/>
          <w:color w:val="000000"/>
          <w:lang w:eastAsia="en-GB"/>
        </w:rPr>
      </w:pPr>
      <w:r w:rsidRPr="00534FAA">
        <w:rPr>
          <w:rFonts w:ascii="Arial" w:eastAsia="Times New Roman" w:hAnsi="Arial" w:cs="Arial"/>
          <w:b/>
          <w:color w:val="000000"/>
          <w:lang w:eastAsia="en-GB"/>
        </w:rPr>
        <w:t xml:space="preserve">Causes of </w:t>
      </w:r>
      <w:r w:rsidR="00534FAA" w:rsidRPr="00534FAA">
        <w:rPr>
          <w:rFonts w:ascii="Arial" w:eastAsia="Times New Roman" w:hAnsi="Arial" w:cs="Arial"/>
          <w:b/>
          <w:color w:val="000000"/>
          <w:lang w:eastAsia="en-GB"/>
        </w:rPr>
        <w:t xml:space="preserve">mature tree </w:t>
      </w:r>
      <w:r w:rsidRPr="00534FAA">
        <w:rPr>
          <w:rFonts w:ascii="Arial" w:eastAsia="Times New Roman" w:hAnsi="Arial" w:cs="Arial"/>
          <w:b/>
          <w:color w:val="000000"/>
          <w:lang w:eastAsia="en-GB"/>
        </w:rPr>
        <w:t>death</w:t>
      </w:r>
    </w:p>
    <w:p w:rsidR="00A55BA5" w:rsidRPr="004E3A00" w:rsidRDefault="00A55BA5" w:rsidP="00A55BA5">
      <w:pPr>
        <w:spacing w:before="40" w:after="0" w:line="360" w:lineRule="auto"/>
        <w:contextualSpacing/>
        <w:textAlignment w:val="baseline"/>
        <w:rPr>
          <w:rFonts w:ascii="Arial" w:eastAsia="Times New Roman" w:hAnsi="Arial" w:cs="Arial"/>
          <w:color w:val="000000"/>
          <w:lang w:eastAsia="en-GB"/>
        </w:rPr>
      </w:pPr>
    </w:p>
    <w:p w:rsidR="00A55BA5" w:rsidRPr="004E3A00" w:rsidRDefault="00A55BA5" w:rsidP="00A55BA5">
      <w:pPr>
        <w:spacing w:before="40" w:after="0" w:line="360" w:lineRule="auto"/>
        <w:contextualSpacing/>
        <w:textAlignment w:val="baseline"/>
        <w:rPr>
          <w:rFonts w:ascii="Arial" w:eastAsia="Times New Roman" w:hAnsi="Arial" w:cs="Arial"/>
          <w:color w:val="000000"/>
          <w:lang w:eastAsia="en-GB"/>
        </w:rPr>
      </w:pPr>
      <w:r w:rsidRPr="004E3A00">
        <w:rPr>
          <w:rFonts w:ascii="Arial" w:eastAsia="Times New Roman" w:hAnsi="Arial" w:cs="Arial"/>
          <w:color w:val="000000"/>
          <w:lang w:eastAsia="en-GB"/>
        </w:rPr>
        <w:t>The strongest predictor of tree death was its growth rate, with slow growing trees more likely to die. Previous work has shown that beech trees that grow slowly are more likely to die</w:t>
      </w:r>
      <w:r w:rsidR="00BA763D" w:rsidRPr="004E3A00">
        <w:rPr>
          <w:rFonts w:ascii="Arial" w:eastAsia="Times New Roman" w:hAnsi="Arial" w:cs="Arial"/>
          <w:color w:val="000000"/>
          <w:lang w:eastAsia="en-GB"/>
        </w:rPr>
        <w:t xml:space="preserve"> </w:t>
      </w:r>
      <w:r w:rsidR="00BA763D" w:rsidRPr="004E3A00">
        <w:rPr>
          <w:rFonts w:ascii="Arial" w:eastAsia="Times New Roman" w:hAnsi="Arial" w:cs="Arial"/>
          <w:color w:val="000000"/>
          <w:lang w:eastAsia="en-GB"/>
        </w:rPr>
        <w:fldChar w:fldCharType="begin" w:fldLock="1"/>
      </w:r>
      <w:r w:rsidR="00BA763D" w:rsidRPr="004E3A00">
        <w:rPr>
          <w:rFonts w:ascii="Arial" w:eastAsia="Times New Roman" w:hAnsi="Arial" w:cs="Arial"/>
          <w:color w:val="000000"/>
          <w:lang w:eastAsia="en-GB"/>
        </w:rPr>
        <w:instrText>ADDIN CSL_CITATION { "citationItems" : [ { "id" : "ITEM-1", "itemData" : { "DOI" : "10.1111/1365-2745.12015", "ISSN" : "00220477", "author" : [ { "dropping-particle" : "", "family" : "Holzwarth", "given" : "Frederic", "non-dropping-particle" : "", "parse-names" : false, "suffix" : "" }, { "dropping-particle" : "", "family" : "Kahl", "given" : "Anja", "non-dropping-particle" : "", "parse-names" : false, "suffix" : "" }, { "dropping-particle" : "", "family" : "Bauhus", "given" : "J\u00fcrgen", "non-dropping-particle" : "", "parse-names" : false, "suffix" : "" }, { "dropping-particle" : "", "family" : "Wirth", "given" : "Christian", "non-dropping-particle" : "", "parse-names" : false, "suffix" : "" } ], "container-title" : "Journal of Ecology", "editor" : [ { "dropping-particle" : "", "family" : "Zuidema", "given" : "Pieter", "non-dropping-particle" : "", "parse-names" : false, "suffix" : "" } ], "id" : "ITEM-1", "issue" : "1", "issued" : { "date-parts" : [ [ "2013", "1", "16" ] ] }, "page" : "220-230", "title" : "Many ways to die - partitioning tree mortality dynamics in a near-natural mixed deciduous forest", "type" : "article-journal", "volume" : "101" }, "uris" : [ "http://www.mendeley.com/documents/?uuid=27baa573-ddcc-41e7-9549-d364b5d5dc74" ] } ], "mendeley" : { "formattedCitation" : "(Holzwarth &lt;i&gt;et al.&lt;/i&gt; 2013)", "plainTextFormattedCitation" : "(Holzwarth et al. 2013)", "previouslyFormattedCitation" : "(Holzwarth &lt;i&gt;et al.&lt;/i&gt; 2013)" }, "properties" : { "noteIndex" : 0 }, "schema" : "https://github.com/citation-style-language/schema/raw/master/csl-citation.json" }</w:instrText>
      </w:r>
      <w:r w:rsidR="00BA763D" w:rsidRPr="004E3A00">
        <w:rPr>
          <w:rFonts w:ascii="Arial" w:eastAsia="Times New Roman" w:hAnsi="Arial" w:cs="Arial"/>
          <w:color w:val="000000"/>
          <w:lang w:eastAsia="en-GB"/>
        </w:rPr>
        <w:fldChar w:fldCharType="separate"/>
      </w:r>
      <w:r w:rsidR="00BA763D" w:rsidRPr="004E3A00">
        <w:rPr>
          <w:rFonts w:ascii="Arial" w:eastAsia="Times New Roman" w:hAnsi="Arial" w:cs="Arial"/>
          <w:noProof/>
          <w:color w:val="000000"/>
          <w:lang w:eastAsia="en-GB"/>
        </w:rPr>
        <w:t xml:space="preserve">(Holzwarth </w:t>
      </w:r>
      <w:r w:rsidR="00BA763D" w:rsidRPr="004E3A00">
        <w:rPr>
          <w:rFonts w:ascii="Arial" w:eastAsia="Times New Roman" w:hAnsi="Arial" w:cs="Arial"/>
          <w:i/>
          <w:noProof/>
          <w:color w:val="000000"/>
          <w:lang w:eastAsia="en-GB"/>
        </w:rPr>
        <w:t>et al.</w:t>
      </w:r>
      <w:r w:rsidR="00BA763D" w:rsidRPr="004E3A00">
        <w:rPr>
          <w:rFonts w:ascii="Arial" w:eastAsia="Times New Roman" w:hAnsi="Arial" w:cs="Arial"/>
          <w:noProof/>
          <w:color w:val="000000"/>
          <w:lang w:eastAsia="en-GB"/>
        </w:rPr>
        <w:t xml:space="preserve"> 2013)</w:t>
      </w:r>
      <w:r w:rsidR="00BA763D" w:rsidRPr="004E3A00">
        <w:rPr>
          <w:rFonts w:ascii="Arial" w:eastAsia="Times New Roman" w:hAnsi="Arial" w:cs="Arial"/>
          <w:color w:val="000000"/>
          <w:lang w:eastAsia="en-GB"/>
        </w:rPr>
        <w:fldChar w:fldCharType="end"/>
      </w:r>
      <w:r w:rsidRPr="004E3A00">
        <w:rPr>
          <w:rFonts w:ascii="Arial" w:eastAsia="Times New Roman" w:hAnsi="Arial" w:cs="Arial"/>
          <w:color w:val="000000"/>
          <w:lang w:eastAsia="en-GB"/>
        </w:rPr>
        <w:t xml:space="preserve">, </w:t>
      </w:r>
      <w:r w:rsidR="00BA763D" w:rsidRPr="004E3A00">
        <w:rPr>
          <w:rFonts w:ascii="Arial" w:eastAsia="Times New Roman" w:hAnsi="Arial" w:cs="Arial"/>
          <w:color w:val="000000"/>
          <w:lang w:eastAsia="en-GB"/>
        </w:rPr>
        <w:t>and this correlation may reflect increased mortality under unfavourable growing conditions as well as senescence. The second most important predictor of beech mortality was DBH. This positive relationship between DBH and mortality indicates a stand undergoing disturbance</w:t>
      </w:r>
      <w:r w:rsidR="002D37F9">
        <w:rPr>
          <w:rFonts w:ascii="Arial" w:eastAsia="Times New Roman" w:hAnsi="Arial" w:cs="Arial"/>
          <w:color w:val="000000"/>
          <w:lang w:eastAsia="en-GB"/>
        </w:rPr>
        <w:t xml:space="preserve"> </w:t>
      </w:r>
      <w:r w:rsidR="002D37F9">
        <w:rPr>
          <w:rFonts w:ascii="Arial" w:eastAsia="Times New Roman" w:hAnsi="Arial" w:cs="Arial"/>
          <w:color w:val="000000"/>
          <w:lang w:eastAsia="en-GB"/>
        </w:rPr>
        <w:fldChar w:fldCharType="begin" w:fldLock="1"/>
      </w:r>
      <w:r w:rsidR="002D37F9">
        <w:rPr>
          <w:rFonts w:ascii="Arial" w:eastAsia="Times New Roman" w:hAnsi="Arial" w:cs="Arial"/>
          <w:color w:val="000000"/>
          <w:lang w:eastAsia="en-GB"/>
        </w:rPr>
        <w:instrText>ADDIN CSL_CITATION { "citationItems" : [ { "id" : "ITEM-1", "itemData" : { "DOI" : "10.1046/j.1461-0248.2003.00520.x", "ISBN" : "1461-023X", "ISSN" : "1461023X", "abstract" : "Enquist and Niklas propose that trees in natural forests have invariant size-density distributions (SDDs) that scale as a -2 power of stem diameter, although early studies described such distributions using negative exponential functions. Using New Zealand and 'global' data sets, we demonstrate that neither type of function accurately describes the SDD over the entire diameter range. Instead, scaling functions provide the best fit to smaller stems, while negative exponential functions provide the best fit to larger stems. We argue that these patterns are consistent with competition shaping the small-stem phase and exogenous disturbance shaping the large-stem phase. Mortality rates, estimated from repeat measurements on 1546 New Zealand plots, fell precipitously with stem size until 18 cm but remained constant after that, consistent with our arguments. Even in the small-stem phase, where SDDs were best described by scaling functions, the scaling exponents were not invariantly -2, but differed significantly from this value in both the 'global' and New Zealand data sets, and varied through time in the New Zealand data set.", "author" : [ { "dropping-particle" : "", "family" : "Coomes", "given" : "David a.", "non-dropping-particle" : "", "parse-names" : false, "suffix" : "" }, { "dropping-particle" : "", "family" : "Duncan", "given" : "Richard P.", "non-dropping-particle" : "", "parse-names" : false, "suffix" : "" }, { "dropping-particle" : "", "family" : "Allen", "given" : "Robert B.", "non-dropping-particle" : "", "parse-names" : false, "suffix" : "" }, { "dropping-particle" : "", "family" : "Truscott", "given" : "James", "non-dropping-particle" : "", "parse-names" : false, "suffix" : "" } ], "container-title" : "Ecology Letters", "id" : "ITEM-1", "issued" : { "date-parts" : [ [ "2003" ] ] }, "page" : "980-989", "title" : "Disturbances prevent stem size-density distributions in natural forests from following scaling relationships", "type" : "article-journal", "volume" : "6" }, "uris" : [ "http://www.mendeley.com/documents/?uuid=7226124d-560b-4493-b6ea-6ee861fe3201" ] } ], "mendeley" : { "formattedCitation" : "(Coomes &lt;i&gt;et al.&lt;/i&gt; 2003)", "plainTextFormattedCitation" : "(Coomes et al. 2003)", "previouslyFormattedCitation" : "(Coomes &lt;i&gt;et al.&lt;/i&gt; 2003)" }, "properties" : { "noteIndex" : 0 }, "schema" : "https://github.com/citation-style-language/schema/raw/master/csl-citation.json" }</w:instrText>
      </w:r>
      <w:r w:rsidR="002D37F9">
        <w:rPr>
          <w:rFonts w:ascii="Arial" w:eastAsia="Times New Roman" w:hAnsi="Arial" w:cs="Arial"/>
          <w:color w:val="000000"/>
          <w:lang w:eastAsia="en-GB"/>
        </w:rPr>
        <w:fldChar w:fldCharType="separate"/>
      </w:r>
      <w:r w:rsidR="002D37F9" w:rsidRPr="002D37F9">
        <w:rPr>
          <w:rFonts w:ascii="Arial" w:eastAsia="Times New Roman" w:hAnsi="Arial" w:cs="Arial"/>
          <w:noProof/>
          <w:color w:val="000000"/>
          <w:lang w:eastAsia="en-GB"/>
        </w:rPr>
        <w:t xml:space="preserve">(Coomes </w:t>
      </w:r>
      <w:r w:rsidR="002D37F9" w:rsidRPr="002D37F9">
        <w:rPr>
          <w:rFonts w:ascii="Arial" w:eastAsia="Times New Roman" w:hAnsi="Arial" w:cs="Arial"/>
          <w:i/>
          <w:noProof/>
          <w:color w:val="000000"/>
          <w:lang w:eastAsia="en-GB"/>
        </w:rPr>
        <w:t>et al.</w:t>
      </w:r>
      <w:r w:rsidR="002D37F9" w:rsidRPr="002D37F9">
        <w:rPr>
          <w:rFonts w:ascii="Arial" w:eastAsia="Times New Roman" w:hAnsi="Arial" w:cs="Arial"/>
          <w:noProof/>
          <w:color w:val="000000"/>
          <w:lang w:eastAsia="en-GB"/>
        </w:rPr>
        <w:t xml:space="preserve"> 2003)</w:t>
      </w:r>
      <w:r w:rsidR="002D37F9">
        <w:rPr>
          <w:rFonts w:ascii="Arial" w:eastAsia="Times New Roman" w:hAnsi="Arial" w:cs="Arial"/>
          <w:color w:val="000000"/>
          <w:lang w:eastAsia="en-GB"/>
        </w:rPr>
        <w:fldChar w:fldCharType="end"/>
      </w:r>
      <w:r w:rsidR="00BA763D" w:rsidRPr="004E3A00">
        <w:rPr>
          <w:rFonts w:ascii="Arial" w:eastAsia="Times New Roman" w:hAnsi="Arial" w:cs="Arial"/>
          <w:color w:val="000000"/>
          <w:lang w:eastAsia="en-GB"/>
        </w:rPr>
        <w:t xml:space="preserve">, in our case probably as a result of the combined effects of summer drought, winter waterlogging, disease and overgrazing </w:t>
      </w:r>
      <w:r w:rsidR="00BA763D" w:rsidRPr="004E3A00">
        <w:rPr>
          <w:rFonts w:ascii="Arial" w:eastAsia="Times New Roman" w:hAnsi="Arial" w:cs="Arial"/>
          <w:color w:val="000000"/>
          <w:lang w:eastAsia="en-GB"/>
        </w:rPr>
        <w:fldChar w:fldCharType="begin" w:fldLock="1"/>
      </w:r>
      <w:r w:rsidR="00B6284F">
        <w:rPr>
          <w:rFonts w:ascii="Arial" w:eastAsia="Times New Roman" w:hAnsi="Arial" w:cs="Arial"/>
          <w:color w:val="000000"/>
          <w:lang w:eastAsia="en-GB"/>
        </w:rPr>
        <w:instrText>ADDIN CSL_CITATION { "citationItems" : [ { "id" : "ITEM-1", "itemData" : { "DOI" : "10.1016/j.foreco.2015.08.033", "ISSN" : "03781127", "author" : [ { "dropping-particle" : "", "family" : "Martin", "given" : "Philip Anthony", "non-dropping-particle" : "", "parse-names" : false, "suffix" : "" }, { "dropping-particle" : "", "family" : "Newton", "given" : "Adrian Christopher", "non-dropping-particle" : "", "parse-names" : false, "suffix" : "" }, { "dropping-particle" : "", "family" : "Cantarello", "given" : "Elena", "non-dropping-particle" : "", "parse-names" : false, "suffix" : "" }, { "dropping-particle" : "", "family" : "Evans", "given" : "Paul", "non-dropping-particle" : "", "parse-names" : false, "suffix" : "" } ], "container-title" : "Forest Ecology and Management", "id" : "ITEM-1", "issued" : { "date-parts" : [ [ "2015" ] ] }, "page" : "130-138", "publisher" : "Elsevier B.V.", "title" : "Stand dieback and collapse in a temperate forest and its impact on forest structure and biodiversity", "type" : "article-journal", "volume" : "358" }, "uris" : [ "http://www.mendeley.com/documents/?uuid=75d39a02-1354-4c7f-820e-7546ff4862d0" ] } ], "mendeley" : { "formattedCitation" : "(Martin &lt;i&gt;et al.&lt;/i&gt; 2015)", "plainTextFormattedCitation" : "(Martin et al. 2015)", "previouslyFormattedCitation" : "(Martin &lt;i&gt;et al.&lt;/i&gt; 2015)" }, "properties" : { "noteIndex" : 0 }, "schema" : "https://github.com/citation-style-language/schema/raw/master/csl-citation.json" }</w:instrText>
      </w:r>
      <w:r w:rsidR="00BA763D" w:rsidRPr="004E3A00">
        <w:rPr>
          <w:rFonts w:ascii="Arial" w:eastAsia="Times New Roman" w:hAnsi="Arial" w:cs="Arial"/>
          <w:color w:val="000000"/>
          <w:lang w:eastAsia="en-GB"/>
        </w:rPr>
        <w:fldChar w:fldCharType="separate"/>
      </w:r>
      <w:r w:rsidR="002324D1" w:rsidRPr="002324D1">
        <w:rPr>
          <w:rFonts w:ascii="Arial" w:eastAsia="Times New Roman" w:hAnsi="Arial" w:cs="Arial"/>
          <w:noProof/>
          <w:color w:val="000000"/>
          <w:lang w:eastAsia="en-GB"/>
        </w:rPr>
        <w:t xml:space="preserve">(Martin </w:t>
      </w:r>
      <w:r w:rsidR="002324D1" w:rsidRPr="002324D1">
        <w:rPr>
          <w:rFonts w:ascii="Arial" w:eastAsia="Times New Roman" w:hAnsi="Arial" w:cs="Arial"/>
          <w:i/>
          <w:noProof/>
          <w:color w:val="000000"/>
          <w:lang w:eastAsia="en-GB"/>
        </w:rPr>
        <w:t>et al.</w:t>
      </w:r>
      <w:r w:rsidR="002324D1" w:rsidRPr="002324D1">
        <w:rPr>
          <w:rFonts w:ascii="Arial" w:eastAsia="Times New Roman" w:hAnsi="Arial" w:cs="Arial"/>
          <w:noProof/>
          <w:color w:val="000000"/>
          <w:lang w:eastAsia="en-GB"/>
        </w:rPr>
        <w:t xml:space="preserve"> 2015)</w:t>
      </w:r>
      <w:r w:rsidR="00BA763D" w:rsidRPr="004E3A00">
        <w:rPr>
          <w:rFonts w:ascii="Arial" w:eastAsia="Times New Roman" w:hAnsi="Arial" w:cs="Arial"/>
          <w:color w:val="000000"/>
          <w:lang w:eastAsia="en-GB"/>
        </w:rPr>
        <w:fldChar w:fldCharType="end"/>
      </w:r>
      <w:r w:rsidR="00BA763D" w:rsidRPr="004E3A00">
        <w:rPr>
          <w:rFonts w:ascii="Arial" w:eastAsia="Times New Roman" w:hAnsi="Arial" w:cs="Arial"/>
          <w:color w:val="000000"/>
          <w:lang w:eastAsia="en-GB"/>
        </w:rPr>
        <w:t xml:space="preserve">. Interestingly, tree proximity to dead trees was positively related </w:t>
      </w:r>
      <w:r w:rsidR="007D6626" w:rsidRPr="004E3A00">
        <w:rPr>
          <w:rFonts w:ascii="Arial" w:eastAsia="Times New Roman" w:hAnsi="Arial" w:cs="Arial"/>
          <w:color w:val="000000"/>
          <w:lang w:eastAsia="en-GB"/>
        </w:rPr>
        <w:t xml:space="preserve">with tree mortality. The mechanism behind this relationship is unclear but may relate to increased stress on trees close to gaps where no regeneration has occurred, </w:t>
      </w:r>
      <w:r w:rsidR="002D37F9">
        <w:rPr>
          <w:rFonts w:ascii="Arial" w:eastAsia="Times New Roman" w:hAnsi="Arial" w:cs="Arial"/>
          <w:color w:val="000000"/>
          <w:lang w:eastAsia="en-GB"/>
        </w:rPr>
        <w:t xml:space="preserve">in a </w:t>
      </w:r>
      <w:r w:rsidR="007D6626" w:rsidRPr="004E3A00">
        <w:rPr>
          <w:rFonts w:ascii="Arial" w:eastAsia="Times New Roman" w:hAnsi="Arial" w:cs="Arial"/>
          <w:color w:val="000000"/>
          <w:lang w:eastAsia="en-GB"/>
        </w:rPr>
        <w:t xml:space="preserve">similar </w:t>
      </w:r>
      <w:r w:rsidR="002D37F9">
        <w:rPr>
          <w:rFonts w:ascii="Arial" w:eastAsia="Times New Roman" w:hAnsi="Arial" w:cs="Arial"/>
          <w:color w:val="000000"/>
          <w:lang w:eastAsia="en-GB"/>
        </w:rPr>
        <w:t xml:space="preserve">manner </w:t>
      </w:r>
      <w:r w:rsidR="007D6626" w:rsidRPr="004E3A00">
        <w:rPr>
          <w:rFonts w:ascii="Arial" w:eastAsia="Times New Roman" w:hAnsi="Arial" w:cs="Arial"/>
          <w:color w:val="000000"/>
          <w:lang w:eastAsia="en-GB"/>
        </w:rPr>
        <w:t xml:space="preserve">to edge effects. It is also possible that fungal pathogens such as </w:t>
      </w:r>
      <w:proofErr w:type="spellStart"/>
      <w:r w:rsidR="007D6626" w:rsidRPr="004E3A00">
        <w:rPr>
          <w:rFonts w:ascii="Arial" w:eastAsia="Times New Roman" w:hAnsi="Arial" w:cs="Arial"/>
          <w:i/>
          <w:color w:val="000000"/>
          <w:lang w:eastAsia="en-GB"/>
        </w:rPr>
        <w:t>Phytophthora</w:t>
      </w:r>
      <w:proofErr w:type="spellEnd"/>
      <w:r w:rsidR="007D6626" w:rsidRPr="004E3A00">
        <w:rPr>
          <w:rFonts w:ascii="Arial" w:eastAsia="Times New Roman" w:hAnsi="Arial" w:cs="Arial"/>
          <w:color w:val="000000"/>
          <w:lang w:eastAsia="en-GB"/>
        </w:rPr>
        <w:t xml:space="preserve">, which has caused beech mortality in continental Europe </w:t>
      </w:r>
      <w:r w:rsidR="002D37F9">
        <w:rPr>
          <w:rFonts w:ascii="Arial" w:eastAsia="Times New Roman" w:hAnsi="Arial" w:cs="Arial"/>
          <w:color w:val="000000"/>
          <w:lang w:eastAsia="en-GB"/>
        </w:rPr>
        <w:fldChar w:fldCharType="begin" w:fldLock="1"/>
      </w:r>
      <w:r w:rsidR="002D37F9">
        <w:rPr>
          <w:rFonts w:ascii="Arial" w:eastAsia="Times New Roman" w:hAnsi="Arial" w:cs="Arial"/>
          <w:color w:val="000000"/>
          <w:lang w:eastAsia="en-GB"/>
        </w:rPr>
        <w:instrText>ADDIN CSL_CITATION { "citationItems" : [ { "id" : "ITEM-1", "itemData" : { "DOI" : "10.1017/S0269915X05004052", "ISSN" : "0269-915X", "author" : [ { "dropping-particle" : "", "family" : "Jung", "given" : "T", "non-dropping-particle" : "", "parse-names" : false, "suffix" : "" }, { "dropping-particle" : "", "family" : "Hudler", "given" : "G.W.", "non-dropping-particle" : "", "parse-names" : false, "suffix" : "" }, { "dropping-particle" : "", "family" : "Jensen-Tracey", "given" : "S. L.", "non-dropping-particle" : "", "parse-names" : false, "suffix" : "" }, { "dropping-particle" : "", "family" : "Griffiths", "given" : "H. M.", "non-dropping-particle" : "", "parse-names" : false, "suffix" : "" }, { "dropping-particle" : "", "family" : "Fleischmann", "given" : "F.", "non-dropping-particle" : "", "parse-names" : false, "suffix" : "" }, { "dropping-particle" : "", "family" : "Osswald", "given" : "W.", "non-dropping-particle" : "", "parse-names" : false, "suffix" : "" } ], "container-title" : "Mycologist", "id" : "ITEM-1", "issue" : "04", "issued" : { "date-parts" : [ [ "2006", "1", "3" ] ] }, "language" : "English", "page" : "159", "publisher" : "Cambridge University Press", "title" : "Involvement of Phytophthora species in the decline of European beech in Europe and the USA", "type" : "article-journal", "volume" : "19" }, "uris" : [ "http://www.mendeley.com/documents/?uuid=7887e312-956f-46ba-997e-7a3a6dd11846" ] } ], "mendeley" : { "formattedCitation" : "(Jung &lt;i&gt;et al.&lt;/i&gt; 2006)", "plainTextFormattedCitation" : "(Jung et al. 2006)", "previouslyFormattedCitation" : "(Jung &lt;i&gt;et al.&lt;/i&gt; 2006)" }, "properties" : { "noteIndex" : 0 }, "schema" : "https://github.com/citation-style-language/schema/raw/master/csl-citation.json" }</w:instrText>
      </w:r>
      <w:r w:rsidR="002D37F9">
        <w:rPr>
          <w:rFonts w:ascii="Arial" w:eastAsia="Times New Roman" w:hAnsi="Arial" w:cs="Arial"/>
          <w:color w:val="000000"/>
          <w:lang w:eastAsia="en-GB"/>
        </w:rPr>
        <w:fldChar w:fldCharType="separate"/>
      </w:r>
      <w:r w:rsidR="002D37F9" w:rsidRPr="002D37F9">
        <w:rPr>
          <w:rFonts w:ascii="Arial" w:eastAsia="Times New Roman" w:hAnsi="Arial" w:cs="Arial"/>
          <w:noProof/>
          <w:color w:val="000000"/>
          <w:lang w:eastAsia="en-GB"/>
        </w:rPr>
        <w:t xml:space="preserve">(Jung </w:t>
      </w:r>
      <w:r w:rsidR="002D37F9" w:rsidRPr="002D37F9">
        <w:rPr>
          <w:rFonts w:ascii="Arial" w:eastAsia="Times New Roman" w:hAnsi="Arial" w:cs="Arial"/>
          <w:i/>
          <w:noProof/>
          <w:color w:val="000000"/>
          <w:lang w:eastAsia="en-GB"/>
        </w:rPr>
        <w:t>et al.</w:t>
      </w:r>
      <w:r w:rsidR="002D37F9" w:rsidRPr="002D37F9">
        <w:rPr>
          <w:rFonts w:ascii="Arial" w:eastAsia="Times New Roman" w:hAnsi="Arial" w:cs="Arial"/>
          <w:noProof/>
          <w:color w:val="000000"/>
          <w:lang w:eastAsia="en-GB"/>
        </w:rPr>
        <w:t xml:space="preserve"> 2006)</w:t>
      </w:r>
      <w:r w:rsidR="002D37F9">
        <w:rPr>
          <w:rFonts w:ascii="Arial" w:eastAsia="Times New Roman" w:hAnsi="Arial" w:cs="Arial"/>
          <w:color w:val="000000"/>
          <w:lang w:eastAsia="en-GB"/>
        </w:rPr>
        <w:fldChar w:fldCharType="end"/>
      </w:r>
      <w:r w:rsidR="002D37F9">
        <w:rPr>
          <w:rFonts w:ascii="Arial" w:eastAsia="Times New Roman" w:hAnsi="Arial" w:cs="Arial"/>
          <w:color w:val="000000"/>
          <w:lang w:eastAsia="en-GB"/>
        </w:rPr>
        <w:t xml:space="preserve"> </w:t>
      </w:r>
      <w:r w:rsidR="007D6626" w:rsidRPr="004E3A00">
        <w:rPr>
          <w:rFonts w:ascii="Arial" w:eastAsia="Times New Roman" w:hAnsi="Arial" w:cs="Arial"/>
          <w:color w:val="000000"/>
          <w:lang w:eastAsia="en-GB"/>
        </w:rPr>
        <w:t>and has been recorded in the New Forest</w:t>
      </w:r>
      <w:r w:rsidR="002D37F9">
        <w:rPr>
          <w:rFonts w:ascii="Arial" w:eastAsia="Times New Roman" w:hAnsi="Arial" w:cs="Arial"/>
          <w:color w:val="000000"/>
          <w:lang w:eastAsia="en-GB"/>
        </w:rPr>
        <w:t xml:space="preserve"> </w:t>
      </w:r>
      <w:r w:rsidR="002D37F9">
        <w:rPr>
          <w:rFonts w:ascii="Arial" w:eastAsia="Times New Roman" w:hAnsi="Arial" w:cs="Arial"/>
          <w:color w:val="000000"/>
          <w:lang w:eastAsia="en-GB"/>
        </w:rPr>
        <w:fldChar w:fldCharType="begin" w:fldLock="1"/>
      </w:r>
      <w:r w:rsidR="003819C1">
        <w:rPr>
          <w:rFonts w:ascii="Arial" w:eastAsia="Times New Roman" w:hAnsi="Arial" w:cs="Arial"/>
          <w:color w:val="000000"/>
          <w:lang w:eastAsia="en-GB"/>
        </w:rPr>
        <w:instrText>ADDIN CSL_CITATION { "citationItems" : [ { "id" : "ITEM-1", "itemData" : { "URL" : "http://www.forestry.gov.uk/forestry/infd-8elbrv", "accessed" : { "date-parts" : [ [ "2015", "5", "12" ] ] }, "author" : [ { "dropping-particle" : "", "family" : "Forestry Commission England", "given" : "", "non-dropping-particle" : "", "parse-names" : false, "suffix" : "" } ], "id" : "ITEM-1", "issued" : { "date-parts" : [ [ "2015" ] ] }, "title" : "Phytophthora ramorum", "type" : "webpage" }, "uris" : [ "http://www.mendeley.com/documents/?uuid=ee2b343f-d2f2-4946-b862-4c0c7f98c644" ] } ], "mendeley" : { "formattedCitation" : "(Forestry Commission England 2015)", "plainTextFormattedCitation" : "(Forestry Commission England 2015)", "previouslyFormattedCitation" : "(Forestry Commission England 2015)" }, "properties" : { "noteIndex" : 0 }, "schema" : "https://github.com/citation-style-language/schema/raw/master/csl-citation.json" }</w:instrText>
      </w:r>
      <w:r w:rsidR="002D37F9">
        <w:rPr>
          <w:rFonts w:ascii="Arial" w:eastAsia="Times New Roman" w:hAnsi="Arial" w:cs="Arial"/>
          <w:color w:val="000000"/>
          <w:lang w:eastAsia="en-GB"/>
        </w:rPr>
        <w:fldChar w:fldCharType="separate"/>
      </w:r>
      <w:r w:rsidR="002D37F9" w:rsidRPr="002D37F9">
        <w:rPr>
          <w:rFonts w:ascii="Arial" w:eastAsia="Times New Roman" w:hAnsi="Arial" w:cs="Arial"/>
          <w:noProof/>
          <w:color w:val="000000"/>
          <w:lang w:eastAsia="en-GB"/>
        </w:rPr>
        <w:t>(Forestry Commission England 2015)</w:t>
      </w:r>
      <w:r w:rsidR="002D37F9">
        <w:rPr>
          <w:rFonts w:ascii="Arial" w:eastAsia="Times New Roman" w:hAnsi="Arial" w:cs="Arial"/>
          <w:color w:val="000000"/>
          <w:lang w:eastAsia="en-GB"/>
        </w:rPr>
        <w:fldChar w:fldCharType="end"/>
      </w:r>
      <w:r w:rsidR="007D6626" w:rsidRPr="004E3A00">
        <w:rPr>
          <w:rFonts w:ascii="Arial" w:eastAsia="Times New Roman" w:hAnsi="Arial" w:cs="Arial"/>
          <w:color w:val="000000"/>
          <w:lang w:eastAsia="en-GB"/>
        </w:rPr>
        <w:t xml:space="preserve">, may result in this spreading </w:t>
      </w:r>
      <w:r w:rsidR="002D37F9">
        <w:rPr>
          <w:rFonts w:ascii="Arial" w:eastAsia="Times New Roman" w:hAnsi="Arial" w:cs="Arial"/>
          <w:color w:val="000000"/>
          <w:lang w:eastAsia="en-GB"/>
        </w:rPr>
        <w:t>from affected trees, resulting in increased mortality of other trees nearby</w:t>
      </w:r>
      <w:r w:rsidR="007D6626" w:rsidRPr="004E3A00">
        <w:rPr>
          <w:rFonts w:ascii="Arial" w:eastAsia="Times New Roman" w:hAnsi="Arial" w:cs="Arial"/>
          <w:color w:val="000000"/>
          <w:lang w:eastAsia="en-GB"/>
        </w:rPr>
        <w:t xml:space="preserve">. The </w:t>
      </w:r>
      <w:r w:rsidR="007D6626" w:rsidRPr="004E3A00">
        <w:rPr>
          <w:rFonts w:ascii="Arial" w:eastAsia="Times New Roman" w:hAnsi="Arial" w:cs="Arial"/>
          <w:color w:val="000000"/>
          <w:lang w:eastAsia="en-GB"/>
        </w:rPr>
        <w:lastRenderedPageBreak/>
        <w:t>percentage sand content of soils was negatively related to beech mortality, suggesting that winter water-logging and summer drought may have been partially responsible for death of mature beech trees.</w:t>
      </w:r>
    </w:p>
    <w:p w:rsidR="007D6626" w:rsidRDefault="007D6626" w:rsidP="00A55BA5">
      <w:pPr>
        <w:spacing w:before="40" w:after="0" w:line="360" w:lineRule="auto"/>
        <w:contextualSpacing/>
        <w:textAlignment w:val="baseline"/>
        <w:rPr>
          <w:rFonts w:ascii="Arial" w:eastAsia="Times New Roman" w:hAnsi="Arial" w:cs="Arial"/>
          <w:color w:val="000000"/>
          <w:lang w:eastAsia="en-GB"/>
        </w:rPr>
      </w:pPr>
    </w:p>
    <w:p w:rsidR="00883802" w:rsidRPr="008264CF" w:rsidRDefault="00883802" w:rsidP="00A55BA5">
      <w:pPr>
        <w:spacing w:before="40" w:after="0" w:line="360" w:lineRule="auto"/>
        <w:contextualSpacing/>
        <w:textAlignment w:val="baseline"/>
        <w:rPr>
          <w:rFonts w:ascii="Arial" w:eastAsia="Times New Roman" w:hAnsi="Arial" w:cs="Arial"/>
          <w:b/>
          <w:color w:val="000000"/>
          <w:lang w:eastAsia="en-GB"/>
        </w:rPr>
      </w:pPr>
      <w:r w:rsidRPr="008264CF">
        <w:rPr>
          <w:rFonts w:ascii="Arial" w:eastAsia="Times New Roman" w:hAnsi="Arial" w:cs="Arial"/>
          <w:b/>
          <w:color w:val="000000"/>
          <w:lang w:eastAsia="en-GB"/>
        </w:rPr>
        <w:t>Lack of evidence of feedbacks</w:t>
      </w:r>
    </w:p>
    <w:p w:rsidR="00883802" w:rsidRDefault="00883802" w:rsidP="002521B1">
      <w:pPr>
        <w:spacing w:before="40" w:after="0" w:line="360" w:lineRule="auto"/>
        <w:ind w:firstLine="360"/>
        <w:contextualSpacing/>
        <w:textAlignment w:val="baseline"/>
        <w:rPr>
          <w:rFonts w:ascii="Arial" w:eastAsia="Times New Roman" w:hAnsi="Arial" w:cs="Arial"/>
          <w:color w:val="000000"/>
          <w:lang w:eastAsia="en-GB"/>
        </w:rPr>
      </w:pPr>
      <w:r>
        <w:rPr>
          <w:rFonts w:ascii="Arial" w:eastAsia="Times New Roman" w:hAnsi="Arial" w:cs="Arial"/>
          <w:color w:val="000000"/>
          <w:lang w:eastAsia="en-GB"/>
        </w:rPr>
        <w:t>P</w:t>
      </w:r>
      <w:r w:rsidR="008B348E" w:rsidRPr="004E3A00">
        <w:rPr>
          <w:rFonts w:ascii="Arial" w:eastAsia="Times New Roman" w:hAnsi="Arial" w:cs="Arial"/>
          <w:color w:val="000000"/>
          <w:lang w:eastAsia="en-GB"/>
        </w:rPr>
        <w:t xml:space="preserve">ositive feedbacks are </w:t>
      </w:r>
      <w:r>
        <w:rPr>
          <w:rFonts w:ascii="Arial" w:eastAsia="Times New Roman" w:hAnsi="Arial" w:cs="Arial"/>
          <w:color w:val="000000"/>
          <w:lang w:eastAsia="en-GB"/>
        </w:rPr>
        <w:t>considered to be important for allowing systems to recover from disturbance and maintaining them in a given state. However, they have also been cited as drivers of degradation in the case of regime shifts. We found little evidence for such positive feedbacks in our system. There was little support our hypothesis that proximity to dead trees results in an increased probability of mature tree death. Our results also showed that though seedlings density showed a positive relationship with canopy openness, this was not observed for saplings. While this suggests the potential for different mortality rates for juvenile trees in gaps and under closed canopies our data were insufficient to prove this. A number of factors could have contributed to this higher mortality rate in gaps</w:t>
      </w:r>
      <w:r w:rsidR="002521B1">
        <w:rPr>
          <w:rFonts w:ascii="Arial" w:eastAsia="Times New Roman" w:hAnsi="Arial" w:cs="Arial"/>
          <w:color w:val="000000"/>
          <w:lang w:eastAsia="en-GB"/>
        </w:rPr>
        <w:t xml:space="preserve">, but the most likely candidate is preferential feeding of deer and ponies in gaps. However, further work is needed to establish the potential mechanism for any differences in mortality in open </w:t>
      </w:r>
      <w:proofErr w:type="spellStart"/>
      <w:r w:rsidR="002521B1">
        <w:rPr>
          <w:rFonts w:ascii="Arial" w:eastAsia="Times New Roman" w:hAnsi="Arial" w:cs="Arial"/>
          <w:color w:val="000000"/>
          <w:lang w:eastAsia="en-GB"/>
        </w:rPr>
        <w:t>vs</w:t>
      </w:r>
      <w:proofErr w:type="spellEnd"/>
      <w:r w:rsidR="002521B1">
        <w:rPr>
          <w:rFonts w:ascii="Arial" w:eastAsia="Times New Roman" w:hAnsi="Arial" w:cs="Arial"/>
          <w:color w:val="000000"/>
          <w:lang w:eastAsia="en-GB"/>
        </w:rPr>
        <w:t xml:space="preserve"> closed canopy areas.</w:t>
      </w:r>
    </w:p>
    <w:p w:rsidR="00BC7DA4" w:rsidRPr="004E3A00" w:rsidRDefault="002521B1" w:rsidP="000E22CA">
      <w:pPr>
        <w:spacing w:after="0" w:line="360" w:lineRule="auto"/>
        <w:ind w:firstLine="360"/>
        <w:contextualSpacing/>
        <w:textAlignment w:val="baseline"/>
        <w:rPr>
          <w:rFonts w:ascii="Arial" w:eastAsia="Times New Roman" w:hAnsi="Arial" w:cs="Arial"/>
          <w:color w:val="000000"/>
          <w:lang w:eastAsia="en-GB"/>
        </w:rPr>
      </w:pPr>
      <w:r>
        <w:rPr>
          <w:rFonts w:ascii="Arial" w:eastAsia="Times New Roman" w:hAnsi="Arial" w:cs="Arial"/>
          <w:color w:val="000000"/>
          <w:lang w:eastAsia="en-GB"/>
        </w:rPr>
        <w:t xml:space="preserve">Though our </w:t>
      </w:r>
      <w:r w:rsidR="000E22CA">
        <w:rPr>
          <w:rFonts w:ascii="Arial" w:eastAsia="Times New Roman" w:hAnsi="Arial" w:cs="Arial"/>
          <w:color w:val="000000"/>
          <w:lang w:eastAsia="en-GB"/>
        </w:rPr>
        <w:t xml:space="preserve">individual based model </w:t>
      </w:r>
      <w:r>
        <w:rPr>
          <w:rFonts w:ascii="Arial" w:eastAsia="Times New Roman" w:hAnsi="Arial" w:cs="Arial"/>
          <w:color w:val="000000"/>
          <w:lang w:eastAsia="en-GB"/>
        </w:rPr>
        <w:t xml:space="preserve">showed the potential for continued loss of </w:t>
      </w:r>
      <w:proofErr w:type="gramStart"/>
      <w:r>
        <w:rPr>
          <w:rFonts w:ascii="Arial" w:eastAsia="Times New Roman" w:hAnsi="Arial" w:cs="Arial"/>
          <w:color w:val="000000"/>
          <w:lang w:eastAsia="en-GB"/>
        </w:rPr>
        <w:t>basal  area</w:t>
      </w:r>
      <w:proofErr w:type="gramEnd"/>
      <w:r>
        <w:rPr>
          <w:rFonts w:ascii="Arial" w:eastAsia="Times New Roman" w:hAnsi="Arial" w:cs="Arial"/>
          <w:color w:val="000000"/>
          <w:lang w:eastAsia="en-GB"/>
        </w:rPr>
        <w:t xml:space="preserve"> and tree cover  at Denny wood changes </w:t>
      </w:r>
      <w:r w:rsidR="00BC7DA4" w:rsidRPr="004E3A00">
        <w:rPr>
          <w:rFonts w:ascii="Arial" w:eastAsia="Times New Roman" w:hAnsi="Arial" w:cs="Arial"/>
          <w:color w:val="000000"/>
          <w:lang w:eastAsia="en-GB"/>
        </w:rPr>
        <w:t xml:space="preserve">never resulted in a transition to a completely treeless state. In addition, declines in forest basal area were largely linear and did not follow the trajectory associated with regime shifts of a sudden decline. This suggests that while the forest may be undergoing dieback the current level of disturbance is not high enough to result in a loss of tree cover in the foreseeable future. However, disturbance intensity from climate and pests are predicted to increase in European forests in the coming century </w:t>
      </w:r>
      <w:r w:rsidR="00BC7DA4" w:rsidRPr="004E3A00">
        <w:rPr>
          <w:rFonts w:ascii="Arial" w:eastAsia="Times New Roman" w:hAnsi="Arial" w:cs="Arial"/>
          <w:color w:val="000000"/>
          <w:lang w:eastAsia="en-GB"/>
        </w:rPr>
        <w:fldChar w:fldCharType="begin" w:fldLock="1"/>
      </w:r>
      <w:r w:rsidR="00D405AE" w:rsidRPr="004E3A00">
        <w:rPr>
          <w:rFonts w:ascii="Arial" w:eastAsia="Times New Roman" w:hAnsi="Arial" w:cs="Arial"/>
          <w:color w:val="000000"/>
          <w:lang w:eastAsia="en-GB"/>
        </w:rPr>
        <w:instrText>ADDIN CSL_CITATION { "citationItems" : [ { "id" : "ITEM-1", "itemData" : { "DOI" : "10.1038/nclimate2318", "ISBN" : "1758-6798", "ISSN" : "1758-678X", "abstract" : "We present repeated stem measurement data from 20 0.5-ha (100 \u00d7 50 m) permanent rain forest plots in northern Queensland, Australia, from 1971 to 2013. The plots have a rainfall range of 1200 to 3500 mm, represent 11 vegetation types, six parent materials, and range from 15 to 1200 m above sea level. Except for minor disturbances associated with selective logging on two plots, the plots were established in old growth forest and all plots have thereafter been protected. Plots were regularly censused and at each census the diameter at breast height (DBH) of all stems \u226510 cm DBH were recorded. Data is presented for 10 998 individual stems with plot stem densities at establishment ranging from 476 to 1104 stems/ha. Due to the wide geographical range of the plots, no species dominate, although the families Lauraceae, Rutaceae, and Myrtaceae contribute a large number of species. Basal area values at establishment ranged from 28.6 to 63.3 m2/ha and showed no trend of increasing or decreasing over time due mainly to regular disturbance and recovery from natural events such as cyclones. In addition to stems \u226510 cm DBH data, we present height data, floristic data from understory stems (\u226550 cm height to &lt;10 cm DBH), an auxiliary species list (including vines, epiphytes, ferns, grasses, herbs, and other life forms), and a list of voucher specimens lodged in herbaria. The data collected from the 20 plots provides an insight into the floristics, structure, and long-term forest dynamics of Australian tropical rain forests and allows direct comparisons to be made with long-term monitoring plots at a global scale. Read More: http://www.esajournals.org/doi/abs/10.1890/14-0458R.1", "author" : [ { "dropping-particle" : "", "family" : "Seidl", "given" : "Rupert", "non-dropping-particle" : "", "parse-names" : false, "suffix" : "" }, { "dropping-particle" : "", "family" : "Schelhaas", "given" : "Mart-jan", "non-dropping-particle" : "", "parse-names" : false, "suffix" : "" }, { "dropping-particle" : "", "family" : "Rammer", "given" : "Werner", "non-dropping-particle" : "", "parse-names" : false, "suffix" : "" }, { "dropping-particle" : "", "family" : "Verkerk", "given" : "Pieter Johannes", "non-dropping-particle" : "", "parse-names" : false, "suffix" : "" } ], "container-title" : "Nature Climate Change", "id" : "ITEM-1", "issue" : "August", "issued" : { "date-parts" : [ [ "2014" ] ] }, "page" : "1-6", "title" : "Increasing forest disturbances in Europe and their impact on carbon storage", "type" : "article-journal" }, "uris" : [ "http://www.mendeley.com/documents/?uuid=f1579293-1a7d-4e8f-b3ed-61dbd15e6478" ] } ], "mendeley" : { "formattedCitation" : "(Seidl &lt;i&gt;et al.&lt;/i&gt; 2014)", "plainTextFormattedCitation" : "(Seidl et al. 2014)", "previouslyFormattedCitation" : "(Seidl &lt;i&gt;et al.&lt;/i&gt; 2014)" }, "properties" : { "noteIndex" : 0 }, "schema" : "https://github.com/citation-style-language/schema/raw/master/csl-citation.json" }</w:instrText>
      </w:r>
      <w:r w:rsidR="00BC7DA4" w:rsidRPr="004E3A00">
        <w:rPr>
          <w:rFonts w:ascii="Arial" w:eastAsia="Times New Roman" w:hAnsi="Arial" w:cs="Arial"/>
          <w:color w:val="000000"/>
          <w:lang w:eastAsia="en-GB"/>
        </w:rPr>
        <w:fldChar w:fldCharType="separate"/>
      </w:r>
      <w:r w:rsidR="00BC7DA4" w:rsidRPr="004E3A00">
        <w:rPr>
          <w:rFonts w:ascii="Arial" w:eastAsia="Times New Roman" w:hAnsi="Arial" w:cs="Arial"/>
          <w:noProof/>
          <w:color w:val="000000"/>
          <w:lang w:eastAsia="en-GB"/>
        </w:rPr>
        <w:t xml:space="preserve">(Seidl </w:t>
      </w:r>
      <w:r w:rsidR="00BC7DA4" w:rsidRPr="004E3A00">
        <w:rPr>
          <w:rFonts w:ascii="Arial" w:eastAsia="Times New Roman" w:hAnsi="Arial" w:cs="Arial"/>
          <w:i/>
          <w:noProof/>
          <w:color w:val="000000"/>
          <w:lang w:eastAsia="en-GB"/>
        </w:rPr>
        <w:t>et al.</w:t>
      </w:r>
      <w:r w:rsidR="00BC7DA4" w:rsidRPr="004E3A00">
        <w:rPr>
          <w:rFonts w:ascii="Arial" w:eastAsia="Times New Roman" w:hAnsi="Arial" w:cs="Arial"/>
          <w:noProof/>
          <w:color w:val="000000"/>
          <w:lang w:eastAsia="en-GB"/>
        </w:rPr>
        <w:t xml:space="preserve"> 2014)</w:t>
      </w:r>
      <w:r w:rsidR="00BC7DA4" w:rsidRPr="004E3A00">
        <w:rPr>
          <w:rFonts w:ascii="Arial" w:eastAsia="Times New Roman" w:hAnsi="Arial" w:cs="Arial"/>
          <w:color w:val="000000"/>
          <w:lang w:eastAsia="en-GB"/>
        </w:rPr>
        <w:fldChar w:fldCharType="end"/>
      </w:r>
      <w:r w:rsidR="00FC381B" w:rsidRPr="004E3A00">
        <w:rPr>
          <w:rFonts w:ascii="Arial" w:eastAsia="Times New Roman" w:hAnsi="Arial" w:cs="Arial"/>
          <w:color w:val="000000"/>
          <w:lang w:eastAsia="en-GB"/>
        </w:rPr>
        <w:t xml:space="preserve">, meaning predictions from our model may be conservative. This lack of loss of forest cover in our study was a result of the long generation times of trees, which helped to buffer against total loss as a result of disturbance. </w:t>
      </w:r>
      <w:r w:rsidR="000E22CA">
        <w:rPr>
          <w:rFonts w:ascii="Arial" w:eastAsia="Times New Roman" w:hAnsi="Arial" w:cs="Arial"/>
          <w:color w:val="000000"/>
          <w:lang w:eastAsia="en-GB"/>
        </w:rPr>
        <w:t>Given the long-lived nature of trees s</w:t>
      </w:r>
      <w:r w:rsidR="00D405AE" w:rsidRPr="004E3A00">
        <w:rPr>
          <w:rFonts w:ascii="Arial" w:eastAsia="Times New Roman" w:hAnsi="Arial" w:cs="Arial"/>
          <w:color w:val="000000"/>
          <w:lang w:eastAsia="en-GB"/>
        </w:rPr>
        <w:t xml:space="preserve">uch declines are likely to relatively common in forest, compared to mass mortality over relatively short period of time. In the context of forests, rapid loss of tree cover seems to require interactions between disturbance and fire. Such interactions have been observed in tropical </w:t>
      </w:r>
      <w:r w:rsidR="00D405AE" w:rsidRPr="004E3A00">
        <w:rPr>
          <w:rFonts w:ascii="Arial" w:eastAsia="Times New Roman" w:hAnsi="Arial" w:cs="Arial"/>
          <w:color w:val="000000"/>
          <w:lang w:eastAsia="en-GB"/>
        </w:rPr>
        <w:fldChar w:fldCharType="begin" w:fldLock="1"/>
      </w:r>
      <w:r w:rsidR="00D405AE" w:rsidRPr="004E3A00">
        <w:rPr>
          <w:rFonts w:ascii="Arial" w:eastAsia="Times New Roman" w:hAnsi="Arial" w:cs="Arial"/>
          <w:color w:val="000000"/>
          <w:lang w:eastAsia="en-GB"/>
        </w:rPr>
        <w:instrText>ADDIN CSL_CITATION { "citationItems" : [ { "id" : "ITEM-1", "itemData" : { "DOI" : "10.1098/rstb.2007.0013", "abstract" : "The only fully coupled land\u2013atmosphere global climate model predicts a widespread dieback of Amazonian forest cover through reduced precipitation. Although these predictions are controversial, the structural and compositional resilience of Amazonian forests may also have been overestimated, as current vegetation models fail to consider the potential role of fire in the degradation of forest ecosystems. We examine forest structure and composition in the Arapiuns River basin in the central Brazilian Amazon, evaluating post-fire forest recovery and the consequences of recurrent fires for the patterns of dominance of tree species. We surveyed tree plots in unburned and once-burned forests examined 1, 3 and 9 years after an unprecedented fire event, in twice-burned forests examined 3 and 9 years after fire and in thrice-burned forests examined 5 years after the most recent fire event. The number of trees recorded in unburned primary forest control plots was stable over time. However, in both once- and twice-burned forest plots, there was a marked recruitment into the 10\u201320\u200acm diameter at breast height tree size classes between 3 and 9 years post-fire. Considering tree assemblage composition 9 years after the first fire contact, we observed (i) a clear pattern of community turnover among small trees and the most abun</w:instrText>
      </w:r>
      <w:r w:rsidR="00D405AE" w:rsidRPr="00A824A1">
        <w:rPr>
          <w:rFonts w:ascii="Arial" w:eastAsia="Times New Roman" w:hAnsi="Arial" w:cs="Arial"/>
          <w:color w:val="000000"/>
          <w:lang w:val="es-ES_tradnl" w:eastAsia="en-GB"/>
        </w:rPr>
        <w:instrText>dant shrubs and saplings, and (ii) that species that were common in any of the four burn treatments (unburned, once-, twice- and thrice-burned) were often rare or entirely absent in other burn treatments. We conclude that episodic wildfires can lead to drastic changes in forest structure and composition, with cascading shifts in forest composition following each additional fire event. Finally, we use these results to evaluate the validity of the savannization paradigm.", "author" : [ { "dropping-particle" : "", "family" : "Barlow", "given" : "Jos", "non-dropping-particle" : "", "parse-names" : false, "suffix" : "" }, { "dropping-particle" : "", "family" : "Peres", "given" : "Carlos A", "non-dropping-particle" : "", "parse-names" : false, "suffix" : "" } ], "container-title" : "Philosophical Transactions of the Royal Society B: Biological Sciences", "id" : "ITEM-1", "issue" : "1498", "issued" : { "date-parts" : [ [ "2008" ] ] }, "page" : "1787-1794", "title" : "Fire-mediated dieback and compositional cascade in an Amazonian forest", "type" : "article-journal", "volume" : "363" }, "uris" : [ "http://www.mendeley.com/documents/?uuid=1aa4f099-c13b-4a2f-91e1-9288d28b143d" ] } ], "mendeley" : { "formattedCitation" : "(Barlow &amp; Peres 2008)", "plainTextFormattedCitation" : "(Barlow &amp; Peres 2008)", "previouslyFormattedCitation" : "(Barlow &amp; Peres 2008)" }, "properties" : { "noteIndex" : 0 }, "schema" : "https://github.com/citation-style-language/schema/raw/master/csl-citation.json" }</w:instrText>
      </w:r>
      <w:r w:rsidR="00D405AE" w:rsidRPr="004E3A00">
        <w:rPr>
          <w:rFonts w:ascii="Arial" w:eastAsia="Times New Roman" w:hAnsi="Arial" w:cs="Arial"/>
          <w:color w:val="000000"/>
          <w:lang w:eastAsia="en-GB"/>
        </w:rPr>
        <w:fldChar w:fldCharType="separate"/>
      </w:r>
      <w:r w:rsidR="00D405AE" w:rsidRPr="00A824A1">
        <w:rPr>
          <w:rFonts w:ascii="Arial" w:eastAsia="Times New Roman" w:hAnsi="Arial" w:cs="Arial"/>
          <w:noProof/>
          <w:color w:val="000000"/>
          <w:lang w:val="es-ES_tradnl" w:eastAsia="en-GB"/>
        </w:rPr>
        <w:t>(Barlow &amp; Peres 2008)</w:t>
      </w:r>
      <w:r w:rsidR="00D405AE" w:rsidRPr="004E3A00">
        <w:rPr>
          <w:rFonts w:ascii="Arial" w:eastAsia="Times New Roman" w:hAnsi="Arial" w:cs="Arial"/>
          <w:color w:val="000000"/>
          <w:lang w:eastAsia="en-GB"/>
        </w:rPr>
        <w:fldChar w:fldCharType="end"/>
      </w:r>
      <w:r w:rsidR="00D405AE" w:rsidRPr="00A824A1">
        <w:rPr>
          <w:rFonts w:ascii="Arial" w:eastAsia="Times New Roman" w:hAnsi="Arial" w:cs="Arial"/>
          <w:color w:val="000000"/>
          <w:lang w:val="es-ES_tradnl" w:eastAsia="en-GB"/>
        </w:rPr>
        <w:t xml:space="preserve">, </w:t>
      </w:r>
      <w:proofErr w:type="spellStart"/>
      <w:r w:rsidR="00D405AE" w:rsidRPr="00A824A1">
        <w:rPr>
          <w:rFonts w:ascii="Arial" w:eastAsia="Times New Roman" w:hAnsi="Arial" w:cs="Arial"/>
          <w:color w:val="000000"/>
          <w:lang w:val="es-ES_tradnl" w:eastAsia="en-GB"/>
        </w:rPr>
        <w:t>Mediterranean</w:t>
      </w:r>
      <w:proofErr w:type="spellEnd"/>
      <w:r w:rsidR="00D405AE" w:rsidRPr="00A824A1">
        <w:rPr>
          <w:rFonts w:ascii="Arial" w:eastAsia="Times New Roman" w:hAnsi="Arial" w:cs="Arial"/>
          <w:color w:val="000000"/>
          <w:lang w:val="es-ES_tradnl" w:eastAsia="en-GB"/>
        </w:rPr>
        <w:t xml:space="preserve"> </w:t>
      </w:r>
      <w:r w:rsidR="00D405AE" w:rsidRPr="004E3A00">
        <w:rPr>
          <w:rFonts w:ascii="Arial" w:eastAsia="Times New Roman" w:hAnsi="Arial" w:cs="Arial"/>
          <w:color w:val="000000"/>
          <w:lang w:eastAsia="en-GB"/>
        </w:rPr>
        <w:fldChar w:fldCharType="begin" w:fldLock="1"/>
      </w:r>
      <w:r w:rsidR="00D405AE" w:rsidRPr="00A824A1">
        <w:rPr>
          <w:rFonts w:ascii="Arial" w:eastAsia="Times New Roman" w:hAnsi="Arial" w:cs="Arial"/>
          <w:color w:val="000000"/>
          <w:lang w:val="es-ES_tradnl" w:eastAsia="en-GB"/>
        </w:rPr>
        <w:instrText>ADDIN CSL_CITATION { "citationItems" : [ { "id" : "ITEM-1", "itemData" : { "DOI" : "10.1007/s10021-007-9089-9", "ISSN" : "1432-9840", "author" : [ { "dropping-particle" : "", "family" : "Ac\u00e1cio", "given" : "Vanda", "non-dropping-particle" : "", "parse-names" : false, "suffix" : "" }, { "dropping-particle" : "", "family" : "Holmgren", "given" : "Milena", "non-dropping-particle" : "", "parse-names" : false, "suffix" : "" }, { "dropping-particle" : "", "family" : "Jansen", "given" : "Patrick A.", "non-dropping-particle" : "", "parse-names" : false, "suffix" : "" }, { "dropping-particle" : "", "family" : "Schrotter", "given" : "Ondrej", "non-dropping-particle" : "", "parse-names" : false, "suffix" : "" } ], "container-title" : "Ecosystems", "id" : "ITEM-1", "issue" : "7", "issued" : { "date-parts" : [ [ "2007", "10", "9" ] ] }, "page" : "1220-1230", "title" : "Multiple Recruitment Limitation Causes Arrested Succession in Mediterranean Cork Oak Systems", "type" : "article-journal", "volume" : "10" }, "uris" : [ "http://www.mendeley.com/documents/?uuid=9c2faf34-ddee-480d-97e1-66109aa85828" ] } ], "mendeley" : { "formattedCitation" : "(Ac\u00e1cio &lt;i&gt;et al.&lt;/i&gt; 2007)", "plainTextFormattedCitation" : "(Ac\u00e1cio et al. 2007)", "previouslyFormattedCitation" : "(Ac\u00e1cio &lt;i&gt;et al.&lt;/i&gt; 2007)" }, "properties" : { "noteIndex" : 0 }, "schema" : "https://github.com/citation-style-language/schema/raw/master/csl-citation.json" }</w:instrText>
      </w:r>
      <w:r w:rsidR="00D405AE" w:rsidRPr="004E3A00">
        <w:rPr>
          <w:rFonts w:ascii="Arial" w:eastAsia="Times New Roman" w:hAnsi="Arial" w:cs="Arial"/>
          <w:color w:val="000000"/>
          <w:lang w:eastAsia="en-GB"/>
        </w:rPr>
        <w:fldChar w:fldCharType="separate"/>
      </w:r>
      <w:r w:rsidR="00D405AE" w:rsidRPr="00A824A1">
        <w:rPr>
          <w:rFonts w:ascii="Arial" w:eastAsia="Times New Roman" w:hAnsi="Arial" w:cs="Arial"/>
          <w:noProof/>
          <w:color w:val="000000"/>
          <w:lang w:val="es-ES_tradnl" w:eastAsia="en-GB"/>
        </w:rPr>
        <w:t xml:space="preserve">(Acácio </w:t>
      </w:r>
      <w:r w:rsidR="00D405AE" w:rsidRPr="00A824A1">
        <w:rPr>
          <w:rFonts w:ascii="Arial" w:eastAsia="Times New Roman" w:hAnsi="Arial" w:cs="Arial"/>
          <w:i/>
          <w:noProof/>
          <w:color w:val="000000"/>
          <w:lang w:val="es-ES_tradnl" w:eastAsia="en-GB"/>
        </w:rPr>
        <w:t>et al.</w:t>
      </w:r>
      <w:r w:rsidR="00D405AE" w:rsidRPr="00A824A1">
        <w:rPr>
          <w:rFonts w:ascii="Arial" w:eastAsia="Times New Roman" w:hAnsi="Arial" w:cs="Arial"/>
          <w:noProof/>
          <w:color w:val="000000"/>
          <w:lang w:val="es-ES_tradnl" w:eastAsia="en-GB"/>
        </w:rPr>
        <w:t xml:space="preserve"> 2007)</w:t>
      </w:r>
      <w:r w:rsidR="00D405AE" w:rsidRPr="004E3A00">
        <w:rPr>
          <w:rFonts w:ascii="Arial" w:eastAsia="Times New Roman" w:hAnsi="Arial" w:cs="Arial"/>
          <w:color w:val="000000"/>
          <w:lang w:eastAsia="en-GB"/>
        </w:rPr>
        <w:fldChar w:fldCharType="end"/>
      </w:r>
      <w:r w:rsidR="00D405AE" w:rsidRPr="00A824A1">
        <w:rPr>
          <w:rFonts w:ascii="Arial" w:eastAsia="Times New Roman" w:hAnsi="Arial" w:cs="Arial"/>
          <w:color w:val="000000"/>
          <w:lang w:val="es-ES_tradnl" w:eastAsia="en-GB"/>
        </w:rPr>
        <w:t xml:space="preserve">, </w:t>
      </w:r>
      <w:proofErr w:type="spellStart"/>
      <w:r w:rsidR="00D405AE" w:rsidRPr="00A824A1">
        <w:rPr>
          <w:rFonts w:ascii="Arial" w:eastAsia="Times New Roman" w:hAnsi="Arial" w:cs="Arial"/>
          <w:color w:val="000000"/>
          <w:lang w:val="es-ES_tradnl" w:eastAsia="en-GB"/>
        </w:rPr>
        <w:t>temperate</w:t>
      </w:r>
      <w:proofErr w:type="spellEnd"/>
      <w:r w:rsidR="00D405AE" w:rsidRPr="00A824A1">
        <w:rPr>
          <w:rFonts w:ascii="Arial" w:eastAsia="Times New Roman" w:hAnsi="Arial" w:cs="Arial"/>
          <w:color w:val="000000"/>
          <w:lang w:val="es-ES_tradnl" w:eastAsia="en-GB"/>
        </w:rPr>
        <w:t xml:space="preserve"> </w:t>
      </w:r>
      <w:r w:rsidR="00D405AE" w:rsidRPr="004E3A00">
        <w:rPr>
          <w:rFonts w:ascii="Arial" w:eastAsia="Times New Roman" w:hAnsi="Arial" w:cs="Arial"/>
          <w:color w:val="000000"/>
          <w:lang w:eastAsia="en-GB"/>
        </w:rPr>
        <w:fldChar w:fldCharType="begin" w:fldLock="1"/>
      </w:r>
      <w:r w:rsidR="00D405AE" w:rsidRPr="00A824A1">
        <w:rPr>
          <w:rFonts w:ascii="Arial" w:eastAsia="Times New Roman" w:hAnsi="Arial" w:cs="Arial"/>
          <w:color w:val="000000"/>
          <w:lang w:val="es-ES_tradnl" w:eastAsia="en-GB"/>
        </w:rPr>
        <w:instrText>ADDIN CSL_CITATION { "citationItems" : [ { "id" : "ITEM-1", "itemData" : { "DOI" : "10.1111/1365-2664.12437", "ISSN" : "00218901", "author" : [ { "dropping-particle" : "", "family" : "Flory", "given" : "S. Luke", "non-dropping-particle" : "", "parse-names" : false, "suffix" : "" }, { "dropping-particle" : "", "family" : "Clay", "given" : "Keith", "non-dropping-particle" : "", "parse-names" : false, "suffix" : "" }, { "dropping-particle" : "", "family" : "Emery", "given" : "Sarah M.", "non-dropping-particle" : "", "parse-names" : false, "suffix" : "" }, { "dropping-particle" : "", "family" : "Robb", "given" : "Joseph R.", "non-dropping-particle" : "", "parse-names" : false, "suffix" : "" }, { "dropping-particle" : "", "family" : "Winters", "given" : "Brian", "non-dropping-particle" : "", "parse-names" : false, "suffix" : "" } ], "container-title" : "Journal of Applied Ecology", "id" : "ITEM-1", "issue" : "4", "issued" : { "date-parts" : [ [ "2015" ] ] }, "page" : "992-1000", "title" : "Fire and non-native grass invasion interact to suppress tree regeneration in temperate deciduous forests", "type" : "article-journal", "volume" : "52" }, "uris" : [ "http://www.mendeley.com/documents/?uuid=3e0ca6d2-805e-42ab-b0f1-b5f67b098417" ] } ], "mendeley" : { "formattedCitation" : "(Flory &lt;i&gt;et al.&lt;/i&gt; 2015)", "plainTextFormattedCitation" : "(Flory et al. 2015)", "previouslyFormattedCitation" : "(Flory &lt;i&gt;et al.&lt;/i&gt; 2015)" }, "properties" : { "noteIndex" : 0 }, "schema" : "https://github.com/citation-style-language/schema/raw/master/csl-citation.json" }</w:instrText>
      </w:r>
      <w:r w:rsidR="00D405AE" w:rsidRPr="004E3A00">
        <w:rPr>
          <w:rFonts w:ascii="Arial" w:eastAsia="Times New Roman" w:hAnsi="Arial" w:cs="Arial"/>
          <w:color w:val="000000"/>
          <w:lang w:eastAsia="en-GB"/>
        </w:rPr>
        <w:fldChar w:fldCharType="separate"/>
      </w:r>
      <w:r w:rsidR="00D405AE" w:rsidRPr="00A824A1">
        <w:rPr>
          <w:rFonts w:ascii="Arial" w:eastAsia="Times New Roman" w:hAnsi="Arial" w:cs="Arial"/>
          <w:noProof/>
          <w:color w:val="000000"/>
          <w:lang w:val="es-ES_tradnl" w:eastAsia="en-GB"/>
        </w:rPr>
        <w:t xml:space="preserve">(Flory </w:t>
      </w:r>
      <w:r w:rsidR="00D405AE" w:rsidRPr="00A824A1">
        <w:rPr>
          <w:rFonts w:ascii="Arial" w:eastAsia="Times New Roman" w:hAnsi="Arial" w:cs="Arial"/>
          <w:i/>
          <w:noProof/>
          <w:color w:val="000000"/>
          <w:lang w:val="es-ES_tradnl" w:eastAsia="en-GB"/>
        </w:rPr>
        <w:t>et al.</w:t>
      </w:r>
      <w:r w:rsidR="00D405AE" w:rsidRPr="00A824A1">
        <w:rPr>
          <w:rFonts w:ascii="Arial" w:eastAsia="Times New Roman" w:hAnsi="Arial" w:cs="Arial"/>
          <w:noProof/>
          <w:color w:val="000000"/>
          <w:lang w:val="es-ES_tradnl" w:eastAsia="en-GB"/>
        </w:rPr>
        <w:t xml:space="preserve"> 2015)</w:t>
      </w:r>
      <w:r w:rsidR="00D405AE" w:rsidRPr="004E3A00">
        <w:rPr>
          <w:rFonts w:ascii="Arial" w:eastAsia="Times New Roman" w:hAnsi="Arial" w:cs="Arial"/>
          <w:color w:val="000000"/>
          <w:lang w:eastAsia="en-GB"/>
        </w:rPr>
        <w:fldChar w:fldCharType="end"/>
      </w:r>
      <w:r w:rsidR="00D405AE" w:rsidRPr="00A824A1">
        <w:rPr>
          <w:rFonts w:ascii="Arial" w:eastAsia="Times New Roman" w:hAnsi="Arial" w:cs="Arial"/>
          <w:color w:val="000000"/>
          <w:lang w:val="es-ES_tradnl" w:eastAsia="en-GB"/>
        </w:rPr>
        <w:t xml:space="preserve"> and boreal </w:t>
      </w:r>
      <w:proofErr w:type="spellStart"/>
      <w:r w:rsidR="00D405AE" w:rsidRPr="00A824A1">
        <w:rPr>
          <w:rFonts w:ascii="Arial" w:eastAsia="Times New Roman" w:hAnsi="Arial" w:cs="Arial"/>
          <w:color w:val="000000"/>
          <w:lang w:val="es-ES_tradnl" w:eastAsia="en-GB"/>
        </w:rPr>
        <w:t>forests</w:t>
      </w:r>
      <w:proofErr w:type="spellEnd"/>
      <w:r w:rsidR="00D405AE" w:rsidRPr="00A824A1">
        <w:rPr>
          <w:rFonts w:ascii="Arial" w:eastAsia="Times New Roman" w:hAnsi="Arial" w:cs="Arial"/>
          <w:color w:val="000000"/>
          <w:lang w:val="es-ES_tradnl" w:eastAsia="en-GB"/>
        </w:rPr>
        <w:t xml:space="preserve"> </w:t>
      </w:r>
      <w:r w:rsidR="00D405AE" w:rsidRPr="004E3A00">
        <w:rPr>
          <w:rFonts w:ascii="Arial" w:eastAsia="Times New Roman" w:hAnsi="Arial" w:cs="Arial"/>
          <w:color w:val="000000"/>
          <w:lang w:eastAsia="en-GB"/>
        </w:rPr>
        <w:fldChar w:fldCharType="begin" w:fldLock="1"/>
      </w:r>
      <w:r w:rsidR="00D415C3">
        <w:rPr>
          <w:rFonts w:ascii="Arial" w:eastAsia="Times New Roman" w:hAnsi="Arial" w:cs="Arial"/>
          <w:color w:val="000000"/>
          <w:lang w:val="es-ES_tradnl" w:eastAsia="en-GB"/>
        </w:rPr>
        <w:instrText xml:space="preserve">ADDIN CSL_CITATION { "citationItems" : [ { "id" : "ITEM-1", "itemData" : { "DOI" : "10.1073/pnas.1219844110", "ISSN" : "1091-6490", "PMID" : "23236159", "abstract" : "Although the boreal region is warming twice as fast as the global average, the way in which the vast boreal forests and tundras may respond is poorly understood. Using satellite data, we reveal marked alternative modes in the frequency distributions of boreal tree cover. At the northern end and at the dry continental southern extremes, treeless tundra and steppe, respectively, are the only possible states. However, over a broad intermediate temperature range, these treeless states coexist with boreal forest (\u223c75% tree cover) and with two more open woodland states (\u223c20% and \u223c45% tree cover). Intermediate tree covers (e.g., \u223c10%, \u223c30%, and \u223c60% tree cover) between these distinct states are relatively rare, suggesting that they may represent unstable states where the system dwells only transiently. Mechanisms for such instabilities remain to be unraveled, but our results have important implications for the anticipated response of these ecosystems to climatic change. The data reveal that boreal forest shows no gradual decline in tree cover toward its limits. Instead, our analysis suggests that it becomes less resilient in the sense that it may more easily shift into a sparse woodland or treeless state. Similarly, the relative scarcity of the intermediate \u223c10% tree cover suggests that tundra may shift relatively abruptly to a more abundant tree cover. If our inferences are correct, climate change may invoke </w:instrText>
      </w:r>
      <w:r w:rsidR="00D415C3" w:rsidRPr="00B6284F">
        <w:rPr>
          <w:rFonts w:ascii="Arial" w:eastAsia="Times New Roman" w:hAnsi="Arial" w:cs="Arial"/>
          <w:color w:val="000000"/>
          <w:lang w:eastAsia="en-GB"/>
        </w:rPr>
        <w:instrText>massive nonlinear shifts in boreal biomes.", "author" : [ { "dropping-particle" : "", "family" : "Scheffer", "given" : "Marten", "non-dropping-particle" : "", "parse-names" : false, "suffix" : "" }, { "dropping-particle" : "", "family" : "Hirota", "given" : "Marina", "non-dropping-particle" : "", "parse-names" : false, "suffix" : "" }, { "dropping-particle" : "", "family" : "Holmgren", "given" : "Milena", "non-dropping-particle" : "", "parse-names" : false, "suffix" : "" }, { "dropping-particle" : "", "family" : "Nes", "given" : "Egbert H", "non-dropping-particle" : "Van", "parse-names" : false, "suffix" : "" }, { "dropping-particle" : "", "family" : "Chapin", "given" : "F Stuart", "non-dropping-particle" : "", "parse-names" : false, "suffix" : "" } ], "container-title" : "Proceedings of the National Academy of Sciences of the United States of America", "id" : "ITEM-1", "issue" : "52", "issued" : { "date-parts" : [ [ "2012", "12", "26" ] ] }, "page" : "21384-9", "title" : "Thresholds for boreal biome transitions.", "type" : "article-journal", "volume" : "109" }, "uris" : [ "http://www.mendeley.com/documents/?uuid=e8bd7493-960e-430d-9bb7-2a828d9f2b6b" ] } ], "mendeley" : { "formattedCitation" : "(Scheffer &lt;i&gt;et al.&lt;/i&gt; 2012)", "plainTextFormattedCitation" : "(Scheffer et al. 2012)", "previouslyFormattedCitation" : "(Scheffer &lt;i&gt;et al.&lt;/i&gt; 2012)" }, "properties" : { "noteIndex" : 0 }, "schema" : "https://github.com/citation-style-language/schema/raw/master/csl-citation.json" }</w:instrText>
      </w:r>
      <w:r w:rsidR="00D405AE" w:rsidRPr="004E3A00">
        <w:rPr>
          <w:rFonts w:ascii="Arial" w:eastAsia="Times New Roman" w:hAnsi="Arial" w:cs="Arial"/>
          <w:color w:val="000000"/>
          <w:lang w:eastAsia="en-GB"/>
        </w:rPr>
        <w:fldChar w:fldCharType="separate"/>
      </w:r>
      <w:r w:rsidR="00D405AE" w:rsidRPr="004E3A00">
        <w:rPr>
          <w:rFonts w:ascii="Arial" w:eastAsia="Times New Roman" w:hAnsi="Arial" w:cs="Arial"/>
          <w:noProof/>
          <w:color w:val="000000"/>
          <w:lang w:eastAsia="en-GB"/>
        </w:rPr>
        <w:t xml:space="preserve">(Scheffer </w:t>
      </w:r>
      <w:r w:rsidR="00D405AE" w:rsidRPr="004E3A00">
        <w:rPr>
          <w:rFonts w:ascii="Arial" w:eastAsia="Times New Roman" w:hAnsi="Arial" w:cs="Arial"/>
          <w:i/>
          <w:noProof/>
          <w:color w:val="000000"/>
          <w:lang w:eastAsia="en-GB"/>
        </w:rPr>
        <w:t>et al.</w:t>
      </w:r>
      <w:r w:rsidR="00D405AE" w:rsidRPr="004E3A00">
        <w:rPr>
          <w:rFonts w:ascii="Arial" w:eastAsia="Times New Roman" w:hAnsi="Arial" w:cs="Arial"/>
          <w:noProof/>
          <w:color w:val="000000"/>
          <w:lang w:eastAsia="en-GB"/>
        </w:rPr>
        <w:t xml:space="preserve"> 2012)</w:t>
      </w:r>
      <w:r w:rsidR="00D405AE" w:rsidRPr="004E3A00">
        <w:rPr>
          <w:rFonts w:ascii="Arial" w:eastAsia="Times New Roman" w:hAnsi="Arial" w:cs="Arial"/>
          <w:color w:val="000000"/>
          <w:lang w:eastAsia="en-GB"/>
        </w:rPr>
        <w:fldChar w:fldCharType="end"/>
      </w:r>
      <w:r w:rsidR="00D405AE" w:rsidRPr="004E3A00">
        <w:rPr>
          <w:rFonts w:ascii="Arial" w:eastAsia="Times New Roman" w:hAnsi="Arial" w:cs="Arial"/>
          <w:color w:val="000000"/>
          <w:lang w:eastAsia="en-GB"/>
        </w:rPr>
        <w:t xml:space="preserve"> suggesting a </w:t>
      </w:r>
      <w:r w:rsidR="000E22CA">
        <w:rPr>
          <w:rFonts w:ascii="Arial" w:eastAsia="Times New Roman" w:hAnsi="Arial" w:cs="Arial"/>
          <w:color w:val="000000"/>
          <w:lang w:eastAsia="en-GB"/>
        </w:rPr>
        <w:t xml:space="preserve">common </w:t>
      </w:r>
      <w:r w:rsidR="00D405AE" w:rsidRPr="004E3A00">
        <w:rPr>
          <w:rFonts w:ascii="Arial" w:eastAsia="Times New Roman" w:hAnsi="Arial" w:cs="Arial"/>
          <w:color w:val="000000"/>
          <w:lang w:eastAsia="en-GB"/>
        </w:rPr>
        <w:t>mechanism for feedbacks resulting in forest loss.</w:t>
      </w:r>
    </w:p>
    <w:p w:rsidR="00BC7DA4" w:rsidRPr="004E3A00" w:rsidRDefault="00BC7DA4" w:rsidP="00BC7DA4">
      <w:pPr>
        <w:spacing w:after="0" w:line="360" w:lineRule="auto"/>
        <w:contextualSpacing/>
        <w:textAlignment w:val="baseline"/>
        <w:rPr>
          <w:rFonts w:ascii="Arial" w:eastAsia="Times New Roman" w:hAnsi="Arial" w:cs="Arial"/>
          <w:color w:val="000000"/>
          <w:lang w:eastAsia="en-GB"/>
        </w:rPr>
      </w:pPr>
    </w:p>
    <w:p w:rsidR="00C9060F" w:rsidRPr="004E3A00" w:rsidRDefault="00C9060F" w:rsidP="00F11B0B">
      <w:pPr>
        <w:spacing w:before="40" w:after="140" w:line="360" w:lineRule="auto"/>
        <w:contextualSpacing/>
        <w:rPr>
          <w:rFonts w:ascii="Times New Roman" w:eastAsia="Times New Roman" w:hAnsi="Times New Roman" w:cs="Times New Roman"/>
          <w:sz w:val="24"/>
          <w:szCs w:val="24"/>
          <w:lang w:eastAsia="en-GB"/>
        </w:rPr>
      </w:pPr>
      <w:r w:rsidRPr="004E3A00">
        <w:rPr>
          <w:rFonts w:ascii="Arial" w:eastAsia="Times New Roman" w:hAnsi="Arial" w:cs="Arial"/>
          <w:b/>
          <w:bCs/>
          <w:color w:val="000000"/>
          <w:lang w:eastAsia="en-GB"/>
        </w:rPr>
        <w:t>Conclusion</w:t>
      </w:r>
    </w:p>
    <w:p w:rsidR="00D2111C" w:rsidRDefault="00D2111C" w:rsidP="00D2111C">
      <w:pPr>
        <w:spacing w:before="40" w:after="140" w:line="360" w:lineRule="auto"/>
        <w:contextualSpacing/>
        <w:textAlignment w:val="baseline"/>
        <w:rPr>
          <w:rFonts w:ascii="Arial" w:eastAsia="Times New Roman" w:hAnsi="Arial" w:cs="Arial"/>
          <w:color w:val="000000"/>
          <w:lang w:eastAsia="en-GB"/>
        </w:rPr>
      </w:pPr>
    </w:p>
    <w:p w:rsidR="00D2111C" w:rsidRDefault="00D2111C" w:rsidP="00D2111C">
      <w:pPr>
        <w:spacing w:before="40" w:after="140" w:line="360" w:lineRule="auto"/>
        <w:contextualSpacing/>
        <w:textAlignment w:val="baseline"/>
        <w:rPr>
          <w:rFonts w:ascii="Arial" w:eastAsia="Times New Roman" w:hAnsi="Arial" w:cs="Arial"/>
          <w:color w:val="000000"/>
          <w:lang w:eastAsia="en-GB"/>
        </w:rPr>
      </w:pPr>
      <w:r>
        <w:rPr>
          <w:rFonts w:ascii="Arial" w:eastAsia="Times New Roman" w:hAnsi="Arial" w:cs="Arial"/>
          <w:color w:val="000000"/>
          <w:lang w:eastAsia="en-GB"/>
        </w:rPr>
        <w:lastRenderedPageBreak/>
        <w:t xml:space="preserve">Over the next 100 years, without appropriate management there is the potential for widespread loss of tree cover in areas of the New Forest undergoing dieback. Our estimates of 50-70% losses in basal area may be worsened by projected increases in temperature, drought frequency, and outbreaks of pests and diseases. Such die-off is occurring elsewhere in the New Forest and </w:t>
      </w:r>
      <w:r w:rsidR="00FE15FF">
        <w:rPr>
          <w:rFonts w:ascii="Arial" w:eastAsia="Times New Roman" w:hAnsi="Arial" w:cs="Arial"/>
          <w:color w:val="000000"/>
          <w:lang w:eastAsia="en-GB"/>
        </w:rPr>
        <w:t xml:space="preserve">this </w:t>
      </w:r>
      <w:r>
        <w:rPr>
          <w:rFonts w:ascii="Arial" w:eastAsia="Times New Roman" w:hAnsi="Arial" w:cs="Arial"/>
          <w:color w:val="000000"/>
          <w:lang w:eastAsia="en-GB"/>
        </w:rPr>
        <w:t>presents the risk of widespread losses of biodiversity and ecosystem services. The most obvious way to reduce the probability of die-off is to increase beech recruitment by protecting selected woodlands from overgrazing. The potential impacts of fungal pathogens and drought may also be reduced by this recruitment, resulting in a forest composed of trees with a wider range of ages</w:t>
      </w:r>
      <w:r w:rsidR="00FE15FF">
        <w:rPr>
          <w:rFonts w:ascii="Arial" w:eastAsia="Times New Roman" w:hAnsi="Arial" w:cs="Arial"/>
          <w:color w:val="000000"/>
          <w:lang w:eastAsia="en-GB"/>
        </w:rPr>
        <w:t>, which has been shown to increase the resilience of forest structure</w:t>
      </w:r>
      <w:r>
        <w:rPr>
          <w:rFonts w:ascii="Arial" w:eastAsia="Times New Roman" w:hAnsi="Arial" w:cs="Arial"/>
          <w:color w:val="000000"/>
          <w:lang w:eastAsia="en-GB"/>
        </w:rPr>
        <w:t>.</w:t>
      </w:r>
    </w:p>
    <w:p w:rsidR="00D2111C" w:rsidRPr="004E3A00" w:rsidRDefault="00D2111C" w:rsidP="00D2111C">
      <w:pPr>
        <w:spacing w:before="40" w:after="140" w:line="360" w:lineRule="auto"/>
        <w:contextualSpacing/>
        <w:textAlignment w:val="baseline"/>
        <w:rPr>
          <w:rFonts w:ascii="Arial" w:eastAsia="Times New Roman" w:hAnsi="Arial" w:cs="Arial"/>
          <w:color w:val="000000"/>
          <w:lang w:eastAsia="en-GB"/>
        </w:rPr>
      </w:pPr>
    </w:p>
    <w:p w:rsidR="005D2262" w:rsidRPr="004E3A00" w:rsidRDefault="00F11B0B" w:rsidP="00F11B0B">
      <w:pPr>
        <w:spacing w:line="360" w:lineRule="auto"/>
        <w:contextualSpacing/>
      </w:pPr>
      <w:r w:rsidRPr="004E3A00">
        <w:rPr>
          <w:rFonts w:ascii="Arial" w:eastAsia="Times New Roman" w:hAnsi="Arial" w:cs="Arial"/>
          <w:b/>
          <w:bCs/>
          <w:color w:val="000000"/>
          <w:lang w:eastAsia="en-GB"/>
        </w:rPr>
        <w:t>References</w:t>
      </w:r>
    </w:p>
    <w:p w:rsidR="008264CF" w:rsidRPr="008264CF" w:rsidRDefault="00F11B0B" w:rsidP="008264CF">
      <w:pPr>
        <w:widowControl w:val="0"/>
        <w:autoSpaceDE w:val="0"/>
        <w:autoSpaceDN w:val="0"/>
        <w:adjustRightInd w:val="0"/>
        <w:spacing w:after="140" w:line="240" w:lineRule="auto"/>
        <w:ind w:left="480" w:hanging="480"/>
        <w:rPr>
          <w:rFonts w:ascii="Calibri" w:hAnsi="Calibri" w:cs="Times New Roman"/>
          <w:noProof/>
          <w:szCs w:val="24"/>
        </w:rPr>
      </w:pPr>
      <w:r w:rsidRPr="004E3A00">
        <w:fldChar w:fldCharType="begin" w:fldLock="1"/>
      </w:r>
      <w:r w:rsidRPr="004E3A00">
        <w:instrText xml:space="preserve">ADDIN Mendeley Bibliography CSL_BIBLIOGRAPHY </w:instrText>
      </w:r>
      <w:r w:rsidRPr="004E3A00">
        <w:fldChar w:fldCharType="separate"/>
      </w:r>
      <w:r w:rsidR="008264CF" w:rsidRPr="008264CF">
        <w:rPr>
          <w:rFonts w:ascii="Calibri" w:hAnsi="Calibri" w:cs="Times New Roman"/>
          <w:noProof/>
          <w:szCs w:val="24"/>
        </w:rPr>
        <w:t xml:space="preserve">Acácio, V., Holmgren, M., Jansen, P.A. &amp; Schrotter, O. (2007) Multiple Recruitment Limitation Causes Arrested Succession in Mediterranean Cork Oak Systems. </w:t>
      </w:r>
      <w:r w:rsidR="008264CF" w:rsidRPr="008264CF">
        <w:rPr>
          <w:rFonts w:ascii="Calibri" w:hAnsi="Calibri" w:cs="Times New Roman"/>
          <w:i/>
          <w:iCs/>
          <w:noProof/>
          <w:szCs w:val="24"/>
        </w:rPr>
        <w:t>Ecosystems</w:t>
      </w:r>
      <w:r w:rsidR="008264CF" w:rsidRPr="008264CF">
        <w:rPr>
          <w:rFonts w:ascii="Calibri" w:hAnsi="Calibri" w:cs="Times New Roman"/>
          <w:noProof/>
          <w:szCs w:val="24"/>
        </w:rPr>
        <w:t xml:space="preserve">, </w:t>
      </w:r>
      <w:r w:rsidR="008264CF" w:rsidRPr="008264CF">
        <w:rPr>
          <w:rFonts w:ascii="Calibri" w:hAnsi="Calibri" w:cs="Times New Roman"/>
          <w:b/>
          <w:bCs/>
          <w:noProof/>
          <w:szCs w:val="24"/>
        </w:rPr>
        <w:t>10</w:t>
      </w:r>
      <w:r w:rsidR="008264CF" w:rsidRPr="008264CF">
        <w:rPr>
          <w:rFonts w:ascii="Calibri" w:hAnsi="Calibri" w:cs="Times New Roman"/>
          <w:noProof/>
          <w:szCs w:val="24"/>
        </w:rPr>
        <w:t>, 1220–1230.</w:t>
      </w:r>
    </w:p>
    <w:p w:rsidR="008264CF" w:rsidRPr="008264CF" w:rsidRDefault="008264CF" w:rsidP="008264CF">
      <w:pPr>
        <w:widowControl w:val="0"/>
        <w:autoSpaceDE w:val="0"/>
        <w:autoSpaceDN w:val="0"/>
        <w:adjustRightInd w:val="0"/>
        <w:spacing w:after="140" w:line="240" w:lineRule="auto"/>
        <w:ind w:left="480" w:hanging="480"/>
        <w:rPr>
          <w:rFonts w:ascii="Calibri" w:hAnsi="Calibri" w:cs="Times New Roman"/>
          <w:noProof/>
          <w:szCs w:val="24"/>
        </w:rPr>
      </w:pPr>
      <w:r w:rsidRPr="008264CF">
        <w:rPr>
          <w:rFonts w:ascii="Calibri" w:hAnsi="Calibri" w:cs="Times New Roman"/>
          <w:noProof/>
          <w:szCs w:val="24"/>
        </w:rPr>
        <w:t xml:space="preserve">Ammer, C., Stimm, B. &amp; Mosandl, R. (2008) Ontogenetic variation in the relative influence of light and belowground resources on European beech seedling growth. </w:t>
      </w:r>
      <w:r w:rsidRPr="008264CF">
        <w:rPr>
          <w:rFonts w:ascii="Calibri" w:hAnsi="Calibri" w:cs="Times New Roman"/>
          <w:i/>
          <w:iCs/>
          <w:noProof/>
          <w:szCs w:val="24"/>
        </w:rPr>
        <w:t>Tree Physiology</w:t>
      </w:r>
      <w:r w:rsidRPr="008264CF">
        <w:rPr>
          <w:rFonts w:ascii="Calibri" w:hAnsi="Calibri" w:cs="Times New Roman"/>
          <w:noProof/>
          <w:szCs w:val="24"/>
        </w:rPr>
        <w:t xml:space="preserve">, </w:t>
      </w:r>
      <w:r w:rsidRPr="008264CF">
        <w:rPr>
          <w:rFonts w:ascii="Calibri" w:hAnsi="Calibri" w:cs="Times New Roman"/>
          <w:b/>
          <w:bCs/>
          <w:noProof/>
          <w:szCs w:val="24"/>
        </w:rPr>
        <w:t>28</w:t>
      </w:r>
      <w:r w:rsidRPr="008264CF">
        <w:rPr>
          <w:rFonts w:ascii="Calibri" w:hAnsi="Calibri" w:cs="Times New Roman"/>
          <w:noProof/>
          <w:szCs w:val="24"/>
        </w:rPr>
        <w:t>, 721–728.</w:t>
      </w:r>
    </w:p>
    <w:p w:rsidR="008264CF" w:rsidRPr="008264CF" w:rsidRDefault="008264CF" w:rsidP="008264CF">
      <w:pPr>
        <w:widowControl w:val="0"/>
        <w:autoSpaceDE w:val="0"/>
        <w:autoSpaceDN w:val="0"/>
        <w:adjustRightInd w:val="0"/>
        <w:spacing w:after="140" w:line="240" w:lineRule="auto"/>
        <w:ind w:left="480" w:hanging="480"/>
        <w:rPr>
          <w:rFonts w:ascii="Calibri" w:hAnsi="Calibri" w:cs="Times New Roman"/>
          <w:noProof/>
          <w:szCs w:val="24"/>
        </w:rPr>
      </w:pPr>
      <w:r w:rsidRPr="008264CF">
        <w:rPr>
          <w:rFonts w:ascii="Calibri" w:hAnsi="Calibri" w:cs="Times New Roman"/>
          <w:noProof/>
          <w:szCs w:val="24"/>
        </w:rPr>
        <w:t xml:space="preserve">Barlow, J. &amp; Peres, C.A. (2008) Fire-mediated dieback and compositional cascade in an Amazonian forest. </w:t>
      </w:r>
      <w:r w:rsidRPr="008264CF">
        <w:rPr>
          <w:rFonts w:ascii="Calibri" w:hAnsi="Calibri" w:cs="Times New Roman"/>
          <w:i/>
          <w:iCs/>
          <w:noProof/>
          <w:szCs w:val="24"/>
        </w:rPr>
        <w:t>Philosophical Transactions of the Royal Society B: Biological Sciences</w:t>
      </w:r>
      <w:r w:rsidRPr="008264CF">
        <w:rPr>
          <w:rFonts w:ascii="Calibri" w:hAnsi="Calibri" w:cs="Times New Roman"/>
          <w:noProof/>
          <w:szCs w:val="24"/>
        </w:rPr>
        <w:t xml:space="preserve">, </w:t>
      </w:r>
      <w:r w:rsidRPr="008264CF">
        <w:rPr>
          <w:rFonts w:ascii="Calibri" w:hAnsi="Calibri" w:cs="Times New Roman"/>
          <w:b/>
          <w:bCs/>
          <w:noProof/>
          <w:szCs w:val="24"/>
        </w:rPr>
        <w:t>363</w:t>
      </w:r>
      <w:r w:rsidRPr="008264CF">
        <w:rPr>
          <w:rFonts w:ascii="Calibri" w:hAnsi="Calibri" w:cs="Times New Roman"/>
          <w:noProof/>
          <w:szCs w:val="24"/>
        </w:rPr>
        <w:t>, 1787–1794.</w:t>
      </w:r>
    </w:p>
    <w:p w:rsidR="008264CF" w:rsidRPr="008264CF" w:rsidRDefault="008264CF" w:rsidP="008264CF">
      <w:pPr>
        <w:widowControl w:val="0"/>
        <w:autoSpaceDE w:val="0"/>
        <w:autoSpaceDN w:val="0"/>
        <w:adjustRightInd w:val="0"/>
        <w:spacing w:after="140" w:line="240" w:lineRule="auto"/>
        <w:ind w:left="480" w:hanging="480"/>
        <w:rPr>
          <w:rFonts w:ascii="Calibri" w:hAnsi="Calibri" w:cs="Times New Roman"/>
          <w:noProof/>
          <w:szCs w:val="24"/>
        </w:rPr>
      </w:pPr>
      <w:r w:rsidRPr="008264CF">
        <w:rPr>
          <w:rFonts w:ascii="Calibri" w:hAnsi="Calibri" w:cs="Times New Roman"/>
          <w:noProof/>
          <w:szCs w:val="24"/>
        </w:rPr>
        <w:t>Barton, K. (2014) MuMIn: Multi-model inference.</w:t>
      </w:r>
    </w:p>
    <w:p w:rsidR="008264CF" w:rsidRPr="008264CF" w:rsidRDefault="008264CF" w:rsidP="008264CF">
      <w:pPr>
        <w:widowControl w:val="0"/>
        <w:autoSpaceDE w:val="0"/>
        <w:autoSpaceDN w:val="0"/>
        <w:adjustRightInd w:val="0"/>
        <w:spacing w:after="140" w:line="240" w:lineRule="auto"/>
        <w:ind w:left="480" w:hanging="480"/>
        <w:rPr>
          <w:rFonts w:ascii="Calibri" w:hAnsi="Calibri" w:cs="Times New Roman"/>
          <w:noProof/>
          <w:szCs w:val="24"/>
        </w:rPr>
      </w:pPr>
      <w:r w:rsidRPr="008264CF">
        <w:rPr>
          <w:rFonts w:ascii="Calibri" w:hAnsi="Calibri" w:cs="Times New Roman"/>
          <w:noProof/>
          <w:szCs w:val="24"/>
        </w:rPr>
        <w:t xml:space="preserve">Bates, D., Maechler, M., Bolker, B. &amp; Walker, S. (2014) lme4: Linear mixed-effects models using Eigen and S4. </w:t>
      </w:r>
      <w:r w:rsidRPr="008264CF">
        <w:rPr>
          <w:rFonts w:ascii="Calibri" w:hAnsi="Calibri" w:cs="Times New Roman"/>
          <w:i/>
          <w:iCs/>
          <w:noProof/>
          <w:szCs w:val="24"/>
        </w:rPr>
        <w:t>ArXiv</w:t>
      </w:r>
      <w:r w:rsidRPr="008264CF">
        <w:rPr>
          <w:rFonts w:ascii="Calibri" w:hAnsi="Calibri" w:cs="Times New Roman"/>
          <w:noProof/>
          <w:szCs w:val="24"/>
        </w:rPr>
        <w:t>.</w:t>
      </w:r>
    </w:p>
    <w:p w:rsidR="008264CF" w:rsidRPr="008264CF" w:rsidRDefault="008264CF" w:rsidP="008264CF">
      <w:pPr>
        <w:widowControl w:val="0"/>
        <w:autoSpaceDE w:val="0"/>
        <w:autoSpaceDN w:val="0"/>
        <w:adjustRightInd w:val="0"/>
        <w:spacing w:after="140" w:line="240" w:lineRule="auto"/>
        <w:ind w:left="480" w:hanging="480"/>
        <w:rPr>
          <w:rFonts w:ascii="Calibri" w:hAnsi="Calibri" w:cs="Times New Roman"/>
          <w:noProof/>
          <w:szCs w:val="24"/>
        </w:rPr>
      </w:pPr>
      <w:r w:rsidRPr="008264CF">
        <w:rPr>
          <w:rFonts w:ascii="Calibri" w:hAnsi="Calibri" w:cs="Times New Roman"/>
          <w:noProof/>
          <w:szCs w:val="24"/>
        </w:rPr>
        <w:t xml:space="preserve">Bender, E.A., Case, T.J. &amp; Gilpin, M.E. (1984) Perturbation Experiments in Community Ecology: Theory and Practice. </w:t>
      </w:r>
      <w:r w:rsidRPr="008264CF">
        <w:rPr>
          <w:rFonts w:ascii="Calibri" w:hAnsi="Calibri" w:cs="Times New Roman"/>
          <w:i/>
          <w:iCs/>
          <w:noProof/>
          <w:szCs w:val="24"/>
        </w:rPr>
        <w:t>Ecology</w:t>
      </w:r>
      <w:r w:rsidRPr="008264CF">
        <w:rPr>
          <w:rFonts w:ascii="Calibri" w:hAnsi="Calibri" w:cs="Times New Roman"/>
          <w:noProof/>
          <w:szCs w:val="24"/>
        </w:rPr>
        <w:t xml:space="preserve">, </w:t>
      </w:r>
      <w:r w:rsidRPr="008264CF">
        <w:rPr>
          <w:rFonts w:ascii="Calibri" w:hAnsi="Calibri" w:cs="Times New Roman"/>
          <w:b/>
          <w:bCs/>
          <w:noProof/>
          <w:szCs w:val="24"/>
        </w:rPr>
        <w:t>65</w:t>
      </w:r>
      <w:r w:rsidRPr="008264CF">
        <w:rPr>
          <w:rFonts w:ascii="Calibri" w:hAnsi="Calibri" w:cs="Times New Roman"/>
          <w:noProof/>
          <w:szCs w:val="24"/>
        </w:rPr>
        <w:t>, 1.</w:t>
      </w:r>
    </w:p>
    <w:p w:rsidR="008264CF" w:rsidRPr="008264CF" w:rsidRDefault="008264CF" w:rsidP="008264CF">
      <w:pPr>
        <w:widowControl w:val="0"/>
        <w:autoSpaceDE w:val="0"/>
        <w:autoSpaceDN w:val="0"/>
        <w:adjustRightInd w:val="0"/>
        <w:spacing w:after="140" w:line="240" w:lineRule="auto"/>
        <w:ind w:left="480" w:hanging="480"/>
        <w:rPr>
          <w:rFonts w:ascii="Calibri" w:hAnsi="Calibri" w:cs="Times New Roman"/>
          <w:noProof/>
          <w:szCs w:val="24"/>
        </w:rPr>
      </w:pPr>
      <w:r w:rsidRPr="008264CF">
        <w:rPr>
          <w:rFonts w:ascii="Calibri" w:hAnsi="Calibri" w:cs="Times New Roman"/>
          <w:noProof/>
          <w:szCs w:val="24"/>
        </w:rPr>
        <w:t xml:space="preserve">Burnham, K.P. &amp; Anderson, D.R. (2002) </w:t>
      </w:r>
      <w:r w:rsidRPr="008264CF">
        <w:rPr>
          <w:rFonts w:ascii="Calibri" w:hAnsi="Calibri" w:cs="Times New Roman"/>
          <w:i/>
          <w:iCs/>
          <w:noProof/>
          <w:szCs w:val="24"/>
        </w:rPr>
        <w:t>Model Selection and Multimodel Inference: A Practical Information-Theoretic Approach</w:t>
      </w:r>
      <w:r w:rsidRPr="008264CF">
        <w:rPr>
          <w:rFonts w:ascii="Calibri" w:hAnsi="Calibri" w:cs="Times New Roman"/>
          <w:noProof/>
          <w:szCs w:val="24"/>
        </w:rPr>
        <w:t>.</w:t>
      </w:r>
    </w:p>
    <w:p w:rsidR="008264CF" w:rsidRPr="008264CF" w:rsidRDefault="008264CF" w:rsidP="008264CF">
      <w:pPr>
        <w:widowControl w:val="0"/>
        <w:autoSpaceDE w:val="0"/>
        <w:autoSpaceDN w:val="0"/>
        <w:adjustRightInd w:val="0"/>
        <w:spacing w:after="140" w:line="240" w:lineRule="auto"/>
        <w:ind w:left="480" w:hanging="480"/>
        <w:rPr>
          <w:rFonts w:ascii="Calibri" w:hAnsi="Calibri" w:cs="Times New Roman"/>
          <w:noProof/>
          <w:szCs w:val="24"/>
        </w:rPr>
      </w:pPr>
      <w:r w:rsidRPr="008264CF">
        <w:rPr>
          <w:rFonts w:ascii="Calibri" w:hAnsi="Calibri" w:cs="Times New Roman"/>
          <w:noProof/>
          <w:szCs w:val="24"/>
        </w:rPr>
        <w:t xml:space="preserve">Burrows, M.T., Schoeman, D.S., Buckley, L.B., Moore, P., Poloczanska, E.S., Brander, K.M., Brown, C., Bruno, J.F., Duarte, C.M., Halpern, B.S., Holding, J., Kappel, C. V., Kiessling, W., O’Connor, M.I., Pandolfi, J.M., Parmesan, C., Schwing, F.B., Sydeman, W.J. &amp; Richardson,  a. J. (2011) The Pace of Shifting Climate in Marine and Terrestrial Ecosystems. </w:t>
      </w:r>
      <w:r w:rsidRPr="008264CF">
        <w:rPr>
          <w:rFonts w:ascii="Calibri" w:hAnsi="Calibri" w:cs="Times New Roman"/>
          <w:i/>
          <w:iCs/>
          <w:noProof/>
          <w:szCs w:val="24"/>
        </w:rPr>
        <w:t>Science</w:t>
      </w:r>
      <w:r w:rsidRPr="008264CF">
        <w:rPr>
          <w:rFonts w:ascii="Calibri" w:hAnsi="Calibri" w:cs="Times New Roman"/>
          <w:noProof/>
          <w:szCs w:val="24"/>
        </w:rPr>
        <w:t xml:space="preserve">, </w:t>
      </w:r>
      <w:r w:rsidRPr="008264CF">
        <w:rPr>
          <w:rFonts w:ascii="Calibri" w:hAnsi="Calibri" w:cs="Times New Roman"/>
          <w:b/>
          <w:bCs/>
          <w:noProof/>
          <w:szCs w:val="24"/>
        </w:rPr>
        <w:t>334</w:t>
      </w:r>
      <w:r w:rsidRPr="008264CF">
        <w:rPr>
          <w:rFonts w:ascii="Calibri" w:hAnsi="Calibri" w:cs="Times New Roman"/>
          <w:noProof/>
          <w:szCs w:val="24"/>
        </w:rPr>
        <w:t>, 652–655.</w:t>
      </w:r>
    </w:p>
    <w:p w:rsidR="008264CF" w:rsidRPr="008264CF" w:rsidRDefault="008264CF" w:rsidP="008264CF">
      <w:pPr>
        <w:widowControl w:val="0"/>
        <w:autoSpaceDE w:val="0"/>
        <w:autoSpaceDN w:val="0"/>
        <w:adjustRightInd w:val="0"/>
        <w:spacing w:after="140" w:line="240" w:lineRule="auto"/>
        <w:ind w:left="480" w:hanging="480"/>
        <w:rPr>
          <w:rFonts w:ascii="Calibri" w:hAnsi="Calibri" w:cs="Times New Roman"/>
          <w:noProof/>
          <w:szCs w:val="24"/>
        </w:rPr>
      </w:pPr>
      <w:r w:rsidRPr="008264CF">
        <w:rPr>
          <w:rFonts w:ascii="Calibri" w:hAnsi="Calibri" w:cs="Times New Roman"/>
          <w:noProof/>
          <w:szCs w:val="24"/>
        </w:rPr>
        <w:t xml:space="preserve">Cavin, L., Mountford, E.P., Peterken, G.F. &amp; Jump, A.S. (2013) Extreme drought alters competitive dominance within and between tree species in a mixed forest stand (ed D Whitehead). </w:t>
      </w:r>
      <w:r w:rsidRPr="008264CF">
        <w:rPr>
          <w:rFonts w:ascii="Calibri" w:hAnsi="Calibri" w:cs="Times New Roman"/>
          <w:i/>
          <w:iCs/>
          <w:noProof/>
          <w:szCs w:val="24"/>
        </w:rPr>
        <w:t>Functional Ecology</w:t>
      </w:r>
      <w:r w:rsidRPr="008264CF">
        <w:rPr>
          <w:rFonts w:ascii="Calibri" w:hAnsi="Calibri" w:cs="Times New Roman"/>
          <w:noProof/>
          <w:szCs w:val="24"/>
        </w:rPr>
        <w:t xml:space="preserve">, </w:t>
      </w:r>
      <w:r w:rsidRPr="008264CF">
        <w:rPr>
          <w:rFonts w:ascii="Calibri" w:hAnsi="Calibri" w:cs="Times New Roman"/>
          <w:b/>
          <w:bCs/>
          <w:noProof/>
          <w:szCs w:val="24"/>
        </w:rPr>
        <w:t>27</w:t>
      </w:r>
      <w:r w:rsidRPr="008264CF">
        <w:rPr>
          <w:rFonts w:ascii="Calibri" w:hAnsi="Calibri" w:cs="Times New Roman"/>
          <w:noProof/>
          <w:szCs w:val="24"/>
        </w:rPr>
        <w:t>, 1424–1435.</w:t>
      </w:r>
    </w:p>
    <w:p w:rsidR="008264CF" w:rsidRPr="008264CF" w:rsidRDefault="008264CF" w:rsidP="008264CF">
      <w:pPr>
        <w:widowControl w:val="0"/>
        <w:autoSpaceDE w:val="0"/>
        <w:autoSpaceDN w:val="0"/>
        <w:adjustRightInd w:val="0"/>
        <w:spacing w:after="140" w:line="240" w:lineRule="auto"/>
        <w:ind w:left="480" w:hanging="480"/>
        <w:rPr>
          <w:rFonts w:ascii="Calibri" w:hAnsi="Calibri" w:cs="Times New Roman"/>
          <w:noProof/>
          <w:szCs w:val="24"/>
        </w:rPr>
      </w:pPr>
      <w:r w:rsidRPr="008264CF">
        <w:rPr>
          <w:rFonts w:ascii="Calibri" w:hAnsi="Calibri" w:cs="Times New Roman"/>
          <w:noProof/>
          <w:szCs w:val="24"/>
        </w:rPr>
        <w:t xml:space="preserve">Chao, K.J., Phillips, O.L., Gloor, E., Monteagudo, A., Torres-Lezama, A. &amp; Martínez, R.V. (2008) Growth and wood density predict tree mortality in Amazon forests. </w:t>
      </w:r>
      <w:r w:rsidRPr="008264CF">
        <w:rPr>
          <w:rFonts w:ascii="Calibri" w:hAnsi="Calibri" w:cs="Times New Roman"/>
          <w:i/>
          <w:iCs/>
          <w:noProof/>
          <w:szCs w:val="24"/>
        </w:rPr>
        <w:t>Journal of Ecology</w:t>
      </w:r>
      <w:r w:rsidRPr="008264CF">
        <w:rPr>
          <w:rFonts w:ascii="Calibri" w:hAnsi="Calibri" w:cs="Times New Roman"/>
          <w:noProof/>
          <w:szCs w:val="24"/>
        </w:rPr>
        <w:t xml:space="preserve">, </w:t>
      </w:r>
      <w:r w:rsidRPr="008264CF">
        <w:rPr>
          <w:rFonts w:ascii="Calibri" w:hAnsi="Calibri" w:cs="Times New Roman"/>
          <w:b/>
          <w:bCs/>
          <w:noProof/>
          <w:szCs w:val="24"/>
        </w:rPr>
        <w:t>96</w:t>
      </w:r>
      <w:r w:rsidRPr="008264CF">
        <w:rPr>
          <w:rFonts w:ascii="Calibri" w:hAnsi="Calibri" w:cs="Times New Roman"/>
          <w:noProof/>
          <w:szCs w:val="24"/>
        </w:rPr>
        <w:t>, 281–292.</w:t>
      </w:r>
    </w:p>
    <w:p w:rsidR="008264CF" w:rsidRPr="008264CF" w:rsidRDefault="008264CF" w:rsidP="008264CF">
      <w:pPr>
        <w:widowControl w:val="0"/>
        <w:autoSpaceDE w:val="0"/>
        <w:autoSpaceDN w:val="0"/>
        <w:adjustRightInd w:val="0"/>
        <w:spacing w:after="140" w:line="240" w:lineRule="auto"/>
        <w:ind w:left="480" w:hanging="480"/>
        <w:rPr>
          <w:rFonts w:ascii="Calibri" w:hAnsi="Calibri" w:cs="Times New Roman"/>
          <w:noProof/>
          <w:szCs w:val="24"/>
        </w:rPr>
      </w:pPr>
      <w:r w:rsidRPr="008264CF">
        <w:rPr>
          <w:rFonts w:ascii="Calibri" w:hAnsi="Calibri" w:cs="Times New Roman"/>
          <w:noProof/>
          <w:szCs w:val="24"/>
        </w:rPr>
        <w:t xml:space="preserve">Collet, C., Lantera, O. &amp; Pardos, M. (2001) Effects of canopy opening on height and diameter growth. </w:t>
      </w:r>
      <w:r w:rsidRPr="008264CF">
        <w:rPr>
          <w:rFonts w:ascii="Calibri" w:hAnsi="Calibri" w:cs="Times New Roman"/>
          <w:i/>
          <w:iCs/>
          <w:noProof/>
          <w:szCs w:val="24"/>
        </w:rPr>
        <w:t>Annuals of forest science</w:t>
      </w:r>
      <w:r w:rsidRPr="008264CF">
        <w:rPr>
          <w:rFonts w:ascii="Calibri" w:hAnsi="Calibri" w:cs="Times New Roman"/>
          <w:noProof/>
          <w:szCs w:val="24"/>
        </w:rPr>
        <w:t xml:space="preserve">, </w:t>
      </w:r>
      <w:r w:rsidRPr="008264CF">
        <w:rPr>
          <w:rFonts w:ascii="Calibri" w:hAnsi="Calibri" w:cs="Times New Roman"/>
          <w:b/>
          <w:bCs/>
          <w:noProof/>
          <w:szCs w:val="24"/>
        </w:rPr>
        <w:t>58</w:t>
      </w:r>
      <w:r w:rsidRPr="008264CF">
        <w:rPr>
          <w:rFonts w:ascii="Calibri" w:hAnsi="Calibri" w:cs="Times New Roman"/>
          <w:noProof/>
          <w:szCs w:val="24"/>
        </w:rPr>
        <w:t>, 127–134.</w:t>
      </w:r>
    </w:p>
    <w:p w:rsidR="008264CF" w:rsidRPr="008264CF" w:rsidRDefault="008264CF" w:rsidP="008264CF">
      <w:pPr>
        <w:widowControl w:val="0"/>
        <w:autoSpaceDE w:val="0"/>
        <w:autoSpaceDN w:val="0"/>
        <w:adjustRightInd w:val="0"/>
        <w:spacing w:after="140" w:line="240" w:lineRule="auto"/>
        <w:ind w:left="480" w:hanging="480"/>
        <w:rPr>
          <w:rFonts w:ascii="Calibri" w:hAnsi="Calibri" w:cs="Times New Roman"/>
          <w:noProof/>
          <w:szCs w:val="24"/>
        </w:rPr>
      </w:pPr>
      <w:r w:rsidRPr="008264CF">
        <w:rPr>
          <w:rFonts w:ascii="Calibri" w:hAnsi="Calibri" w:cs="Times New Roman"/>
          <w:noProof/>
          <w:szCs w:val="24"/>
        </w:rPr>
        <w:t xml:space="preserve">Coomes, D. a. &amp; Allen, R.B. (2007) Mortality and tree-size distributions in natural mixed-age forests. </w:t>
      </w:r>
      <w:r w:rsidRPr="008264CF">
        <w:rPr>
          <w:rFonts w:ascii="Calibri" w:hAnsi="Calibri" w:cs="Times New Roman"/>
          <w:i/>
          <w:iCs/>
          <w:noProof/>
          <w:szCs w:val="24"/>
        </w:rPr>
        <w:t>Journal of Ecology</w:t>
      </w:r>
      <w:r w:rsidRPr="008264CF">
        <w:rPr>
          <w:rFonts w:ascii="Calibri" w:hAnsi="Calibri" w:cs="Times New Roman"/>
          <w:noProof/>
          <w:szCs w:val="24"/>
        </w:rPr>
        <w:t xml:space="preserve">, </w:t>
      </w:r>
      <w:r w:rsidRPr="008264CF">
        <w:rPr>
          <w:rFonts w:ascii="Calibri" w:hAnsi="Calibri" w:cs="Times New Roman"/>
          <w:b/>
          <w:bCs/>
          <w:noProof/>
          <w:szCs w:val="24"/>
        </w:rPr>
        <w:t>95</w:t>
      </w:r>
      <w:r w:rsidRPr="008264CF">
        <w:rPr>
          <w:rFonts w:ascii="Calibri" w:hAnsi="Calibri" w:cs="Times New Roman"/>
          <w:noProof/>
          <w:szCs w:val="24"/>
        </w:rPr>
        <w:t>, 27–40.</w:t>
      </w:r>
    </w:p>
    <w:p w:rsidR="008264CF" w:rsidRPr="008264CF" w:rsidRDefault="008264CF" w:rsidP="008264CF">
      <w:pPr>
        <w:widowControl w:val="0"/>
        <w:autoSpaceDE w:val="0"/>
        <w:autoSpaceDN w:val="0"/>
        <w:adjustRightInd w:val="0"/>
        <w:spacing w:after="140" w:line="240" w:lineRule="auto"/>
        <w:ind w:left="480" w:hanging="480"/>
        <w:rPr>
          <w:rFonts w:ascii="Calibri" w:hAnsi="Calibri" w:cs="Times New Roman"/>
          <w:noProof/>
          <w:szCs w:val="24"/>
        </w:rPr>
      </w:pPr>
      <w:r w:rsidRPr="008264CF">
        <w:rPr>
          <w:rFonts w:ascii="Calibri" w:hAnsi="Calibri" w:cs="Times New Roman"/>
          <w:noProof/>
          <w:szCs w:val="24"/>
        </w:rPr>
        <w:t xml:space="preserve">Coomes, D. a., Duncan, R.P., Allen, R.B. &amp; Truscott, J. (2003) Disturbances prevent stem size-density </w:t>
      </w:r>
      <w:r w:rsidRPr="008264CF">
        <w:rPr>
          <w:rFonts w:ascii="Calibri" w:hAnsi="Calibri" w:cs="Times New Roman"/>
          <w:noProof/>
          <w:szCs w:val="24"/>
        </w:rPr>
        <w:lastRenderedPageBreak/>
        <w:t xml:space="preserve">distributions in natural forests from following scaling relationships. </w:t>
      </w:r>
      <w:r w:rsidRPr="008264CF">
        <w:rPr>
          <w:rFonts w:ascii="Calibri" w:hAnsi="Calibri" w:cs="Times New Roman"/>
          <w:i/>
          <w:iCs/>
          <w:noProof/>
          <w:szCs w:val="24"/>
        </w:rPr>
        <w:t>Ecology Letters</w:t>
      </w:r>
      <w:r w:rsidRPr="008264CF">
        <w:rPr>
          <w:rFonts w:ascii="Calibri" w:hAnsi="Calibri" w:cs="Times New Roman"/>
          <w:noProof/>
          <w:szCs w:val="24"/>
        </w:rPr>
        <w:t xml:space="preserve">, </w:t>
      </w:r>
      <w:r w:rsidRPr="008264CF">
        <w:rPr>
          <w:rFonts w:ascii="Calibri" w:hAnsi="Calibri" w:cs="Times New Roman"/>
          <w:b/>
          <w:bCs/>
          <w:noProof/>
          <w:szCs w:val="24"/>
        </w:rPr>
        <w:t>6</w:t>
      </w:r>
      <w:r w:rsidRPr="008264CF">
        <w:rPr>
          <w:rFonts w:ascii="Calibri" w:hAnsi="Calibri" w:cs="Times New Roman"/>
          <w:noProof/>
          <w:szCs w:val="24"/>
        </w:rPr>
        <w:t>, 980–989.</w:t>
      </w:r>
    </w:p>
    <w:p w:rsidR="008264CF" w:rsidRPr="008264CF" w:rsidRDefault="008264CF" w:rsidP="008264CF">
      <w:pPr>
        <w:widowControl w:val="0"/>
        <w:autoSpaceDE w:val="0"/>
        <w:autoSpaceDN w:val="0"/>
        <w:adjustRightInd w:val="0"/>
        <w:spacing w:after="140" w:line="240" w:lineRule="auto"/>
        <w:ind w:left="480" w:hanging="480"/>
        <w:rPr>
          <w:rFonts w:ascii="Calibri" w:hAnsi="Calibri" w:cs="Times New Roman"/>
          <w:noProof/>
          <w:szCs w:val="24"/>
        </w:rPr>
      </w:pPr>
      <w:r w:rsidRPr="008264CF">
        <w:rPr>
          <w:rFonts w:ascii="Calibri" w:hAnsi="Calibri" w:cs="Times New Roman"/>
          <w:noProof/>
          <w:szCs w:val="24"/>
        </w:rPr>
        <w:t xml:space="preserve">Davidson, C. (2000) Economic Growth and the Environment:Alternatives to the Limits Paradigm. </w:t>
      </w:r>
      <w:r w:rsidRPr="008264CF">
        <w:rPr>
          <w:rFonts w:ascii="Calibri" w:hAnsi="Calibri" w:cs="Times New Roman"/>
          <w:i/>
          <w:iCs/>
          <w:noProof/>
          <w:szCs w:val="24"/>
        </w:rPr>
        <w:t>BioScience</w:t>
      </w:r>
      <w:r w:rsidRPr="008264CF">
        <w:rPr>
          <w:rFonts w:ascii="Calibri" w:hAnsi="Calibri" w:cs="Times New Roman"/>
          <w:noProof/>
          <w:szCs w:val="24"/>
        </w:rPr>
        <w:t xml:space="preserve">, </w:t>
      </w:r>
      <w:r w:rsidRPr="008264CF">
        <w:rPr>
          <w:rFonts w:ascii="Calibri" w:hAnsi="Calibri" w:cs="Times New Roman"/>
          <w:b/>
          <w:bCs/>
          <w:noProof/>
          <w:szCs w:val="24"/>
        </w:rPr>
        <w:t>50</w:t>
      </w:r>
      <w:r w:rsidRPr="008264CF">
        <w:rPr>
          <w:rFonts w:ascii="Calibri" w:hAnsi="Calibri" w:cs="Times New Roman"/>
          <w:noProof/>
          <w:szCs w:val="24"/>
        </w:rPr>
        <w:t>, 433.</w:t>
      </w:r>
    </w:p>
    <w:p w:rsidR="008264CF" w:rsidRPr="008264CF" w:rsidRDefault="008264CF" w:rsidP="008264CF">
      <w:pPr>
        <w:widowControl w:val="0"/>
        <w:autoSpaceDE w:val="0"/>
        <w:autoSpaceDN w:val="0"/>
        <w:adjustRightInd w:val="0"/>
        <w:spacing w:after="140" w:line="240" w:lineRule="auto"/>
        <w:ind w:left="480" w:hanging="480"/>
        <w:rPr>
          <w:rFonts w:ascii="Calibri" w:hAnsi="Calibri" w:cs="Times New Roman"/>
          <w:noProof/>
          <w:szCs w:val="24"/>
        </w:rPr>
      </w:pPr>
      <w:r w:rsidRPr="008264CF">
        <w:rPr>
          <w:rFonts w:ascii="Calibri" w:hAnsi="Calibri" w:cs="Times New Roman"/>
          <w:noProof/>
          <w:szCs w:val="24"/>
        </w:rPr>
        <w:t xml:space="preserve">Duwyn, A. &amp; MacDougall, A.S. (2015) When anthropogenic-related disturbances overwhelm demographic persistence mechanisms. </w:t>
      </w:r>
      <w:r w:rsidRPr="008264CF">
        <w:rPr>
          <w:rFonts w:ascii="Calibri" w:hAnsi="Calibri" w:cs="Times New Roman"/>
          <w:i/>
          <w:iCs/>
          <w:noProof/>
          <w:szCs w:val="24"/>
        </w:rPr>
        <w:t>Journal of Ecology</w:t>
      </w:r>
      <w:r w:rsidRPr="008264CF">
        <w:rPr>
          <w:rFonts w:ascii="Calibri" w:hAnsi="Calibri" w:cs="Times New Roman"/>
          <w:noProof/>
          <w:szCs w:val="24"/>
        </w:rPr>
        <w:t>, n/a–n/a.</w:t>
      </w:r>
    </w:p>
    <w:p w:rsidR="008264CF" w:rsidRPr="008264CF" w:rsidRDefault="008264CF" w:rsidP="008264CF">
      <w:pPr>
        <w:widowControl w:val="0"/>
        <w:autoSpaceDE w:val="0"/>
        <w:autoSpaceDN w:val="0"/>
        <w:adjustRightInd w:val="0"/>
        <w:spacing w:after="140" w:line="240" w:lineRule="auto"/>
        <w:ind w:left="480" w:hanging="480"/>
        <w:rPr>
          <w:rFonts w:ascii="Calibri" w:hAnsi="Calibri" w:cs="Times New Roman"/>
          <w:noProof/>
          <w:szCs w:val="24"/>
        </w:rPr>
      </w:pPr>
      <w:r w:rsidRPr="008264CF">
        <w:rPr>
          <w:rFonts w:ascii="Calibri" w:hAnsi="Calibri" w:cs="Times New Roman"/>
          <w:noProof/>
          <w:szCs w:val="24"/>
        </w:rPr>
        <w:t xml:space="preserve">Flory, S.L., Clay, K., Emery, S.M., Robb, J.R. &amp; Winters, B. (2015) Fire and non-native grass invasion interact to suppress tree regeneration in temperate deciduous forests. </w:t>
      </w:r>
      <w:r w:rsidRPr="008264CF">
        <w:rPr>
          <w:rFonts w:ascii="Calibri" w:hAnsi="Calibri" w:cs="Times New Roman"/>
          <w:i/>
          <w:iCs/>
          <w:noProof/>
          <w:szCs w:val="24"/>
        </w:rPr>
        <w:t>Journal of Applied Ecology</w:t>
      </w:r>
      <w:r w:rsidRPr="008264CF">
        <w:rPr>
          <w:rFonts w:ascii="Calibri" w:hAnsi="Calibri" w:cs="Times New Roman"/>
          <w:noProof/>
          <w:szCs w:val="24"/>
        </w:rPr>
        <w:t xml:space="preserve">, </w:t>
      </w:r>
      <w:r w:rsidRPr="008264CF">
        <w:rPr>
          <w:rFonts w:ascii="Calibri" w:hAnsi="Calibri" w:cs="Times New Roman"/>
          <w:b/>
          <w:bCs/>
          <w:noProof/>
          <w:szCs w:val="24"/>
        </w:rPr>
        <w:t>52</w:t>
      </w:r>
      <w:r w:rsidRPr="008264CF">
        <w:rPr>
          <w:rFonts w:ascii="Calibri" w:hAnsi="Calibri" w:cs="Times New Roman"/>
          <w:noProof/>
          <w:szCs w:val="24"/>
        </w:rPr>
        <w:t>, 992–1000.</w:t>
      </w:r>
    </w:p>
    <w:p w:rsidR="008264CF" w:rsidRPr="008264CF" w:rsidRDefault="008264CF" w:rsidP="008264CF">
      <w:pPr>
        <w:widowControl w:val="0"/>
        <w:autoSpaceDE w:val="0"/>
        <w:autoSpaceDN w:val="0"/>
        <w:adjustRightInd w:val="0"/>
        <w:spacing w:after="140" w:line="240" w:lineRule="auto"/>
        <w:ind w:left="480" w:hanging="480"/>
        <w:rPr>
          <w:rFonts w:ascii="Calibri" w:hAnsi="Calibri" w:cs="Times New Roman"/>
          <w:noProof/>
          <w:szCs w:val="24"/>
        </w:rPr>
      </w:pPr>
      <w:r w:rsidRPr="008264CF">
        <w:rPr>
          <w:rFonts w:ascii="Calibri" w:hAnsi="Calibri" w:cs="Times New Roman"/>
          <w:noProof/>
          <w:szCs w:val="24"/>
        </w:rPr>
        <w:t xml:space="preserve">Folke, C., Carpenter, S.R., Walker, B., Scheffer, M., Chapin, T. &amp; Rockström, J. (2010) Resilience thinking: Integrating resilience, adaptability and transformability. </w:t>
      </w:r>
      <w:r w:rsidRPr="008264CF">
        <w:rPr>
          <w:rFonts w:ascii="Calibri" w:hAnsi="Calibri" w:cs="Times New Roman"/>
          <w:i/>
          <w:iCs/>
          <w:noProof/>
          <w:szCs w:val="24"/>
        </w:rPr>
        <w:t>Ecology and Society</w:t>
      </w:r>
      <w:r w:rsidRPr="008264CF">
        <w:rPr>
          <w:rFonts w:ascii="Calibri" w:hAnsi="Calibri" w:cs="Times New Roman"/>
          <w:noProof/>
          <w:szCs w:val="24"/>
        </w:rPr>
        <w:t xml:space="preserve">, </w:t>
      </w:r>
      <w:r w:rsidRPr="008264CF">
        <w:rPr>
          <w:rFonts w:ascii="Calibri" w:hAnsi="Calibri" w:cs="Times New Roman"/>
          <w:b/>
          <w:bCs/>
          <w:noProof/>
          <w:szCs w:val="24"/>
        </w:rPr>
        <w:t>15</w:t>
      </w:r>
      <w:r w:rsidRPr="008264CF">
        <w:rPr>
          <w:rFonts w:ascii="Calibri" w:hAnsi="Calibri" w:cs="Times New Roman"/>
          <w:noProof/>
          <w:szCs w:val="24"/>
        </w:rPr>
        <w:t>.</w:t>
      </w:r>
    </w:p>
    <w:p w:rsidR="008264CF" w:rsidRPr="008264CF" w:rsidRDefault="008264CF" w:rsidP="008264CF">
      <w:pPr>
        <w:widowControl w:val="0"/>
        <w:autoSpaceDE w:val="0"/>
        <w:autoSpaceDN w:val="0"/>
        <w:adjustRightInd w:val="0"/>
        <w:spacing w:after="140" w:line="240" w:lineRule="auto"/>
        <w:ind w:left="480" w:hanging="480"/>
        <w:rPr>
          <w:rFonts w:ascii="Calibri" w:hAnsi="Calibri" w:cs="Times New Roman"/>
          <w:noProof/>
          <w:szCs w:val="24"/>
        </w:rPr>
      </w:pPr>
      <w:r w:rsidRPr="008264CF">
        <w:rPr>
          <w:rFonts w:ascii="Calibri" w:hAnsi="Calibri" w:cs="Times New Roman"/>
          <w:noProof/>
          <w:szCs w:val="24"/>
        </w:rPr>
        <w:t>Forestry Commission England. (2015) Phytophthora ramorum. URL http://www.forestry.gov.uk/forestry/infd-8elbrv [accessed 12 May 2015]</w:t>
      </w:r>
    </w:p>
    <w:p w:rsidR="008264CF" w:rsidRPr="008264CF" w:rsidRDefault="008264CF" w:rsidP="008264CF">
      <w:pPr>
        <w:widowControl w:val="0"/>
        <w:autoSpaceDE w:val="0"/>
        <w:autoSpaceDN w:val="0"/>
        <w:adjustRightInd w:val="0"/>
        <w:spacing w:after="140" w:line="240" w:lineRule="auto"/>
        <w:ind w:left="480" w:hanging="480"/>
        <w:rPr>
          <w:rFonts w:ascii="Calibri" w:hAnsi="Calibri" w:cs="Times New Roman"/>
          <w:noProof/>
          <w:szCs w:val="24"/>
        </w:rPr>
      </w:pPr>
      <w:r w:rsidRPr="008264CF">
        <w:rPr>
          <w:rFonts w:ascii="Calibri" w:hAnsi="Calibri" w:cs="Times New Roman"/>
          <w:noProof/>
          <w:szCs w:val="24"/>
        </w:rPr>
        <w:t xml:space="preserve">Grimm, V., Berger, U., Bastiansen, F., Eliassen, S., Ginot, V., Giske, J., Goss-Custard, J., Grand, T., Heinz, S.K., Huse, G., Huth, A., Jepsen, J.U., Jørgensen, C., Mooij, W.M., Müller, B., Pe’er, G., Piou, C., Railsback, S.F., Robbins, A.M., Robbins, M.M., Rossmanith, E., Rüger, N., Strand, E., Souissi, S., Stillman, R.A., Vabø, R., Visser, U. &amp; DeAngelis, D.L. (2006) A standard protocol for describing individual-based and agent-based models. </w:t>
      </w:r>
      <w:r w:rsidRPr="008264CF">
        <w:rPr>
          <w:rFonts w:ascii="Calibri" w:hAnsi="Calibri" w:cs="Times New Roman"/>
          <w:i/>
          <w:iCs/>
          <w:noProof/>
          <w:szCs w:val="24"/>
        </w:rPr>
        <w:t>Ecological Modelling</w:t>
      </w:r>
      <w:r w:rsidRPr="008264CF">
        <w:rPr>
          <w:rFonts w:ascii="Calibri" w:hAnsi="Calibri" w:cs="Times New Roman"/>
          <w:noProof/>
          <w:szCs w:val="24"/>
        </w:rPr>
        <w:t xml:space="preserve">, </w:t>
      </w:r>
      <w:r w:rsidRPr="008264CF">
        <w:rPr>
          <w:rFonts w:ascii="Calibri" w:hAnsi="Calibri" w:cs="Times New Roman"/>
          <w:b/>
          <w:bCs/>
          <w:noProof/>
          <w:szCs w:val="24"/>
        </w:rPr>
        <w:t>198</w:t>
      </w:r>
      <w:r w:rsidRPr="008264CF">
        <w:rPr>
          <w:rFonts w:ascii="Calibri" w:hAnsi="Calibri" w:cs="Times New Roman"/>
          <w:noProof/>
          <w:szCs w:val="24"/>
        </w:rPr>
        <w:t>, 115–126.</w:t>
      </w:r>
    </w:p>
    <w:p w:rsidR="008264CF" w:rsidRPr="008264CF" w:rsidRDefault="008264CF" w:rsidP="008264CF">
      <w:pPr>
        <w:widowControl w:val="0"/>
        <w:autoSpaceDE w:val="0"/>
        <w:autoSpaceDN w:val="0"/>
        <w:adjustRightInd w:val="0"/>
        <w:spacing w:after="140" w:line="240" w:lineRule="auto"/>
        <w:ind w:left="480" w:hanging="480"/>
        <w:rPr>
          <w:rFonts w:ascii="Calibri" w:hAnsi="Calibri" w:cs="Times New Roman"/>
          <w:noProof/>
          <w:szCs w:val="24"/>
        </w:rPr>
      </w:pPr>
      <w:r w:rsidRPr="008264CF">
        <w:rPr>
          <w:rFonts w:ascii="Calibri" w:hAnsi="Calibri" w:cs="Times New Roman"/>
          <w:noProof/>
          <w:szCs w:val="24"/>
        </w:rPr>
        <w:t xml:space="preserve">Hasenkamp, N., Ziegenhagen, B., Mengel, C., Schulze, L., Schmitt, H.P. &amp; Liepelt, S. (2011) Towards a DNA marker assisted seed source identification: A pilot study in European beech (Fagus sylvatica L.). </w:t>
      </w:r>
      <w:r w:rsidRPr="008264CF">
        <w:rPr>
          <w:rFonts w:ascii="Calibri" w:hAnsi="Calibri" w:cs="Times New Roman"/>
          <w:i/>
          <w:iCs/>
          <w:noProof/>
          <w:szCs w:val="24"/>
        </w:rPr>
        <w:t>European Journal of Forest Research</w:t>
      </w:r>
      <w:r w:rsidRPr="008264CF">
        <w:rPr>
          <w:rFonts w:ascii="Calibri" w:hAnsi="Calibri" w:cs="Times New Roman"/>
          <w:noProof/>
          <w:szCs w:val="24"/>
        </w:rPr>
        <w:t xml:space="preserve">, </w:t>
      </w:r>
      <w:r w:rsidRPr="008264CF">
        <w:rPr>
          <w:rFonts w:ascii="Calibri" w:hAnsi="Calibri" w:cs="Times New Roman"/>
          <w:b/>
          <w:bCs/>
          <w:noProof/>
          <w:szCs w:val="24"/>
        </w:rPr>
        <w:t>130</w:t>
      </w:r>
      <w:r w:rsidRPr="008264CF">
        <w:rPr>
          <w:rFonts w:ascii="Calibri" w:hAnsi="Calibri" w:cs="Times New Roman"/>
          <w:noProof/>
          <w:szCs w:val="24"/>
        </w:rPr>
        <w:t>, 513–519.</w:t>
      </w:r>
    </w:p>
    <w:p w:rsidR="008264CF" w:rsidRPr="008264CF" w:rsidRDefault="008264CF" w:rsidP="008264CF">
      <w:pPr>
        <w:widowControl w:val="0"/>
        <w:autoSpaceDE w:val="0"/>
        <w:autoSpaceDN w:val="0"/>
        <w:adjustRightInd w:val="0"/>
        <w:spacing w:after="140" w:line="240" w:lineRule="auto"/>
        <w:ind w:left="480" w:hanging="480"/>
        <w:rPr>
          <w:rFonts w:ascii="Calibri" w:hAnsi="Calibri" w:cs="Times New Roman"/>
          <w:noProof/>
          <w:szCs w:val="24"/>
        </w:rPr>
      </w:pPr>
      <w:r w:rsidRPr="008264CF">
        <w:rPr>
          <w:rFonts w:ascii="Calibri" w:hAnsi="Calibri" w:cs="Times New Roman"/>
          <w:noProof/>
          <w:szCs w:val="24"/>
        </w:rPr>
        <w:t xml:space="preserve">Hirota, M., Holmgren, M., Van Nes, E.H. &amp; Scheffer, M. (2011) Global resilience of tropical forest and savanna to critical transitions. </w:t>
      </w:r>
      <w:r w:rsidRPr="008264CF">
        <w:rPr>
          <w:rFonts w:ascii="Calibri" w:hAnsi="Calibri" w:cs="Times New Roman"/>
          <w:i/>
          <w:iCs/>
          <w:noProof/>
          <w:szCs w:val="24"/>
        </w:rPr>
        <w:t>Science</w:t>
      </w:r>
      <w:r w:rsidRPr="008264CF">
        <w:rPr>
          <w:rFonts w:ascii="Calibri" w:hAnsi="Calibri" w:cs="Times New Roman"/>
          <w:noProof/>
          <w:szCs w:val="24"/>
        </w:rPr>
        <w:t xml:space="preserve">, </w:t>
      </w:r>
      <w:r w:rsidRPr="008264CF">
        <w:rPr>
          <w:rFonts w:ascii="Calibri" w:hAnsi="Calibri" w:cs="Times New Roman"/>
          <w:b/>
          <w:bCs/>
          <w:noProof/>
          <w:szCs w:val="24"/>
        </w:rPr>
        <w:t>334</w:t>
      </w:r>
      <w:r w:rsidRPr="008264CF">
        <w:rPr>
          <w:rFonts w:ascii="Calibri" w:hAnsi="Calibri" w:cs="Times New Roman"/>
          <w:noProof/>
          <w:szCs w:val="24"/>
        </w:rPr>
        <w:t>, 232–235.</w:t>
      </w:r>
    </w:p>
    <w:p w:rsidR="008264CF" w:rsidRPr="008264CF" w:rsidRDefault="008264CF" w:rsidP="008264CF">
      <w:pPr>
        <w:widowControl w:val="0"/>
        <w:autoSpaceDE w:val="0"/>
        <w:autoSpaceDN w:val="0"/>
        <w:adjustRightInd w:val="0"/>
        <w:spacing w:after="140" w:line="240" w:lineRule="auto"/>
        <w:ind w:left="480" w:hanging="480"/>
        <w:rPr>
          <w:rFonts w:ascii="Calibri" w:hAnsi="Calibri" w:cs="Times New Roman"/>
          <w:noProof/>
          <w:szCs w:val="24"/>
        </w:rPr>
      </w:pPr>
      <w:r w:rsidRPr="008264CF">
        <w:rPr>
          <w:rFonts w:ascii="Calibri" w:hAnsi="Calibri" w:cs="Times New Roman"/>
          <w:noProof/>
          <w:szCs w:val="24"/>
        </w:rPr>
        <w:t xml:space="preserve">Holzwarth, F., Kahl, A., Bauhus, J. &amp; Wirth, C. (2013) Many ways to die - partitioning tree mortality dynamics in a near-natural mixed deciduous forest (ed P Zuidema). </w:t>
      </w:r>
      <w:r w:rsidRPr="008264CF">
        <w:rPr>
          <w:rFonts w:ascii="Calibri" w:hAnsi="Calibri" w:cs="Times New Roman"/>
          <w:i/>
          <w:iCs/>
          <w:noProof/>
          <w:szCs w:val="24"/>
        </w:rPr>
        <w:t>Journal of Ecology</w:t>
      </w:r>
      <w:r w:rsidRPr="008264CF">
        <w:rPr>
          <w:rFonts w:ascii="Calibri" w:hAnsi="Calibri" w:cs="Times New Roman"/>
          <w:noProof/>
          <w:szCs w:val="24"/>
        </w:rPr>
        <w:t xml:space="preserve">, </w:t>
      </w:r>
      <w:r w:rsidRPr="008264CF">
        <w:rPr>
          <w:rFonts w:ascii="Calibri" w:hAnsi="Calibri" w:cs="Times New Roman"/>
          <w:b/>
          <w:bCs/>
          <w:noProof/>
          <w:szCs w:val="24"/>
        </w:rPr>
        <w:t>101</w:t>
      </w:r>
      <w:r w:rsidRPr="008264CF">
        <w:rPr>
          <w:rFonts w:ascii="Calibri" w:hAnsi="Calibri" w:cs="Times New Roman"/>
          <w:noProof/>
          <w:szCs w:val="24"/>
        </w:rPr>
        <w:t>, 220–230.</w:t>
      </w:r>
    </w:p>
    <w:p w:rsidR="008264CF" w:rsidRPr="008264CF" w:rsidRDefault="008264CF" w:rsidP="008264CF">
      <w:pPr>
        <w:widowControl w:val="0"/>
        <w:autoSpaceDE w:val="0"/>
        <w:autoSpaceDN w:val="0"/>
        <w:adjustRightInd w:val="0"/>
        <w:spacing w:after="140" w:line="240" w:lineRule="auto"/>
        <w:ind w:left="480" w:hanging="480"/>
        <w:rPr>
          <w:rFonts w:ascii="Calibri" w:hAnsi="Calibri" w:cs="Times New Roman"/>
          <w:noProof/>
          <w:szCs w:val="24"/>
        </w:rPr>
      </w:pPr>
      <w:r w:rsidRPr="008264CF">
        <w:rPr>
          <w:rFonts w:ascii="Calibri" w:hAnsi="Calibri" w:cs="Times New Roman"/>
          <w:noProof/>
          <w:szCs w:val="24"/>
        </w:rPr>
        <w:t xml:space="preserve">Jung, T., Hudler, G.W., Jensen-Tracey, S.L., Griffiths, H.M., Fleischmann, F. &amp; Osswald, W. (2006) Involvement of Phytophthora species in the decline of European beech in Europe and the USA. </w:t>
      </w:r>
      <w:r w:rsidRPr="008264CF">
        <w:rPr>
          <w:rFonts w:ascii="Calibri" w:hAnsi="Calibri" w:cs="Times New Roman"/>
          <w:i/>
          <w:iCs/>
          <w:noProof/>
          <w:szCs w:val="24"/>
        </w:rPr>
        <w:t>Mycologist</w:t>
      </w:r>
      <w:r w:rsidRPr="008264CF">
        <w:rPr>
          <w:rFonts w:ascii="Calibri" w:hAnsi="Calibri" w:cs="Times New Roman"/>
          <w:noProof/>
          <w:szCs w:val="24"/>
        </w:rPr>
        <w:t xml:space="preserve">, </w:t>
      </w:r>
      <w:r w:rsidRPr="008264CF">
        <w:rPr>
          <w:rFonts w:ascii="Calibri" w:hAnsi="Calibri" w:cs="Times New Roman"/>
          <w:b/>
          <w:bCs/>
          <w:noProof/>
          <w:szCs w:val="24"/>
        </w:rPr>
        <w:t>19</w:t>
      </w:r>
      <w:r w:rsidRPr="008264CF">
        <w:rPr>
          <w:rFonts w:ascii="Calibri" w:hAnsi="Calibri" w:cs="Times New Roman"/>
          <w:noProof/>
          <w:szCs w:val="24"/>
        </w:rPr>
        <w:t>, 159.</w:t>
      </w:r>
    </w:p>
    <w:p w:rsidR="008264CF" w:rsidRPr="008264CF" w:rsidRDefault="008264CF" w:rsidP="008264CF">
      <w:pPr>
        <w:widowControl w:val="0"/>
        <w:autoSpaceDE w:val="0"/>
        <w:autoSpaceDN w:val="0"/>
        <w:adjustRightInd w:val="0"/>
        <w:spacing w:after="140" w:line="240" w:lineRule="auto"/>
        <w:ind w:left="480" w:hanging="480"/>
        <w:rPr>
          <w:rFonts w:ascii="Calibri" w:hAnsi="Calibri" w:cs="Times New Roman"/>
          <w:noProof/>
          <w:szCs w:val="24"/>
        </w:rPr>
      </w:pPr>
      <w:r w:rsidRPr="008264CF">
        <w:rPr>
          <w:rFonts w:ascii="Calibri" w:hAnsi="Calibri" w:cs="Times New Roman"/>
          <w:noProof/>
          <w:szCs w:val="24"/>
        </w:rPr>
        <w:t xml:space="preserve">Kuijper, D.P.J., Cromsigt, J.P.G.M., Jędrzejewska, B., Miścicki, S., Churski, M., Jędrzejewski, W. &amp; Kweczlich, I. (2010) Bottom-up versus top-down control of tree regeneration in the Białowieża Primeval Forest, Poland. </w:t>
      </w:r>
      <w:r w:rsidRPr="008264CF">
        <w:rPr>
          <w:rFonts w:ascii="Calibri" w:hAnsi="Calibri" w:cs="Times New Roman"/>
          <w:i/>
          <w:iCs/>
          <w:noProof/>
          <w:szCs w:val="24"/>
        </w:rPr>
        <w:t>Journal of Ecology</w:t>
      </w:r>
      <w:r w:rsidRPr="008264CF">
        <w:rPr>
          <w:rFonts w:ascii="Calibri" w:hAnsi="Calibri" w:cs="Times New Roman"/>
          <w:noProof/>
          <w:szCs w:val="24"/>
        </w:rPr>
        <w:t xml:space="preserve">, </w:t>
      </w:r>
      <w:r w:rsidRPr="008264CF">
        <w:rPr>
          <w:rFonts w:ascii="Calibri" w:hAnsi="Calibri" w:cs="Times New Roman"/>
          <w:b/>
          <w:bCs/>
          <w:noProof/>
          <w:szCs w:val="24"/>
        </w:rPr>
        <w:t>98</w:t>
      </w:r>
      <w:r w:rsidRPr="008264CF">
        <w:rPr>
          <w:rFonts w:ascii="Calibri" w:hAnsi="Calibri" w:cs="Times New Roman"/>
          <w:noProof/>
          <w:szCs w:val="24"/>
        </w:rPr>
        <w:t>, 888–899.</w:t>
      </w:r>
    </w:p>
    <w:p w:rsidR="008264CF" w:rsidRPr="008264CF" w:rsidRDefault="008264CF" w:rsidP="008264CF">
      <w:pPr>
        <w:widowControl w:val="0"/>
        <w:autoSpaceDE w:val="0"/>
        <w:autoSpaceDN w:val="0"/>
        <w:adjustRightInd w:val="0"/>
        <w:spacing w:after="140" w:line="240" w:lineRule="auto"/>
        <w:ind w:left="480" w:hanging="480"/>
        <w:rPr>
          <w:rFonts w:ascii="Calibri" w:hAnsi="Calibri" w:cs="Times New Roman"/>
          <w:noProof/>
          <w:szCs w:val="24"/>
        </w:rPr>
      </w:pPr>
      <w:r w:rsidRPr="008264CF">
        <w:rPr>
          <w:rFonts w:ascii="Calibri" w:hAnsi="Calibri" w:cs="Times New Roman"/>
          <w:noProof/>
          <w:szCs w:val="24"/>
        </w:rPr>
        <w:t xml:space="preserve">van Mantgem, P.J., Stephenson, N.L., Byrne, J.C., Daniels, L.D., Franklin, J.F., Fulé, P.Z., Harmon, M.E., Larson, A.J., Smith, J.M., Taylor, A.H. &amp; Veblen, T.T. (2009) Widespread increase of tree mortality rates in the western United States. </w:t>
      </w:r>
      <w:r w:rsidRPr="008264CF">
        <w:rPr>
          <w:rFonts w:ascii="Calibri" w:hAnsi="Calibri" w:cs="Times New Roman"/>
          <w:i/>
          <w:iCs/>
          <w:noProof/>
          <w:szCs w:val="24"/>
        </w:rPr>
        <w:t>Science (New York, N.Y.)</w:t>
      </w:r>
      <w:r w:rsidRPr="008264CF">
        <w:rPr>
          <w:rFonts w:ascii="Calibri" w:hAnsi="Calibri" w:cs="Times New Roman"/>
          <w:noProof/>
          <w:szCs w:val="24"/>
        </w:rPr>
        <w:t xml:space="preserve">, </w:t>
      </w:r>
      <w:r w:rsidRPr="008264CF">
        <w:rPr>
          <w:rFonts w:ascii="Calibri" w:hAnsi="Calibri" w:cs="Times New Roman"/>
          <w:b/>
          <w:bCs/>
          <w:noProof/>
          <w:szCs w:val="24"/>
        </w:rPr>
        <w:t>323</w:t>
      </w:r>
      <w:r w:rsidRPr="008264CF">
        <w:rPr>
          <w:rFonts w:ascii="Calibri" w:hAnsi="Calibri" w:cs="Times New Roman"/>
          <w:noProof/>
          <w:szCs w:val="24"/>
        </w:rPr>
        <w:t>, 521–524.</w:t>
      </w:r>
    </w:p>
    <w:p w:rsidR="008264CF" w:rsidRPr="008264CF" w:rsidRDefault="008264CF" w:rsidP="008264CF">
      <w:pPr>
        <w:widowControl w:val="0"/>
        <w:autoSpaceDE w:val="0"/>
        <w:autoSpaceDN w:val="0"/>
        <w:adjustRightInd w:val="0"/>
        <w:spacing w:after="140" w:line="240" w:lineRule="auto"/>
        <w:ind w:left="480" w:hanging="480"/>
        <w:rPr>
          <w:rFonts w:ascii="Calibri" w:hAnsi="Calibri" w:cs="Times New Roman"/>
          <w:noProof/>
          <w:szCs w:val="24"/>
        </w:rPr>
      </w:pPr>
      <w:r w:rsidRPr="008264CF">
        <w:rPr>
          <w:rFonts w:ascii="Calibri" w:hAnsi="Calibri" w:cs="Times New Roman"/>
          <w:noProof/>
          <w:szCs w:val="24"/>
        </w:rPr>
        <w:t xml:space="preserve">Martin, P.A., Newton, A.C., Cantarello, E. &amp; Evans, P. (2015) Stand dieback and collapse in a temperate forest and its impact on forest structure and biodiversity. </w:t>
      </w:r>
      <w:r w:rsidRPr="008264CF">
        <w:rPr>
          <w:rFonts w:ascii="Calibri" w:hAnsi="Calibri" w:cs="Times New Roman"/>
          <w:i/>
          <w:iCs/>
          <w:noProof/>
          <w:szCs w:val="24"/>
        </w:rPr>
        <w:t>Forest Ecology and Management</w:t>
      </w:r>
      <w:r w:rsidRPr="008264CF">
        <w:rPr>
          <w:rFonts w:ascii="Calibri" w:hAnsi="Calibri" w:cs="Times New Roman"/>
          <w:noProof/>
          <w:szCs w:val="24"/>
        </w:rPr>
        <w:t xml:space="preserve">, </w:t>
      </w:r>
      <w:r w:rsidRPr="008264CF">
        <w:rPr>
          <w:rFonts w:ascii="Calibri" w:hAnsi="Calibri" w:cs="Times New Roman"/>
          <w:b/>
          <w:bCs/>
          <w:noProof/>
          <w:szCs w:val="24"/>
        </w:rPr>
        <w:t>358</w:t>
      </w:r>
      <w:r w:rsidRPr="008264CF">
        <w:rPr>
          <w:rFonts w:ascii="Calibri" w:hAnsi="Calibri" w:cs="Times New Roman"/>
          <w:noProof/>
          <w:szCs w:val="24"/>
        </w:rPr>
        <w:t>, 130–138.</w:t>
      </w:r>
    </w:p>
    <w:p w:rsidR="008264CF" w:rsidRPr="008264CF" w:rsidRDefault="008264CF" w:rsidP="008264CF">
      <w:pPr>
        <w:widowControl w:val="0"/>
        <w:autoSpaceDE w:val="0"/>
        <w:autoSpaceDN w:val="0"/>
        <w:adjustRightInd w:val="0"/>
        <w:spacing w:after="140" w:line="240" w:lineRule="auto"/>
        <w:ind w:left="480" w:hanging="480"/>
        <w:rPr>
          <w:rFonts w:ascii="Calibri" w:hAnsi="Calibri" w:cs="Times New Roman"/>
          <w:noProof/>
          <w:szCs w:val="24"/>
        </w:rPr>
      </w:pPr>
      <w:r w:rsidRPr="008264CF">
        <w:rPr>
          <w:rFonts w:ascii="Calibri" w:hAnsi="Calibri" w:cs="Times New Roman"/>
          <w:noProof/>
          <w:szCs w:val="24"/>
        </w:rPr>
        <w:t xml:space="preserve">Mountford, E.P. &amp; Peterken, G.F. (2003) Long-term change and implications for the management of wood-pastures: experience over 40 years from Denny Wood, New Forest. </w:t>
      </w:r>
      <w:r w:rsidRPr="008264CF">
        <w:rPr>
          <w:rFonts w:ascii="Calibri" w:hAnsi="Calibri" w:cs="Times New Roman"/>
          <w:i/>
          <w:iCs/>
          <w:noProof/>
          <w:szCs w:val="24"/>
        </w:rPr>
        <w:t>Forestry</w:t>
      </w:r>
      <w:r w:rsidRPr="008264CF">
        <w:rPr>
          <w:rFonts w:ascii="Calibri" w:hAnsi="Calibri" w:cs="Times New Roman"/>
          <w:noProof/>
          <w:szCs w:val="24"/>
        </w:rPr>
        <w:t xml:space="preserve">, </w:t>
      </w:r>
      <w:r w:rsidRPr="008264CF">
        <w:rPr>
          <w:rFonts w:ascii="Calibri" w:hAnsi="Calibri" w:cs="Times New Roman"/>
          <w:b/>
          <w:bCs/>
          <w:noProof/>
          <w:szCs w:val="24"/>
        </w:rPr>
        <w:t>76</w:t>
      </w:r>
      <w:r w:rsidRPr="008264CF">
        <w:rPr>
          <w:rFonts w:ascii="Calibri" w:hAnsi="Calibri" w:cs="Times New Roman"/>
          <w:noProof/>
          <w:szCs w:val="24"/>
        </w:rPr>
        <w:t>, 19–43.</w:t>
      </w:r>
    </w:p>
    <w:p w:rsidR="008264CF" w:rsidRPr="008264CF" w:rsidRDefault="008264CF" w:rsidP="008264CF">
      <w:pPr>
        <w:widowControl w:val="0"/>
        <w:autoSpaceDE w:val="0"/>
        <w:autoSpaceDN w:val="0"/>
        <w:adjustRightInd w:val="0"/>
        <w:spacing w:after="140" w:line="240" w:lineRule="auto"/>
        <w:ind w:left="480" w:hanging="480"/>
        <w:rPr>
          <w:rFonts w:ascii="Calibri" w:hAnsi="Calibri" w:cs="Times New Roman"/>
          <w:noProof/>
          <w:szCs w:val="24"/>
        </w:rPr>
      </w:pPr>
      <w:r w:rsidRPr="008264CF">
        <w:rPr>
          <w:rFonts w:ascii="Calibri" w:hAnsi="Calibri" w:cs="Times New Roman"/>
          <w:noProof/>
          <w:szCs w:val="24"/>
        </w:rPr>
        <w:t xml:space="preserve">Mountford, E.P., Peterken, G.F., Edwards, P.J. &amp; Manners, J.G. (1999) Long-term change in growth, mortality and regeneration of trees in Denny Wood, an old-growth wood-pasture in the New Forest (UK). </w:t>
      </w:r>
      <w:r w:rsidRPr="008264CF">
        <w:rPr>
          <w:rFonts w:ascii="Calibri" w:hAnsi="Calibri" w:cs="Times New Roman"/>
          <w:i/>
          <w:iCs/>
          <w:noProof/>
          <w:szCs w:val="24"/>
        </w:rPr>
        <w:t>Perspectives in Plant Ecology, Evolution and Systematics</w:t>
      </w:r>
      <w:r w:rsidRPr="008264CF">
        <w:rPr>
          <w:rFonts w:ascii="Calibri" w:hAnsi="Calibri" w:cs="Times New Roman"/>
          <w:noProof/>
          <w:szCs w:val="24"/>
        </w:rPr>
        <w:t xml:space="preserve">, </w:t>
      </w:r>
      <w:r w:rsidRPr="008264CF">
        <w:rPr>
          <w:rFonts w:ascii="Calibri" w:hAnsi="Calibri" w:cs="Times New Roman"/>
          <w:b/>
          <w:bCs/>
          <w:noProof/>
          <w:szCs w:val="24"/>
        </w:rPr>
        <w:t>2</w:t>
      </w:r>
      <w:r w:rsidRPr="008264CF">
        <w:rPr>
          <w:rFonts w:ascii="Calibri" w:hAnsi="Calibri" w:cs="Times New Roman"/>
          <w:noProof/>
          <w:szCs w:val="24"/>
        </w:rPr>
        <w:t>, 223–272.</w:t>
      </w:r>
    </w:p>
    <w:p w:rsidR="008264CF" w:rsidRPr="008264CF" w:rsidRDefault="008264CF" w:rsidP="008264CF">
      <w:pPr>
        <w:widowControl w:val="0"/>
        <w:autoSpaceDE w:val="0"/>
        <w:autoSpaceDN w:val="0"/>
        <w:adjustRightInd w:val="0"/>
        <w:spacing w:after="140" w:line="240" w:lineRule="auto"/>
        <w:ind w:left="480" w:hanging="480"/>
        <w:rPr>
          <w:rFonts w:ascii="Calibri" w:hAnsi="Calibri" w:cs="Times New Roman"/>
          <w:noProof/>
          <w:szCs w:val="24"/>
        </w:rPr>
      </w:pPr>
      <w:r w:rsidRPr="008264CF">
        <w:rPr>
          <w:rFonts w:ascii="Calibri" w:hAnsi="Calibri" w:cs="Times New Roman"/>
          <w:noProof/>
          <w:szCs w:val="24"/>
        </w:rPr>
        <w:t xml:space="preserve">Nepstad, D.C., Verissimo, A., Alencar, A., Nobre, C., Lima, E., Lefebvre, P., Schlesinger, P., Potter, C., </w:t>
      </w:r>
      <w:r w:rsidRPr="008264CF">
        <w:rPr>
          <w:rFonts w:ascii="Calibri" w:hAnsi="Calibri" w:cs="Times New Roman"/>
          <w:noProof/>
          <w:szCs w:val="24"/>
        </w:rPr>
        <w:lastRenderedPageBreak/>
        <w:t xml:space="preserve">Moutinho, P., Mendoza, E., Cochrane, M. &amp; Brooks, V. (1999) Large-scale impoverishment of Amazonian forests by logging and fire. </w:t>
      </w:r>
      <w:r w:rsidRPr="008264CF">
        <w:rPr>
          <w:rFonts w:ascii="Calibri" w:hAnsi="Calibri" w:cs="Times New Roman"/>
          <w:i/>
          <w:iCs/>
          <w:noProof/>
          <w:szCs w:val="24"/>
        </w:rPr>
        <w:t>Nature</w:t>
      </w:r>
      <w:r w:rsidRPr="008264CF">
        <w:rPr>
          <w:rFonts w:ascii="Calibri" w:hAnsi="Calibri" w:cs="Times New Roman"/>
          <w:noProof/>
          <w:szCs w:val="24"/>
        </w:rPr>
        <w:t xml:space="preserve">, </w:t>
      </w:r>
      <w:r w:rsidRPr="008264CF">
        <w:rPr>
          <w:rFonts w:ascii="Calibri" w:hAnsi="Calibri" w:cs="Times New Roman"/>
          <w:b/>
          <w:bCs/>
          <w:noProof/>
          <w:szCs w:val="24"/>
        </w:rPr>
        <w:t>398</w:t>
      </w:r>
      <w:r w:rsidRPr="008264CF">
        <w:rPr>
          <w:rFonts w:ascii="Calibri" w:hAnsi="Calibri" w:cs="Times New Roman"/>
          <w:noProof/>
          <w:szCs w:val="24"/>
        </w:rPr>
        <w:t>, 505–508.</w:t>
      </w:r>
    </w:p>
    <w:p w:rsidR="008264CF" w:rsidRPr="008264CF" w:rsidRDefault="008264CF" w:rsidP="008264CF">
      <w:pPr>
        <w:widowControl w:val="0"/>
        <w:autoSpaceDE w:val="0"/>
        <w:autoSpaceDN w:val="0"/>
        <w:adjustRightInd w:val="0"/>
        <w:spacing w:after="140" w:line="240" w:lineRule="auto"/>
        <w:ind w:left="480" w:hanging="480"/>
        <w:rPr>
          <w:rFonts w:ascii="Calibri" w:hAnsi="Calibri" w:cs="Times New Roman"/>
          <w:noProof/>
          <w:szCs w:val="24"/>
        </w:rPr>
      </w:pPr>
      <w:r w:rsidRPr="008264CF">
        <w:rPr>
          <w:rFonts w:ascii="Calibri" w:hAnsi="Calibri" w:cs="Times New Roman"/>
          <w:noProof/>
          <w:szCs w:val="24"/>
        </w:rPr>
        <w:t xml:space="preserve">Nimmo, D.G., Mac Nally, R., Cunningham, S.C., Haslem,  a. &amp; Bennett,  a. F. (2015) Vive la résistance: reviving resistance for 21st century conservation. </w:t>
      </w:r>
      <w:r w:rsidRPr="008264CF">
        <w:rPr>
          <w:rFonts w:ascii="Calibri" w:hAnsi="Calibri" w:cs="Times New Roman"/>
          <w:i/>
          <w:iCs/>
          <w:noProof/>
          <w:szCs w:val="24"/>
        </w:rPr>
        <w:t>Trends in Ecology &amp; Evolution</w:t>
      </w:r>
      <w:r w:rsidRPr="008264CF">
        <w:rPr>
          <w:rFonts w:ascii="Calibri" w:hAnsi="Calibri" w:cs="Times New Roman"/>
          <w:noProof/>
          <w:szCs w:val="24"/>
        </w:rPr>
        <w:t>, 1–8.</w:t>
      </w:r>
    </w:p>
    <w:p w:rsidR="008264CF" w:rsidRPr="008264CF" w:rsidRDefault="008264CF" w:rsidP="008264CF">
      <w:pPr>
        <w:widowControl w:val="0"/>
        <w:autoSpaceDE w:val="0"/>
        <w:autoSpaceDN w:val="0"/>
        <w:adjustRightInd w:val="0"/>
        <w:spacing w:after="140" w:line="240" w:lineRule="auto"/>
        <w:ind w:left="480" w:hanging="480"/>
        <w:rPr>
          <w:rFonts w:ascii="Calibri" w:hAnsi="Calibri" w:cs="Times New Roman"/>
          <w:noProof/>
          <w:szCs w:val="24"/>
        </w:rPr>
      </w:pPr>
      <w:r w:rsidRPr="008264CF">
        <w:rPr>
          <w:rFonts w:ascii="Calibri" w:hAnsi="Calibri" w:cs="Times New Roman"/>
          <w:noProof/>
          <w:szCs w:val="24"/>
        </w:rPr>
        <w:t xml:space="preserve">Olesen, C.R. &amp; Madsen, P. (2008) The impact of roe deer (Capreolus capreolus), seedbed, light and seed fall on natural beech (Fagus sylvatica) regeneration. </w:t>
      </w:r>
      <w:r w:rsidRPr="008264CF">
        <w:rPr>
          <w:rFonts w:ascii="Calibri" w:hAnsi="Calibri" w:cs="Times New Roman"/>
          <w:i/>
          <w:iCs/>
          <w:noProof/>
          <w:szCs w:val="24"/>
        </w:rPr>
        <w:t>Forest Ecology and Management</w:t>
      </w:r>
      <w:r w:rsidRPr="008264CF">
        <w:rPr>
          <w:rFonts w:ascii="Calibri" w:hAnsi="Calibri" w:cs="Times New Roman"/>
          <w:noProof/>
          <w:szCs w:val="24"/>
        </w:rPr>
        <w:t xml:space="preserve">, </w:t>
      </w:r>
      <w:r w:rsidRPr="008264CF">
        <w:rPr>
          <w:rFonts w:ascii="Calibri" w:hAnsi="Calibri" w:cs="Times New Roman"/>
          <w:b/>
          <w:bCs/>
          <w:noProof/>
          <w:szCs w:val="24"/>
        </w:rPr>
        <w:t>255</w:t>
      </w:r>
      <w:r w:rsidRPr="008264CF">
        <w:rPr>
          <w:rFonts w:ascii="Calibri" w:hAnsi="Calibri" w:cs="Times New Roman"/>
          <w:noProof/>
          <w:szCs w:val="24"/>
        </w:rPr>
        <w:t>, 3962–3972.</w:t>
      </w:r>
    </w:p>
    <w:p w:rsidR="008264CF" w:rsidRPr="008264CF" w:rsidRDefault="008264CF" w:rsidP="008264CF">
      <w:pPr>
        <w:widowControl w:val="0"/>
        <w:autoSpaceDE w:val="0"/>
        <w:autoSpaceDN w:val="0"/>
        <w:adjustRightInd w:val="0"/>
        <w:spacing w:after="140" w:line="240" w:lineRule="auto"/>
        <w:ind w:left="480" w:hanging="480"/>
        <w:rPr>
          <w:rFonts w:ascii="Calibri" w:hAnsi="Calibri" w:cs="Times New Roman"/>
          <w:noProof/>
          <w:szCs w:val="24"/>
        </w:rPr>
      </w:pPr>
      <w:r w:rsidRPr="008264CF">
        <w:rPr>
          <w:rFonts w:ascii="Calibri" w:hAnsi="Calibri" w:cs="Times New Roman"/>
          <w:noProof/>
          <w:szCs w:val="24"/>
        </w:rPr>
        <w:t xml:space="preserve">Packham, J.R., Thomas, P. a., Atkinson, M.D. &amp; Degen, T. (2012) Biological Flora of the British Isles: Fagus sylvatica. </w:t>
      </w:r>
      <w:r w:rsidRPr="008264CF">
        <w:rPr>
          <w:rFonts w:ascii="Calibri" w:hAnsi="Calibri" w:cs="Times New Roman"/>
          <w:i/>
          <w:iCs/>
          <w:noProof/>
          <w:szCs w:val="24"/>
        </w:rPr>
        <w:t>Journal of Ecology</w:t>
      </w:r>
      <w:r w:rsidRPr="008264CF">
        <w:rPr>
          <w:rFonts w:ascii="Calibri" w:hAnsi="Calibri" w:cs="Times New Roman"/>
          <w:noProof/>
          <w:szCs w:val="24"/>
        </w:rPr>
        <w:t xml:space="preserve">, </w:t>
      </w:r>
      <w:r w:rsidRPr="008264CF">
        <w:rPr>
          <w:rFonts w:ascii="Calibri" w:hAnsi="Calibri" w:cs="Times New Roman"/>
          <w:b/>
          <w:bCs/>
          <w:noProof/>
          <w:szCs w:val="24"/>
        </w:rPr>
        <w:t>100</w:t>
      </w:r>
      <w:r w:rsidRPr="008264CF">
        <w:rPr>
          <w:rFonts w:ascii="Calibri" w:hAnsi="Calibri" w:cs="Times New Roman"/>
          <w:noProof/>
          <w:szCs w:val="24"/>
        </w:rPr>
        <w:t>, 1557–1608.</w:t>
      </w:r>
    </w:p>
    <w:p w:rsidR="008264CF" w:rsidRPr="008264CF" w:rsidRDefault="008264CF" w:rsidP="008264CF">
      <w:pPr>
        <w:widowControl w:val="0"/>
        <w:autoSpaceDE w:val="0"/>
        <w:autoSpaceDN w:val="0"/>
        <w:adjustRightInd w:val="0"/>
        <w:spacing w:after="140" w:line="240" w:lineRule="auto"/>
        <w:ind w:left="480" w:hanging="480"/>
        <w:rPr>
          <w:rFonts w:ascii="Calibri" w:hAnsi="Calibri" w:cs="Times New Roman"/>
          <w:noProof/>
          <w:szCs w:val="24"/>
        </w:rPr>
      </w:pPr>
      <w:r w:rsidRPr="008264CF">
        <w:rPr>
          <w:rFonts w:ascii="Calibri" w:hAnsi="Calibri" w:cs="Times New Roman"/>
          <w:noProof/>
          <w:szCs w:val="24"/>
        </w:rPr>
        <w:t xml:space="preserve">Packham, J.R., Thomas, P.A., Lageard, J.G.A. &amp; Hilton, G.M. (2008) the English Beech Masting Survey 1980–2007: Variation in the Fruiting of the Common Beech ( Fagus Sylvatica L.) and Its Effects on Woodland Ecosystems. </w:t>
      </w:r>
      <w:r w:rsidRPr="008264CF">
        <w:rPr>
          <w:rFonts w:ascii="Calibri" w:hAnsi="Calibri" w:cs="Times New Roman"/>
          <w:i/>
          <w:iCs/>
          <w:noProof/>
          <w:szCs w:val="24"/>
        </w:rPr>
        <w:t>Arboricultural Journal</w:t>
      </w:r>
      <w:r w:rsidRPr="008264CF">
        <w:rPr>
          <w:rFonts w:ascii="Calibri" w:hAnsi="Calibri" w:cs="Times New Roman"/>
          <w:noProof/>
          <w:szCs w:val="24"/>
        </w:rPr>
        <w:t xml:space="preserve">, </w:t>
      </w:r>
      <w:r w:rsidRPr="008264CF">
        <w:rPr>
          <w:rFonts w:ascii="Calibri" w:hAnsi="Calibri" w:cs="Times New Roman"/>
          <w:b/>
          <w:bCs/>
          <w:noProof/>
          <w:szCs w:val="24"/>
        </w:rPr>
        <w:t>31</w:t>
      </w:r>
      <w:r w:rsidRPr="008264CF">
        <w:rPr>
          <w:rFonts w:ascii="Calibri" w:hAnsi="Calibri" w:cs="Times New Roman"/>
          <w:noProof/>
          <w:szCs w:val="24"/>
        </w:rPr>
        <w:t>, 189–214.</w:t>
      </w:r>
    </w:p>
    <w:p w:rsidR="008264CF" w:rsidRPr="008264CF" w:rsidRDefault="008264CF" w:rsidP="008264CF">
      <w:pPr>
        <w:widowControl w:val="0"/>
        <w:autoSpaceDE w:val="0"/>
        <w:autoSpaceDN w:val="0"/>
        <w:adjustRightInd w:val="0"/>
        <w:spacing w:after="140" w:line="240" w:lineRule="auto"/>
        <w:ind w:left="480" w:hanging="480"/>
        <w:rPr>
          <w:rFonts w:ascii="Calibri" w:hAnsi="Calibri" w:cs="Times New Roman"/>
          <w:noProof/>
          <w:szCs w:val="24"/>
        </w:rPr>
      </w:pPr>
      <w:r w:rsidRPr="008264CF">
        <w:rPr>
          <w:rFonts w:ascii="Calibri" w:hAnsi="Calibri" w:cs="Times New Roman"/>
          <w:noProof/>
          <w:szCs w:val="24"/>
        </w:rPr>
        <w:t xml:space="preserve">Petraitis, P. (2013) </w:t>
      </w:r>
      <w:r w:rsidRPr="008264CF">
        <w:rPr>
          <w:rFonts w:ascii="Calibri" w:hAnsi="Calibri" w:cs="Times New Roman"/>
          <w:i/>
          <w:iCs/>
          <w:noProof/>
          <w:szCs w:val="24"/>
        </w:rPr>
        <w:t>Multiple Stable States in Natural Ecosystems</w:t>
      </w:r>
      <w:r w:rsidRPr="008264CF">
        <w:rPr>
          <w:rFonts w:ascii="Calibri" w:hAnsi="Calibri" w:cs="Times New Roman"/>
          <w:noProof/>
          <w:szCs w:val="24"/>
        </w:rPr>
        <w:t>. Oxford University Press.</w:t>
      </w:r>
    </w:p>
    <w:p w:rsidR="008264CF" w:rsidRPr="008264CF" w:rsidRDefault="008264CF" w:rsidP="008264CF">
      <w:pPr>
        <w:widowControl w:val="0"/>
        <w:autoSpaceDE w:val="0"/>
        <w:autoSpaceDN w:val="0"/>
        <w:adjustRightInd w:val="0"/>
        <w:spacing w:after="140" w:line="240" w:lineRule="auto"/>
        <w:ind w:left="480" w:hanging="480"/>
        <w:rPr>
          <w:rFonts w:ascii="Calibri" w:hAnsi="Calibri" w:cs="Times New Roman"/>
          <w:noProof/>
          <w:szCs w:val="24"/>
        </w:rPr>
      </w:pPr>
      <w:r w:rsidRPr="008264CF">
        <w:rPr>
          <w:rFonts w:ascii="Calibri" w:hAnsi="Calibri" w:cs="Times New Roman"/>
          <w:noProof/>
          <w:szCs w:val="24"/>
        </w:rPr>
        <w:t xml:space="preserve">Petraitis, P.S. &amp; Hoffman, C. (2010) Multiple stable states and relationship between thresholds in processes and states. </w:t>
      </w:r>
      <w:r w:rsidRPr="008264CF">
        <w:rPr>
          <w:rFonts w:ascii="Calibri" w:hAnsi="Calibri" w:cs="Times New Roman"/>
          <w:i/>
          <w:iCs/>
          <w:noProof/>
          <w:szCs w:val="24"/>
        </w:rPr>
        <w:t>Marine Ecology Progress Series</w:t>
      </w:r>
      <w:r w:rsidRPr="008264CF">
        <w:rPr>
          <w:rFonts w:ascii="Calibri" w:hAnsi="Calibri" w:cs="Times New Roman"/>
          <w:noProof/>
          <w:szCs w:val="24"/>
        </w:rPr>
        <w:t xml:space="preserve">, </w:t>
      </w:r>
      <w:r w:rsidRPr="008264CF">
        <w:rPr>
          <w:rFonts w:ascii="Calibri" w:hAnsi="Calibri" w:cs="Times New Roman"/>
          <w:b/>
          <w:bCs/>
          <w:noProof/>
          <w:szCs w:val="24"/>
        </w:rPr>
        <w:t>413</w:t>
      </w:r>
      <w:r w:rsidRPr="008264CF">
        <w:rPr>
          <w:rFonts w:ascii="Calibri" w:hAnsi="Calibri" w:cs="Times New Roman"/>
          <w:noProof/>
          <w:szCs w:val="24"/>
        </w:rPr>
        <w:t>, 189–200.</w:t>
      </w:r>
    </w:p>
    <w:p w:rsidR="008264CF" w:rsidRPr="008264CF" w:rsidRDefault="008264CF" w:rsidP="008264CF">
      <w:pPr>
        <w:widowControl w:val="0"/>
        <w:autoSpaceDE w:val="0"/>
        <w:autoSpaceDN w:val="0"/>
        <w:adjustRightInd w:val="0"/>
        <w:spacing w:after="140" w:line="240" w:lineRule="auto"/>
        <w:ind w:left="480" w:hanging="480"/>
        <w:rPr>
          <w:rFonts w:ascii="Calibri" w:hAnsi="Calibri" w:cs="Times New Roman"/>
          <w:noProof/>
          <w:szCs w:val="24"/>
        </w:rPr>
      </w:pPr>
      <w:r w:rsidRPr="008264CF">
        <w:rPr>
          <w:rFonts w:ascii="Calibri" w:hAnsi="Calibri" w:cs="Times New Roman"/>
          <w:noProof/>
          <w:szCs w:val="24"/>
        </w:rPr>
        <w:t xml:space="preserve">R Development Core Team. (2011) </w:t>
      </w:r>
      <w:r w:rsidRPr="008264CF">
        <w:rPr>
          <w:rFonts w:ascii="Calibri" w:hAnsi="Calibri" w:cs="Times New Roman"/>
          <w:i/>
          <w:iCs/>
          <w:noProof/>
          <w:szCs w:val="24"/>
        </w:rPr>
        <w:t>R: A Language and Environment for Statistical Computing</w:t>
      </w:r>
      <w:r w:rsidRPr="008264CF">
        <w:rPr>
          <w:rFonts w:ascii="Calibri" w:hAnsi="Calibri" w:cs="Times New Roman"/>
          <w:noProof/>
          <w:szCs w:val="24"/>
        </w:rPr>
        <w:t>. R Foundation for Statistical Computing, Vienna, Austria.</w:t>
      </w:r>
    </w:p>
    <w:p w:rsidR="008264CF" w:rsidRPr="008264CF" w:rsidRDefault="008264CF" w:rsidP="008264CF">
      <w:pPr>
        <w:widowControl w:val="0"/>
        <w:autoSpaceDE w:val="0"/>
        <w:autoSpaceDN w:val="0"/>
        <w:adjustRightInd w:val="0"/>
        <w:spacing w:after="140" w:line="240" w:lineRule="auto"/>
        <w:ind w:left="480" w:hanging="480"/>
        <w:rPr>
          <w:rFonts w:ascii="Calibri" w:hAnsi="Calibri" w:cs="Times New Roman"/>
          <w:noProof/>
          <w:szCs w:val="24"/>
        </w:rPr>
      </w:pPr>
      <w:r w:rsidRPr="008264CF">
        <w:rPr>
          <w:rFonts w:ascii="Calibri" w:hAnsi="Calibri" w:cs="Times New Roman"/>
          <w:noProof/>
          <w:szCs w:val="24"/>
        </w:rPr>
        <w:t xml:space="preserve">Reyer, C.P.O., Brouwers, N., Rammig, A., Brook, B.W., Epila, J., Grant, R.F., Holmgren, M., Langerwisch, F., Leuzinger, S., Lucht, W., Medlyn, B., Pfeifer, M., Steinkamp, J., Vanderwel, M.C., Verbeeck, H. &amp; Villela, D.M. (2015) Forest resilience and tipping points at different spatio-temporal scales: approaches and challenges (ed D Coomes). </w:t>
      </w:r>
      <w:r w:rsidRPr="008264CF">
        <w:rPr>
          <w:rFonts w:ascii="Calibri" w:hAnsi="Calibri" w:cs="Times New Roman"/>
          <w:i/>
          <w:iCs/>
          <w:noProof/>
          <w:szCs w:val="24"/>
        </w:rPr>
        <w:t>Journal of Ecology</w:t>
      </w:r>
      <w:r w:rsidRPr="008264CF">
        <w:rPr>
          <w:rFonts w:ascii="Calibri" w:hAnsi="Calibri" w:cs="Times New Roman"/>
          <w:noProof/>
          <w:szCs w:val="24"/>
        </w:rPr>
        <w:t xml:space="preserve">, </w:t>
      </w:r>
      <w:r w:rsidRPr="008264CF">
        <w:rPr>
          <w:rFonts w:ascii="Calibri" w:hAnsi="Calibri" w:cs="Times New Roman"/>
          <w:b/>
          <w:bCs/>
          <w:noProof/>
          <w:szCs w:val="24"/>
        </w:rPr>
        <w:t>103</w:t>
      </w:r>
      <w:r w:rsidRPr="008264CF">
        <w:rPr>
          <w:rFonts w:ascii="Calibri" w:hAnsi="Calibri" w:cs="Times New Roman"/>
          <w:noProof/>
          <w:szCs w:val="24"/>
        </w:rPr>
        <w:t>, 5–15.</w:t>
      </w:r>
    </w:p>
    <w:p w:rsidR="008264CF" w:rsidRPr="008264CF" w:rsidRDefault="008264CF" w:rsidP="008264CF">
      <w:pPr>
        <w:widowControl w:val="0"/>
        <w:autoSpaceDE w:val="0"/>
        <w:autoSpaceDN w:val="0"/>
        <w:adjustRightInd w:val="0"/>
        <w:spacing w:after="140" w:line="240" w:lineRule="auto"/>
        <w:ind w:left="480" w:hanging="480"/>
        <w:rPr>
          <w:rFonts w:ascii="Calibri" w:hAnsi="Calibri" w:cs="Times New Roman"/>
          <w:noProof/>
          <w:szCs w:val="24"/>
        </w:rPr>
      </w:pPr>
      <w:r w:rsidRPr="008264CF">
        <w:rPr>
          <w:rFonts w:ascii="Calibri" w:hAnsi="Calibri" w:cs="Times New Roman"/>
          <w:noProof/>
          <w:szCs w:val="24"/>
        </w:rPr>
        <w:t xml:space="preserve">Scheffer, M., Carpenter, S., Foley, J.A., Folke, C. &amp; Walker, B. (2001) Catastrophic shifts in ecosystems. </w:t>
      </w:r>
      <w:r w:rsidRPr="008264CF">
        <w:rPr>
          <w:rFonts w:ascii="Calibri" w:hAnsi="Calibri" w:cs="Times New Roman"/>
          <w:i/>
          <w:iCs/>
          <w:noProof/>
          <w:szCs w:val="24"/>
        </w:rPr>
        <w:t>Nature</w:t>
      </w:r>
      <w:r w:rsidRPr="008264CF">
        <w:rPr>
          <w:rFonts w:ascii="Calibri" w:hAnsi="Calibri" w:cs="Times New Roman"/>
          <w:noProof/>
          <w:szCs w:val="24"/>
        </w:rPr>
        <w:t xml:space="preserve">, </w:t>
      </w:r>
      <w:r w:rsidRPr="008264CF">
        <w:rPr>
          <w:rFonts w:ascii="Calibri" w:hAnsi="Calibri" w:cs="Times New Roman"/>
          <w:b/>
          <w:bCs/>
          <w:noProof/>
          <w:szCs w:val="24"/>
        </w:rPr>
        <w:t>413</w:t>
      </w:r>
      <w:r w:rsidRPr="008264CF">
        <w:rPr>
          <w:rFonts w:ascii="Calibri" w:hAnsi="Calibri" w:cs="Times New Roman"/>
          <w:noProof/>
          <w:szCs w:val="24"/>
        </w:rPr>
        <w:t>, 591–6.</w:t>
      </w:r>
    </w:p>
    <w:p w:rsidR="008264CF" w:rsidRPr="008264CF" w:rsidRDefault="008264CF" w:rsidP="008264CF">
      <w:pPr>
        <w:widowControl w:val="0"/>
        <w:autoSpaceDE w:val="0"/>
        <w:autoSpaceDN w:val="0"/>
        <w:adjustRightInd w:val="0"/>
        <w:spacing w:after="140" w:line="240" w:lineRule="auto"/>
        <w:ind w:left="480" w:hanging="480"/>
        <w:rPr>
          <w:rFonts w:ascii="Calibri" w:hAnsi="Calibri" w:cs="Times New Roman"/>
          <w:noProof/>
          <w:szCs w:val="24"/>
        </w:rPr>
      </w:pPr>
      <w:r w:rsidRPr="008264CF">
        <w:rPr>
          <w:rFonts w:ascii="Calibri" w:hAnsi="Calibri" w:cs="Times New Roman"/>
          <w:noProof/>
          <w:szCs w:val="24"/>
        </w:rPr>
        <w:t xml:space="preserve">Scheffer, M., Hirota, M., Holmgren, M., Van Nes, E.H. &amp; Chapin, F.S. (2012) Thresholds for boreal biome transitions. </w:t>
      </w:r>
      <w:r w:rsidRPr="008264CF">
        <w:rPr>
          <w:rFonts w:ascii="Calibri" w:hAnsi="Calibri" w:cs="Times New Roman"/>
          <w:i/>
          <w:iCs/>
          <w:noProof/>
          <w:szCs w:val="24"/>
        </w:rPr>
        <w:t>Proceedings of the National Academy of Sciences of the United States of America</w:t>
      </w:r>
      <w:r w:rsidRPr="008264CF">
        <w:rPr>
          <w:rFonts w:ascii="Calibri" w:hAnsi="Calibri" w:cs="Times New Roman"/>
          <w:noProof/>
          <w:szCs w:val="24"/>
        </w:rPr>
        <w:t xml:space="preserve">, </w:t>
      </w:r>
      <w:r w:rsidRPr="008264CF">
        <w:rPr>
          <w:rFonts w:ascii="Calibri" w:hAnsi="Calibri" w:cs="Times New Roman"/>
          <w:b/>
          <w:bCs/>
          <w:noProof/>
          <w:szCs w:val="24"/>
        </w:rPr>
        <w:t>109</w:t>
      </w:r>
      <w:r w:rsidRPr="008264CF">
        <w:rPr>
          <w:rFonts w:ascii="Calibri" w:hAnsi="Calibri" w:cs="Times New Roman"/>
          <w:noProof/>
          <w:szCs w:val="24"/>
        </w:rPr>
        <w:t>, 21384–9.</w:t>
      </w:r>
    </w:p>
    <w:p w:rsidR="008264CF" w:rsidRPr="008264CF" w:rsidRDefault="008264CF" w:rsidP="008264CF">
      <w:pPr>
        <w:widowControl w:val="0"/>
        <w:autoSpaceDE w:val="0"/>
        <w:autoSpaceDN w:val="0"/>
        <w:adjustRightInd w:val="0"/>
        <w:spacing w:after="140" w:line="240" w:lineRule="auto"/>
        <w:ind w:left="480" w:hanging="480"/>
        <w:rPr>
          <w:rFonts w:ascii="Calibri" w:hAnsi="Calibri" w:cs="Times New Roman"/>
          <w:noProof/>
          <w:szCs w:val="24"/>
        </w:rPr>
      </w:pPr>
      <w:r w:rsidRPr="008264CF">
        <w:rPr>
          <w:rFonts w:ascii="Calibri" w:hAnsi="Calibri" w:cs="Times New Roman"/>
          <w:noProof/>
          <w:szCs w:val="24"/>
        </w:rPr>
        <w:t xml:space="preserve">Schielzeth, H. (2010) Simple means to improve the interpretability of regression coefficients. </w:t>
      </w:r>
      <w:r w:rsidRPr="008264CF">
        <w:rPr>
          <w:rFonts w:ascii="Calibri" w:hAnsi="Calibri" w:cs="Times New Roman"/>
          <w:i/>
          <w:iCs/>
          <w:noProof/>
          <w:szCs w:val="24"/>
        </w:rPr>
        <w:t>Methods in Ecology and Evolution</w:t>
      </w:r>
      <w:r w:rsidRPr="008264CF">
        <w:rPr>
          <w:rFonts w:ascii="Calibri" w:hAnsi="Calibri" w:cs="Times New Roman"/>
          <w:noProof/>
          <w:szCs w:val="24"/>
        </w:rPr>
        <w:t xml:space="preserve">, </w:t>
      </w:r>
      <w:r w:rsidRPr="008264CF">
        <w:rPr>
          <w:rFonts w:ascii="Calibri" w:hAnsi="Calibri" w:cs="Times New Roman"/>
          <w:b/>
          <w:bCs/>
          <w:noProof/>
          <w:szCs w:val="24"/>
        </w:rPr>
        <w:t>1</w:t>
      </w:r>
      <w:r w:rsidRPr="008264CF">
        <w:rPr>
          <w:rFonts w:ascii="Calibri" w:hAnsi="Calibri" w:cs="Times New Roman"/>
          <w:noProof/>
          <w:szCs w:val="24"/>
        </w:rPr>
        <w:t>, 103–113.</w:t>
      </w:r>
    </w:p>
    <w:p w:rsidR="008264CF" w:rsidRPr="008264CF" w:rsidRDefault="008264CF" w:rsidP="008264CF">
      <w:pPr>
        <w:widowControl w:val="0"/>
        <w:autoSpaceDE w:val="0"/>
        <w:autoSpaceDN w:val="0"/>
        <w:adjustRightInd w:val="0"/>
        <w:spacing w:after="140" w:line="240" w:lineRule="auto"/>
        <w:ind w:left="480" w:hanging="480"/>
        <w:rPr>
          <w:rFonts w:ascii="Calibri" w:hAnsi="Calibri" w:cs="Times New Roman"/>
          <w:noProof/>
          <w:szCs w:val="24"/>
        </w:rPr>
      </w:pPr>
      <w:r w:rsidRPr="008264CF">
        <w:rPr>
          <w:rFonts w:ascii="Calibri" w:hAnsi="Calibri" w:cs="Times New Roman"/>
          <w:noProof/>
          <w:szCs w:val="24"/>
        </w:rPr>
        <w:t xml:space="preserve">Scholes, R., Settele, J., Betts, R., Bunn, S., Leadley, P., Nepstad, D., Overpeck, J. &amp; Taboada, M.G. (2014) Terrestrial and inland water systems. </w:t>
      </w:r>
      <w:r w:rsidRPr="008264CF">
        <w:rPr>
          <w:rFonts w:ascii="Calibri" w:hAnsi="Calibri" w:cs="Times New Roman"/>
          <w:i/>
          <w:iCs/>
          <w:noProof/>
          <w:szCs w:val="24"/>
        </w:rPr>
        <w:t>Climate Change 2014: Impacts, Adaptation, and Vulnerability</w:t>
      </w:r>
      <w:r w:rsidRPr="008264CF">
        <w:rPr>
          <w:rFonts w:ascii="Calibri" w:hAnsi="Calibri" w:cs="Times New Roman"/>
          <w:noProof/>
          <w:szCs w:val="24"/>
        </w:rPr>
        <w:t xml:space="preserve"> (eds C. Field),, V. Barros),, K. Mach), &amp; M. Mastrandrea), pp. 271–360. Cambridge University Press, Cambridge.</w:t>
      </w:r>
    </w:p>
    <w:p w:rsidR="008264CF" w:rsidRPr="008264CF" w:rsidRDefault="008264CF" w:rsidP="008264CF">
      <w:pPr>
        <w:widowControl w:val="0"/>
        <w:autoSpaceDE w:val="0"/>
        <w:autoSpaceDN w:val="0"/>
        <w:adjustRightInd w:val="0"/>
        <w:spacing w:after="140" w:line="240" w:lineRule="auto"/>
        <w:ind w:left="480" w:hanging="480"/>
        <w:rPr>
          <w:rFonts w:ascii="Calibri" w:hAnsi="Calibri" w:cs="Times New Roman"/>
          <w:noProof/>
          <w:szCs w:val="24"/>
        </w:rPr>
      </w:pPr>
      <w:r w:rsidRPr="008264CF">
        <w:rPr>
          <w:rFonts w:ascii="Calibri" w:hAnsi="Calibri" w:cs="Times New Roman"/>
          <w:noProof/>
          <w:szCs w:val="24"/>
        </w:rPr>
        <w:t xml:space="preserve">Seidl, R., Schelhaas, M., Rammer, W. &amp; Verkerk, P.J. (2014) Increasing forest disturbances in Europe and their impact on carbon storage. </w:t>
      </w:r>
      <w:r w:rsidRPr="008264CF">
        <w:rPr>
          <w:rFonts w:ascii="Calibri" w:hAnsi="Calibri" w:cs="Times New Roman"/>
          <w:i/>
          <w:iCs/>
          <w:noProof/>
          <w:szCs w:val="24"/>
        </w:rPr>
        <w:t>Nature Climate Change</w:t>
      </w:r>
      <w:r w:rsidRPr="008264CF">
        <w:rPr>
          <w:rFonts w:ascii="Calibri" w:hAnsi="Calibri" w:cs="Times New Roman"/>
          <w:noProof/>
          <w:szCs w:val="24"/>
        </w:rPr>
        <w:t>, 1–6.</w:t>
      </w:r>
    </w:p>
    <w:p w:rsidR="008264CF" w:rsidRPr="008264CF" w:rsidRDefault="008264CF" w:rsidP="008264CF">
      <w:pPr>
        <w:widowControl w:val="0"/>
        <w:autoSpaceDE w:val="0"/>
        <w:autoSpaceDN w:val="0"/>
        <w:adjustRightInd w:val="0"/>
        <w:spacing w:after="140" w:line="240" w:lineRule="auto"/>
        <w:ind w:left="480" w:hanging="480"/>
        <w:rPr>
          <w:rFonts w:ascii="Calibri" w:hAnsi="Calibri" w:cs="Times New Roman"/>
          <w:noProof/>
          <w:szCs w:val="24"/>
        </w:rPr>
      </w:pPr>
      <w:r w:rsidRPr="008264CF">
        <w:rPr>
          <w:rFonts w:ascii="Calibri" w:hAnsi="Calibri" w:cs="Times New Roman"/>
          <w:noProof/>
          <w:szCs w:val="24"/>
        </w:rPr>
        <w:t xml:space="preserve">Seidl, R., Spies, T. a., Peterson, D.L., Stephens, S.L. &amp; Hicke, J. a. (2015) Searching for resilience: addressing the impacts of changing disturbance regimes on forest ecosystem services. </w:t>
      </w:r>
      <w:r w:rsidRPr="008264CF">
        <w:rPr>
          <w:rFonts w:ascii="Calibri" w:hAnsi="Calibri" w:cs="Times New Roman"/>
          <w:i/>
          <w:iCs/>
          <w:noProof/>
          <w:szCs w:val="24"/>
        </w:rPr>
        <w:t>Journal of Applied Ecology</w:t>
      </w:r>
      <w:r w:rsidRPr="008264CF">
        <w:rPr>
          <w:rFonts w:ascii="Calibri" w:hAnsi="Calibri" w:cs="Times New Roman"/>
          <w:noProof/>
          <w:szCs w:val="24"/>
        </w:rPr>
        <w:t>, n/a–n/a.</w:t>
      </w:r>
    </w:p>
    <w:p w:rsidR="008264CF" w:rsidRPr="008264CF" w:rsidRDefault="008264CF" w:rsidP="008264CF">
      <w:pPr>
        <w:widowControl w:val="0"/>
        <w:autoSpaceDE w:val="0"/>
        <w:autoSpaceDN w:val="0"/>
        <w:adjustRightInd w:val="0"/>
        <w:spacing w:after="140" w:line="240" w:lineRule="auto"/>
        <w:ind w:left="480" w:hanging="480"/>
        <w:rPr>
          <w:rFonts w:ascii="Calibri" w:hAnsi="Calibri" w:cs="Times New Roman"/>
          <w:noProof/>
          <w:szCs w:val="24"/>
        </w:rPr>
      </w:pPr>
      <w:r w:rsidRPr="008264CF">
        <w:rPr>
          <w:rFonts w:ascii="Calibri" w:hAnsi="Calibri" w:cs="Times New Roman"/>
          <w:noProof/>
          <w:szCs w:val="24"/>
        </w:rPr>
        <w:t xml:space="preserve">Shade, A., Peter, H., Allison, S.D., Baho, D.L., Berga, M., Bürgmann, H., Huber, D.H., Langenheder, S., Lennon, J.T., Martiny, J.B.H., Matulich, K.L., Schmidt, T.M. &amp; Handelsman, J. (2012) Fundamentals of Microbial Community Resistance and Resilience. </w:t>
      </w:r>
      <w:r w:rsidRPr="008264CF">
        <w:rPr>
          <w:rFonts w:ascii="Calibri" w:hAnsi="Calibri" w:cs="Times New Roman"/>
          <w:i/>
          <w:iCs/>
          <w:noProof/>
          <w:szCs w:val="24"/>
        </w:rPr>
        <w:t>Frontiers in Microbiology</w:t>
      </w:r>
      <w:r w:rsidRPr="008264CF">
        <w:rPr>
          <w:rFonts w:ascii="Calibri" w:hAnsi="Calibri" w:cs="Times New Roman"/>
          <w:noProof/>
          <w:szCs w:val="24"/>
        </w:rPr>
        <w:t xml:space="preserve">, </w:t>
      </w:r>
      <w:r w:rsidRPr="008264CF">
        <w:rPr>
          <w:rFonts w:ascii="Calibri" w:hAnsi="Calibri" w:cs="Times New Roman"/>
          <w:b/>
          <w:bCs/>
          <w:noProof/>
          <w:szCs w:val="24"/>
        </w:rPr>
        <w:t>3</w:t>
      </w:r>
      <w:r w:rsidRPr="008264CF">
        <w:rPr>
          <w:rFonts w:ascii="Calibri" w:hAnsi="Calibri" w:cs="Times New Roman"/>
          <w:noProof/>
          <w:szCs w:val="24"/>
        </w:rPr>
        <w:t>, 1–19.</w:t>
      </w:r>
    </w:p>
    <w:p w:rsidR="008264CF" w:rsidRPr="008264CF" w:rsidRDefault="008264CF" w:rsidP="008264CF">
      <w:pPr>
        <w:widowControl w:val="0"/>
        <w:autoSpaceDE w:val="0"/>
        <w:autoSpaceDN w:val="0"/>
        <w:adjustRightInd w:val="0"/>
        <w:spacing w:after="140" w:line="240" w:lineRule="auto"/>
        <w:ind w:left="480" w:hanging="480"/>
        <w:rPr>
          <w:rFonts w:ascii="Calibri" w:hAnsi="Calibri" w:cs="Times New Roman"/>
          <w:noProof/>
          <w:szCs w:val="24"/>
        </w:rPr>
      </w:pPr>
      <w:r w:rsidRPr="008264CF">
        <w:rPr>
          <w:rFonts w:ascii="Calibri" w:hAnsi="Calibri" w:cs="Times New Roman"/>
          <w:noProof/>
          <w:szCs w:val="24"/>
        </w:rPr>
        <w:t xml:space="preserve">Sheil, D., Burslem, D.F.R.P. &amp; Alder, D. (1995) The Interpretation and misinterpretation of mortality rate measures. </w:t>
      </w:r>
      <w:r w:rsidRPr="008264CF">
        <w:rPr>
          <w:rFonts w:ascii="Calibri" w:hAnsi="Calibri" w:cs="Times New Roman"/>
          <w:i/>
          <w:iCs/>
          <w:noProof/>
          <w:szCs w:val="24"/>
        </w:rPr>
        <w:t>Journal of Ecology</w:t>
      </w:r>
      <w:r w:rsidRPr="008264CF">
        <w:rPr>
          <w:rFonts w:ascii="Calibri" w:hAnsi="Calibri" w:cs="Times New Roman"/>
          <w:noProof/>
          <w:szCs w:val="24"/>
        </w:rPr>
        <w:t xml:space="preserve">, </w:t>
      </w:r>
      <w:r w:rsidRPr="008264CF">
        <w:rPr>
          <w:rFonts w:ascii="Calibri" w:hAnsi="Calibri" w:cs="Times New Roman"/>
          <w:b/>
          <w:bCs/>
          <w:noProof/>
          <w:szCs w:val="24"/>
        </w:rPr>
        <w:t>83</w:t>
      </w:r>
      <w:r w:rsidRPr="008264CF">
        <w:rPr>
          <w:rFonts w:ascii="Calibri" w:hAnsi="Calibri" w:cs="Times New Roman"/>
          <w:noProof/>
          <w:szCs w:val="24"/>
        </w:rPr>
        <w:t>, 331–333.</w:t>
      </w:r>
    </w:p>
    <w:p w:rsidR="008264CF" w:rsidRPr="008264CF" w:rsidRDefault="008264CF" w:rsidP="008264CF">
      <w:pPr>
        <w:widowControl w:val="0"/>
        <w:autoSpaceDE w:val="0"/>
        <w:autoSpaceDN w:val="0"/>
        <w:adjustRightInd w:val="0"/>
        <w:spacing w:after="140" w:line="240" w:lineRule="auto"/>
        <w:ind w:left="480" w:hanging="480"/>
        <w:rPr>
          <w:rFonts w:ascii="Calibri" w:hAnsi="Calibri" w:cs="Times New Roman"/>
          <w:noProof/>
          <w:szCs w:val="24"/>
        </w:rPr>
      </w:pPr>
      <w:r w:rsidRPr="008264CF">
        <w:rPr>
          <w:rFonts w:ascii="Calibri" w:hAnsi="Calibri" w:cs="Times New Roman"/>
          <w:noProof/>
          <w:szCs w:val="24"/>
        </w:rPr>
        <w:lastRenderedPageBreak/>
        <w:t xml:space="preserve">Sousa, W.. (2001) Natural disturbance and the dynamics of marine benthic communities. </w:t>
      </w:r>
      <w:r w:rsidRPr="008264CF">
        <w:rPr>
          <w:rFonts w:ascii="Calibri" w:hAnsi="Calibri" w:cs="Times New Roman"/>
          <w:i/>
          <w:iCs/>
          <w:noProof/>
          <w:szCs w:val="24"/>
        </w:rPr>
        <w:t>Marine Community Ecology</w:t>
      </w:r>
      <w:r w:rsidRPr="008264CF">
        <w:rPr>
          <w:rFonts w:ascii="Calibri" w:hAnsi="Calibri" w:cs="Times New Roman"/>
          <w:noProof/>
          <w:szCs w:val="24"/>
        </w:rPr>
        <w:t xml:space="preserve"> (eds M.D. Bertness),, S. Gaines), &amp; M.E. Hay), pp. 85–130. Sinauer Associates Inc., Sunderland , MA.</w:t>
      </w:r>
    </w:p>
    <w:p w:rsidR="008264CF" w:rsidRPr="008264CF" w:rsidRDefault="008264CF" w:rsidP="008264CF">
      <w:pPr>
        <w:widowControl w:val="0"/>
        <w:autoSpaceDE w:val="0"/>
        <w:autoSpaceDN w:val="0"/>
        <w:adjustRightInd w:val="0"/>
        <w:spacing w:after="140" w:line="240" w:lineRule="auto"/>
        <w:ind w:left="480" w:hanging="480"/>
        <w:rPr>
          <w:rFonts w:ascii="Calibri" w:hAnsi="Calibri"/>
          <w:noProof/>
        </w:rPr>
      </w:pPr>
      <w:r w:rsidRPr="008264CF">
        <w:rPr>
          <w:rFonts w:ascii="Calibri" w:hAnsi="Calibri" w:cs="Times New Roman"/>
          <w:noProof/>
          <w:szCs w:val="24"/>
        </w:rPr>
        <w:t>Wilensky, U. (1999) Netlogo.</w:t>
      </w:r>
    </w:p>
    <w:p w:rsidR="00F11B0B" w:rsidRPr="004E3A00" w:rsidRDefault="00F11B0B" w:rsidP="008264CF">
      <w:pPr>
        <w:widowControl w:val="0"/>
        <w:autoSpaceDE w:val="0"/>
        <w:autoSpaceDN w:val="0"/>
        <w:adjustRightInd w:val="0"/>
        <w:spacing w:after="140" w:line="240" w:lineRule="auto"/>
        <w:ind w:left="480" w:hanging="480"/>
      </w:pPr>
      <w:r w:rsidRPr="004E3A00">
        <w:fldChar w:fldCharType="end"/>
      </w:r>
    </w:p>
    <w:p w:rsidR="00F11B0B" w:rsidRPr="004E3A00" w:rsidRDefault="00F11B0B" w:rsidP="00F11B0B">
      <w:pPr>
        <w:spacing w:line="360" w:lineRule="auto"/>
        <w:contextualSpacing/>
      </w:pPr>
    </w:p>
    <w:p w:rsidR="00F11B0B" w:rsidRPr="004E3A00" w:rsidRDefault="00F11B0B" w:rsidP="00F11B0B">
      <w:pPr>
        <w:spacing w:before="40" w:after="140" w:line="360" w:lineRule="auto"/>
        <w:contextualSpacing/>
        <w:rPr>
          <w:rFonts w:ascii="Times New Roman" w:eastAsia="Times New Roman" w:hAnsi="Times New Roman" w:cs="Times New Roman"/>
          <w:sz w:val="24"/>
          <w:szCs w:val="24"/>
          <w:lang w:eastAsia="en-GB"/>
        </w:rPr>
      </w:pPr>
      <w:r w:rsidRPr="004E3A00">
        <w:rPr>
          <w:rFonts w:ascii="Arial" w:eastAsia="Times New Roman" w:hAnsi="Arial" w:cs="Arial"/>
          <w:b/>
          <w:bCs/>
          <w:color w:val="000000"/>
          <w:lang w:eastAsia="en-GB"/>
        </w:rPr>
        <w:t>Figures</w:t>
      </w:r>
    </w:p>
    <w:p w:rsidR="00A87DA1" w:rsidRDefault="009B3945" w:rsidP="00F11B0B">
      <w:pPr>
        <w:spacing w:before="40" w:after="140" w:line="360" w:lineRule="auto"/>
        <w:contextualSpacing/>
        <w:rPr>
          <w:rFonts w:ascii="Arial" w:eastAsia="Times New Roman" w:hAnsi="Arial" w:cs="Arial"/>
          <w:color w:val="000000"/>
          <w:lang w:eastAsia="en-GB"/>
        </w:rPr>
      </w:pPr>
      <w:r>
        <w:rPr>
          <w:rFonts w:ascii="Arial" w:eastAsia="Times New Roman" w:hAnsi="Arial" w:cs="Arial"/>
          <w:noProof/>
          <w:color w:val="000000"/>
          <w:lang w:eastAsia="en-GB"/>
        </w:rPr>
        <w:drawing>
          <wp:inline distT="0" distB="0" distL="0" distR="0" wp14:anchorId="7F37B3D5" wp14:editId="16FAE300">
            <wp:extent cx="5731510" cy="4298950"/>
            <wp:effectExtent l="0" t="0" r="254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edling_sapling.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p w:rsidR="00A05E5E" w:rsidRPr="004E3A00" w:rsidRDefault="00A05E5E" w:rsidP="00F11B0B">
      <w:pPr>
        <w:spacing w:before="40" w:after="140" w:line="360" w:lineRule="auto"/>
        <w:contextualSpacing/>
        <w:rPr>
          <w:rFonts w:ascii="Arial" w:eastAsia="Times New Roman" w:hAnsi="Arial" w:cs="Arial"/>
          <w:color w:val="000000"/>
          <w:lang w:eastAsia="en-GB"/>
        </w:rPr>
      </w:pPr>
      <w:r>
        <w:rPr>
          <w:rFonts w:ascii="Arial" w:eastAsia="Times New Roman" w:hAnsi="Arial" w:cs="Arial"/>
          <w:color w:val="000000"/>
          <w:lang w:eastAsia="en-GB"/>
        </w:rPr>
        <w:t>Figure 1 – Relationship between density of beech (a</w:t>
      </w:r>
      <w:r w:rsidR="001D43DA">
        <w:rPr>
          <w:rFonts w:ascii="Arial" w:eastAsia="Times New Roman" w:hAnsi="Arial" w:cs="Arial"/>
          <w:color w:val="000000"/>
          <w:lang w:eastAsia="en-GB"/>
        </w:rPr>
        <w:t>, c</w:t>
      </w:r>
      <w:r>
        <w:rPr>
          <w:rFonts w:ascii="Arial" w:eastAsia="Times New Roman" w:hAnsi="Arial" w:cs="Arial"/>
          <w:color w:val="000000"/>
          <w:lang w:eastAsia="en-GB"/>
        </w:rPr>
        <w:t>) seedlings and (b</w:t>
      </w:r>
      <w:r w:rsidR="001D43DA">
        <w:rPr>
          <w:rFonts w:ascii="Arial" w:eastAsia="Times New Roman" w:hAnsi="Arial" w:cs="Arial"/>
          <w:color w:val="000000"/>
          <w:lang w:eastAsia="en-GB"/>
        </w:rPr>
        <w:t>, d</w:t>
      </w:r>
      <w:r>
        <w:rPr>
          <w:rFonts w:ascii="Arial" w:eastAsia="Times New Roman" w:hAnsi="Arial" w:cs="Arial"/>
          <w:color w:val="000000"/>
          <w:lang w:eastAsia="en-GB"/>
        </w:rPr>
        <w:t xml:space="preserve">) saplings and canopy openness in woodlands in the New Forest showing signs </w:t>
      </w:r>
      <w:r w:rsidR="001D43DA">
        <w:rPr>
          <w:rFonts w:ascii="Arial" w:eastAsia="Times New Roman" w:hAnsi="Arial" w:cs="Arial"/>
          <w:color w:val="000000"/>
          <w:lang w:eastAsia="en-GB"/>
        </w:rPr>
        <w:t xml:space="preserve">of die-off. Plots </w:t>
      </w:r>
      <w:proofErr w:type="gramStart"/>
      <w:r w:rsidR="001D43DA">
        <w:rPr>
          <w:rFonts w:ascii="Arial" w:eastAsia="Times New Roman" w:hAnsi="Arial" w:cs="Arial"/>
          <w:color w:val="000000"/>
          <w:lang w:eastAsia="en-GB"/>
        </w:rPr>
        <w:t>a &amp;</w:t>
      </w:r>
      <w:proofErr w:type="gramEnd"/>
      <w:r w:rsidR="001D43DA">
        <w:rPr>
          <w:rFonts w:ascii="Arial" w:eastAsia="Times New Roman" w:hAnsi="Arial" w:cs="Arial"/>
          <w:color w:val="000000"/>
          <w:lang w:eastAsia="en-GB"/>
        </w:rPr>
        <w:t xml:space="preserve"> b use data from across the New Forest, while plots c &amp; d use data from Denny Wood. Solid lines represent predictions from coefficients with P ≤ 0.05.</w:t>
      </w:r>
    </w:p>
    <w:p w:rsidR="00A87DA1" w:rsidRPr="004E3A00" w:rsidRDefault="00C049AF" w:rsidP="00F11B0B">
      <w:pPr>
        <w:spacing w:before="40" w:after="140" w:line="360" w:lineRule="auto"/>
        <w:contextualSpacing/>
        <w:rPr>
          <w:rFonts w:ascii="Arial" w:eastAsia="Times New Roman" w:hAnsi="Arial" w:cs="Arial"/>
          <w:color w:val="000000"/>
          <w:lang w:eastAsia="en-GB"/>
        </w:rPr>
      </w:pPr>
      <w:r w:rsidRPr="004E3A00">
        <w:rPr>
          <w:rFonts w:ascii="Arial" w:eastAsia="Times New Roman" w:hAnsi="Arial" w:cs="Arial"/>
          <w:noProof/>
          <w:color w:val="000000"/>
          <w:lang w:eastAsia="en-GB"/>
        </w:rPr>
        <w:lastRenderedPageBreak/>
        <w:drawing>
          <wp:inline distT="0" distB="0" distL="0" distR="0" wp14:anchorId="31E32AC7" wp14:editId="72ECDB79">
            <wp:extent cx="5731510" cy="4093845"/>
            <wp:effectExtent l="0" t="0" r="254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lf_thinning_all.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4093845"/>
                    </a:xfrm>
                    <a:prstGeom prst="rect">
                      <a:avLst/>
                    </a:prstGeom>
                  </pic:spPr>
                </pic:pic>
              </a:graphicData>
            </a:graphic>
          </wp:inline>
        </w:drawing>
      </w:r>
    </w:p>
    <w:p w:rsidR="00C049AF" w:rsidRPr="004E3A00" w:rsidRDefault="00C049AF" w:rsidP="00C049AF">
      <w:pPr>
        <w:pStyle w:val="NormalWeb"/>
        <w:contextualSpacing/>
        <w:rPr>
          <w:rFonts w:ascii="Arial" w:hAnsi="Arial" w:cs="Arial"/>
        </w:rPr>
      </w:pPr>
      <w:commentRangeStart w:id="6"/>
      <w:r w:rsidRPr="004E3A00">
        <w:rPr>
          <w:rFonts w:ascii="Arial" w:hAnsi="Arial" w:cs="Arial"/>
        </w:rPr>
        <w:t>Figure 2 – Relationship between subplot stem density and total subplot basal area. Points represent individual plots in 1964 (red circles), 1996 (green triangles) and 2014 (blue squares). The solid line represents the prediction from a mixed model of this relationship with the grey band representing the coefficient confidence intervals. Note that that both x and y axes are log transformed.</w:t>
      </w:r>
      <w:commentRangeEnd w:id="6"/>
      <w:r w:rsidR="00305F4F">
        <w:rPr>
          <w:rStyle w:val="CommentReference"/>
          <w:rFonts w:asciiTheme="minorHAnsi" w:eastAsiaTheme="minorHAnsi" w:hAnsiTheme="minorHAnsi" w:cstheme="minorBidi"/>
          <w:lang w:eastAsia="en-US"/>
        </w:rPr>
        <w:commentReference w:id="6"/>
      </w:r>
    </w:p>
    <w:p w:rsidR="00A87DA1" w:rsidRPr="004E3A00" w:rsidRDefault="00A87DA1" w:rsidP="00F11B0B">
      <w:pPr>
        <w:spacing w:before="40" w:after="140" w:line="360" w:lineRule="auto"/>
        <w:contextualSpacing/>
        <w:rPr>
          <w:rFonts w:ascii="Arial" w:eastAsia="Times New Roman" w:hAnsi="Arial" w:cs="Arial"/>
          <w:color w:val="000000"/>
          <w:lang w:eastAsia="en-GB"/>
        </w:rPr>
      </w:pPr>
    </w:p>
    <w:p w:rsidR="00A87DA1" w:rsidRPr="004E3A00" w:rsidRDefault="005C5EFE" w:rsidP="00A87DA1">
      <w:pPr>
        <w:spacing w:line="360" w:lineRule="auto"/>
        <w:contextualSpacing/>
        <w:rPr>
          <w:rFonts w:ascii="Arial" w:hAnsi="Arial" w:cs="Arial"/>
        </w:rPr>
      </w:pPr>
      <w:r>
        <w:rPr>
          <w:rFonts w:ascii="Arial" w:hAnsi="Arial" w:cs="Arial"/>
          <w:noProof/>
          <w:lang w:eastAsia="en-GB"/>
        </w:rPr>
        <w:lastRenderedPageBreak/>
        <w:drawing>
          <wp:inline distT="0" distB="0" distL="0" distR="0" wp14:anchorId="03ACA03B" wp14:editId="108BA0DF">
            <wp:extent cx="5731510" cy="3439160"/>
            <wp:effectExtent l="0" t="0" r="254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ee_death.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3439160"/>
                    </a:xfrm>
                    <a:prstGeom prst="rect">
                      <a:avLst/>
                    </a:prstGeom>
                  </pic:spPr>
                </pic:pic>
              </a:graphicData>
            </a:graphic>
          </wp:inline>
        </w:drawing>
      </w:r>
    </w:p>
    <w:p w:rsidR="00A87DA1" w:rsidRDefault="00C049AF" w:rsidP="00BB3023">
      <w:pPr>
        <w:spacing w:line="360" w:lineRule="auto"/>
        <w:contextualSpacing/>
        <w:rPr>
          <w:rFonts w:ascii="Arial" w:hAnsi="Arial" w:cs="Arial"/>
          <w:sz w:val="24"/>
        </w:rPr>
      </w:pPr>
      <w:r w:rsidRPr="00BB3023">
        <w:rPr>
          <w:rFonts w:ascii="Arial" w:hAnsi="Arial" w:cs="Arial"/>
          <w:sz w:val="24"/>
        </w:rPr>
        <w:t>Figure 3</w:t>
      </w:r>
      <w:r w:rsidR="00A87DA1" w:rsidRPr="00BB3023">
        <w:rPr>
          <w:rFonts w:ascii="Arial" w:hAnsi="Arial" w:cs="Arial"/>
          <w:sz w:val="24"/>
        </w:rPr>
        <w:t xml:space="preserve"> – Relationship between annual probability of beech tree death </w:t>
      </w:r>
      <w:r w:rsidR="0023188C">
        <w:rPr>
          <w:rFonts w:ascii="Arial" w:hAnsi="Arial" w:cs="Arial"/>
          <w:sz w:val="24"/>
        </w:rPr>
        <w:t xml:space="preserve">and </w:t>
      </w:r>
      <w:r w:rsidR="00A87DA1" w:rsidRPr="00BB3023">
        <w:rPr>
          <w:rFonts w:ascii="Arial" w:hAnsi="Arial" w:cs="Arial"/>
          <w:sz w:val="24"/>
        </w:rPr>
        <w:t>(a) growth rate per year, (b) diameter at breast height, (c) distance to nearest dead tree and (d) sand content of soil. Lines represent predictions generated from model-averaged parameter estimates.</w:t>
      </w:r>
      <w:r w:rsidR="0023188C">
        <w:rPr>
          <w:rFonts w:ascii="Arial" w:hAnsi="Arial" w:cs="Arial"/>
          <w:sz w:val="24"/>
        </w:rPr>
        <w:t xml:space="preserve"> Both growth rate per year and diameter at breast height were significant (p &lt; 0.05) predictors of tree death.</w:t>
      </w:r>
      <w:r w:rsidR="009E533A">
        <w:rPr>
          <w:rFonts w:ascii="Arial" w:hAnsi="Arial" w:cs="Arial"/>
          <w:sz w:val="24"/>
        </w:rPr>
        <w:t xml:space="preserve"> To produce predictions </w:t>
      </w:r>
      <w:r w:rsidR="00A6054F">
        <w:rPr>
          <w:rFonts w:ascii="Arial" w:hAnsi="Arial" w:cs="Arial"/>
          <w:sz w:val="24"/>
        </w:rPr>
        <w:t>all variables were held at their mean apart from the variable of interest.</w:t>
      </w:r>
    </w:p>
    <w:p w:rsidR="005C5EFE" w:rsidRDefault="005C5EFE">
      <w:pPr>
        <w:rPr>
          <w:rFonts w:ascii="Arial" w:hAnsi="Arial" w:cs="Arial"/>
          <w:sz w:val="24"/>
        </w:rPr>
      </w:pPr>
      <w:r>
        <w:rPr>
          <w:rFonts w:ascii="Arial" w:hAnsi="Arial" w:cs="Arial"/>
          <w:sz w:val="24"/>
        </w:rPr>
        <w:br w:type="page"/>
      </w:r>
    </w:p>
    <w:p w:rsidR="005C5EFE" w:rsidRPr="00BB3023" w:rsidRDefault="005C5EFE" w:rsidP="00BB3023">
      <w:pPr>
        <w:spacing w:line="360" w:lineRule="auto"/>
        <w:contextualSpacing/>
        <w:rPr>
          <w:rFonts w:ascii="Arial" w:hAnsi="Arial" w:cs="Arial"/>
          <w:sz w:val="24"/>
        </w:rPr>
      </w:pPr>
    </w:p>
    <w:p w:rsidR="00A87DA1" w:rsidRPr="004E3A00" w:rsidRDefault="00A87DA1" w:rsidP="00F11B0B">
      <w:pPr>
        <w:spacing w:before="40" w:after="140" w:line="360" w:lineRule="auto"/>
        <w:contextualSpacing/>
        <w:rPr>
          <w:rFonts w:ascii="Arial" w:eastAsia="Times New Roman" w:hAnsi="Arial" w:cs="Arial"/>
          <w:color w:val="000000"/>
          <w:lang w:eastAsia="en-GB"/>
        </w:rPr>
      </w:pPr>
    </w:p>
    <w:p w:rsidR="00A87DA1" w:rsidRPr="004E3A00" w:rsidRDefault="005C5EFE" w:rsidP="00F11B0B">
      <w:pPr>
        <w:spacing w:before="40" w:after="140" w:line="360" w:lineRule="auto"/>
        <w:contextualSpacing/>
        <w:rPr>
          <w:rFonts w:ascii="Arial" w:eastAsia="Times New Roman" w:hAnsi="Arial" w:cs="Arial"/>
          <w:color w:val="000000"/>
          <w:lang w:eastAsia="en-GB"/>
        </w:rPr>
      </w:pPr>
      <w:r>
        <w:rPr>
          <w:rFonts w:ascii="Arial" w:eastAsia="Times New Roman" w:hAnsi="Arial" w:cs="Arial"/>
          <w:noProof/>
          <w:color w:val="000000"/>
          <w:lang w:eastAsia="en-GB"/>
        </w:rPr>
        <w:drawing>
          <wp:inline distT="0" distB="0" distL="0" distR="0" wp14:anchorId="57A74FA5" wp14:editId="48A75577">
            <wp:extent cx="5267864" cy="3160952"/>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BM_results.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69673" cy="3162038"/>
                    </a:xfrm>
                    <a:prstGeom prst="rect">
                      <a:avLst/>
                    </a:prstGeom>
                  </pic:spPr>
                </pic:pic>
              </a:graphicData>
            </a:graphic>
          </wp:inline>
        </w:drawing>
      </w:r>
    </w:p>
    <w:p w:rsidR="00772722" w:rsidRPr="004E3A00" w:rsidRDefault="00F11B0B" w:rsidP="005C5EFE">
      <w:pPr>
        <w:spacing w:before="40" w:after="140" w:line="360" w:lineRule="auto"/>
        <w:contextualSpacing/>
        <w:rPr>
          <w:rFonts w:ascii="Arial" w:eastAsia="Times New Roman" w:hAnsi="Arial" w:cs="Arial"/>
          <w:color w:val="000000"/>
          <w:lang w:eastAsia="en-GB"/>
        </w:rPr>
      </w:pPr>
      <w:r w:rsidRPr="004E3A00">
        <w:rPr>
          <w:rFonts w:ascii="Arial" w:eastAsia="Times New Roman" w:hAnsi="Arial" w:cs="Arial"/>
          <w:color w:val="000000"/>
          <w:lang w:eastAsia="en-GB"/>
        </w:rPr>
        <w:t>F</w:t>
      </w:r>
      <w:r w:rsidR="00C049AF" w:rsidRPr="004E3A00">
        <w:rPr>
          <w:rFonts w:ascii="Arial" w:eastAsia="Times New Roman" w:hAnsi="Arial" w:cs="Arial"/>
          <w:color w:val="000000"/>
          <w:lang w:eastAsia="en-GB"/>
        </w:rPr>
        <w:t>igure 4</w:t>
      </w:r>
      <w:r w:rsidRPr="004E3A00">
        <w:rPr>
          <w:rFonts w:ascii="Arial" w:eastAsia="Times New Roman" w:hAnsi="Arial" w:cs="Arial"/>
          <w:color w:val="000000"/>
          <w:lang w:eastAsia="en-GB"/>
        </w:rPr>
        <w:t xml:space="preserve"> </w:t>
      </w:r>
      <w:r w:rsidR="00772722" w:rsidRPr="004E3A00">
        <w:rPr>
          <w:rFonts w:ascii="Arial" w:eastAsia="Times New Roman" w:hAnsi="Arial" w:cs="Arial"/>
          <w:color w:val="000000"/>
          <w:lang w:eastAsia="en-GB"/>
        </w:rPr>
        <w:t>–</w:t>
      </w:r>
      <w:r w:rsidRPr="004E3A00">
        <w:rPr>
          <w:rFonts w:ascii="Arial" w:eastAsia="Times New Roman" w:hAnsi="Arial" w:cs="Arial"/>
          <w:color w:val="000000"/>
          <w:lang w:eastAsia="en-GB"/>
        </w:rPr>
        <w:t xml:space="preserve"> </w:t>
      </w:r>
      <w:r w:rsidR="00772722" w:rsidRPr="004E3A00">
        <w:rPr>
          <w:rFonts w:ascii="Arial" w:eastAsia="Times New Roman" w:hAnsi="Arial" w:cs="Arial"/>
          <w:color w:val="000000"/>
          <w:lang w:eastAsia="en-GB"/>
        </w:rPr>
        <w:t xml:space="preserve">The effect of feedbacks in mature tree death and juvenile mortality </w:t>
      </w:r>
      <w:r w:rsidR="005C5EFE">
        <w:rPr>
          <w:rFonts w:ascii="Arial" w:eastAsia="Times New Roman" w:hAnsi="Arial" w:cs="Arial"/>
          <w:color w:val="000000"/>
          <w:lang w:eastAsia="en-GB"/>
        </w:rPr>
        <w:t xml:space="preserve">on predicted </w:t>
      </w:r>
      <w:r w:rsidR="00772722" w:rsidRPr="004E3A00">
        <w:rPr>
          <w:rFonts w:ascii="Arial" w:eastAsia="Times New Roman" w:hAnsi="Arial" w:cs="Arial"/>
          <w:color w:val="000000"/>
          <w:lang w:eastAsia="en-GB"/>
        </w:rPr>
        <w:t xml:space="preserve">basal area from 1964 to 2114. </w:t>
      </w:r>
      <w:r w:rsidR="005C5EFE">
        <w:rPr>
          <w:rFonts w:ascii="Arial" w:eastAsia="Times New Roman" w:hAnsi="Arial" w:cs="Arial"/>
          <w:color w:val="000000"/>
          <w:lang w:eastAsia="en-GB"/>
        </w:rPr>
        <w:t>L</w:t>
      </w:r>
      <w:r w:rsidR="00772722" w:rsidRPr="004E3A00">
        <w:rPr>
          <w:rFonts w:ascii="Arial" w:eastAsia="Times New Roman" w:hAnsi="Arial" w:cs="Arial"/>
          <w:color w:val="000000"/>
          <w:lang w:eastAsia="en-GB"/>
        </w:rPr>
        <w:t>ines represent mean basal area at each model time step</w:t>
      </w:r>
      <w:r w:rsidR="005C5EFE">
        <w:rPr>
          <w:rFonts w:ascii="Arial" w:eastAsia="Times New Roman" w:hAnsi="Arial" w:cs="Arial"/>
          <w:color w:val="000000"/>
          <w:lang w:eastAsia="en-GB"/>
        </w:rPr>
        <w:t>, with solid lines representing a model with no feedbacks and the dashed line with a spatial feedback in probability of death</w:t>
      </w:r>
      <w:r w:rsidR="00772722" w:rsidRPr="004E3A00">
        <w:rPr>
          <w:rFonts w:ascii="Arial" w:eastAsia="Times New Roman" w:hAnsi="Arial" w:cs="Arial"/>
          <w:color w:val="000000"/>
          <w:lang w:eastAsia="en-GB"/>
        </w:rPr>
        <w:t xml:space="preserve">. </w:t>
      </w:r>
      <w:r w:rsidR="005C5EFE">
        <w:rPr>
          <w:rFonts w:ascii="Arial" w:eastAsia="Times New Roman" w:hAnsi="Arial" w:cs="Arial"/>
          <w:color w:val="000000"/>
          <w:lang w:eastAsia="en-GB"/>
        </w:rPr>
        <w:t xml:space="preserve">Circes </w:t>
      </w:r>
      <w:r w:rsidR="00772722" w:rsidRPr="004E3A00">
        <w:rPr>
          <w:rFonts w:ascii="Arial" w:eastAsia="Times New Roman" w:hAnsi="Arial" w:cs="Arial"/>
          <w:color w:val="000000"/>
          <w:lang w:eastAsia="en-GB"/>
        </w:rPr>
        <w:t>represent field observations from 1964 – 2014 to allow comparison between model results and real data.</w:t>
      </w:r>
      <w:r w:rsidR="005C5EFE">
        <w:rPr>
          <w:rFonts w:ascii="Arial" w:eastAsia="Times New Roman" w:hAnsi="Arial" w:cs="Arial"/>
          <w:color w:val="000000"/>
          <w:lang w:eastAsia="en-GB"/>
        </w:rPr>
        <w:t xml:space="preserve"> Each panel represents a differing annual change of juvenile mortality</w:t>
      </w:r>
      <w:r w:rsidR="00772722" w:rsidRPr="004E3A00">
        <w:rPr>
          <w:rFonts w:ascii="Arial" w:eastAsia="Times New Roman" w:hAnsi="Arial" w:cs="Arial"/>
          <w:color w:val="000000"/>
          <w:lang w:eastAsia="en-GB"/>
        </w:rPr>
        <w:br w:type="page"/>
      </w:r>
    </w:p>
    <w:p w:rsidR="00F11B0B" w:rsidRPr="004E3A00" w:rsidRDefault="00F11B0B" w:rsidP="00F11B0B">
      <w:pPr>
        <w:spacing w:before="40" w:after="140" w:line="360" w:lineRule="auto"/>
        <w:contextualSpacing/>
        <w:rPr>
          <w:rFonts w:ascii="Times New Roman" w:eastAsia="Times New Roman" w:hAnsi="Times New Roman" w:cs="Times New Roman"/>
          <w:sz w:val="24"/>
          <w:szCs w:val="24"/>
          <w:lang w:eastAsia="en-GB"/>
        </w:rPr>
      </w:pPr>
      <w:r w:rsidRPr="004E3A00">
        <w:rPr>
          <w:rFonts w:ascii="Arial" w:eastAsia="Times New Roman" w:hAnsi="Arial" w:cs="Arial"/>
          <w:color w:val="000000"/>
          <w:lang w:eastAsia="en-GB"/>
        </w:rPr>
        <w:lastRenderedPageBreak/>
        <w:t xml:space="preserve">Table 1 </w:t>
      </w:r>
      <w:r w:rsidR="00772722" w:rsidRPr="004E3A00">
        <w:rPr>
          <w:rFonts w:ascii="Arial" w:eastAsia="Times New Roman" w:hAnsi="Arial" w:cs="Arial"/>
          <w:color w:val="000000"/>
          <w:lang w:eastAsia="en-GB"/>
        </w:rPr>
        <w:t>–</w:t>
      </w:r>
      <w:r w:rsidRPr="004E3A00">
        <w:rPr>
          <w:rFonts w:ascii="Arial" w:eastAsia="Times New Roman" w:hAnsi="Arial" w:cs="Arial"/>
          <w:color w:val="000000"/>
          <w:lang w:eastAsia="en-GB"/>
        </w:rPr>
        <w:t xml:space="preserve"> </w:t>
      </w:r>
      <w:r w:rsidR="00772722" w:rsidRPr="004E3A00">
        <w:rPr>
          <w:rFonts w:ascii="Arial" w:eastAsia="Times New Roman" w:hAnsi="Arial" w:cs="Arial"/>
          <w:color w:val="000000"/>
          <w:lang w:eastAsia="en-GB"/>
        </w:rPr>
        <w:t>Summary of recruitment and mortality of saplings in Denny wood from 1964 to 2014</w:t>
      </w:r>
    </w:p>
    <w:p w:rsidR="00A87DA1" w:rsidRDefault="00A87DA1" w:rsidP="00F11B0B">
      <w:pPr>
        <w:spacing w:before="40" w:after="140" w:line="360" w:lineRule="auto"/>
        <w:contextualSpacing/>
        <w:rPr>
          <w:rFonts w:ascii="Arial" w:eastAsia="Times New Roman" w:hAnsi="Arial" w:cs="Arial"/>
          <w:color w:val="000000"/>
          <w:lang w:eastAsia="en-GB"/>
        </w:rPr>
      </w:pPr>
    </w:p>
    <w:tbl>
      <w:tblPr>
        <w:tblW w:w="9703" w:type="dxa"/>
        <w:tblInd w:w="-459" w:type="dxa"/>
        <w:tblLook w:val="04A0" w:firstRow="1" w:lastRow="0" w:firstColumn="1" w:lastColumn="0" w:noHBand="0" w:noVBand="1"/>
      </w:tblPr>
      <w:tblGrid>
        <w:gridCol w:w="1521"/>
        <w:gridCol w:w="1031"/>
        <w:gridCol w:w="1441"/>
        <w:gridCol w:w="1428"/>
        <w:gridCol w:w="1285"/>
        <w:gridCol w:w="1570"/>
        <w:gridCol w:w="1427"/>
      </w:tblGrid>
      <w:tr w:rsidR="00F157A0" w:rsidRPr="00F157A0" w:rsidTr="00645235">
        <w:trPr>
          <w:trHeight w:val="300"/>
        </w:trPr>
        <w:tc>
          <w:tcPr>
            <w:tcW w:w="1521" w:type="dxa"/>
            <w:tcBorders>
              <w:top w:val="single" w:sz="4" w:space="0" w:color="auto"/>
              <w:left w:val="nil"/>
              <w:bottom w:val="single" w:sz="4" w:space="0" w:color="auto"/>
              <w:right w:val="nil"/>
            </w:tcBorders>
          </w:tcPr>
          <w:p w:rsidR="00F157A0" w:rsidRPr="00F157A0" w:rsidRDefault="00F157A0" w:rsidP="00F157A0">
            <w:pPr>
              <w:spacing w:after="0" w:line="240" w:lineRule="auto"/>
              <w:rPr>
                <w:rFonts w:ascii="Arial" w:eastAsia="Times New Roman" w:hAnsi="Arial" w:cs="Arial"/>
                <w:color w:val="000000"/>
                <w:lang w:eastAsia="en-GB"/>
              </w:rPr>
            </w:pPr>
            <w:r w:rsidRPr="00F157A0">
              <w:rPr>
                <w:rFonts w:ascii="Arial" w:hAnsi="Arial" w:cs="Arial"/>
              </w:rPr>
              <w:t>Census period</w:t>
            </w:r>
          </w:p>
        </w:tc>
        <w:tc>
          <w:tcPr>
            <w:tcW w:w="1031" w:type="dxa"/>
            <w:tcBorders>
              <w:top w:val="single" w:sz="4" w:space="0" w:color="auto"/>
              <w:left w:val="nil"/>
              <w:bottom w:val="single" w:sz="4" w:space="0" w:color="auto"/>
              <w:right w:val="nil"/>
            </w:tcBorders>
            <w:shd w:val="clear" w:color="auto" w:fill="auto"/>
            <w:noWrap/>
            <w:hideMark/>
          </w:tcPr>
          <w:p w:rsidR="00F157A0" w:rsidRPr="00F157A0" w:rsidRDefault="00F157A0" w:rsidP="00F157A0">
            <w:pPr>
              <w:spacing w:after="0" w:line="240" w:lineRule="auto"/>
              <w:rPr>
                <w:rFonts w:ascii="Arial" w:eastAsia="Times New Roman" w:hAnsi="Arial" w:cs="Arial"/>
                <w:color w:val="000000"/>
                <w:lang w:eastAsia="en-GB"/>
              </w:rPr>
            </w:pPr>
            <w:r w:rsidRPr="00F157A0">
              <w:rPr>
                <w:rFonts w:ascii="Arial" w:eastAsia="Times New Roman" w:hAnsi="Arial" w:cs="Arial"/>
                <w:color w:val="000000"/>
                <w:lang w:eastAsia="en-GB"/>
              </w:rPr>
              <w:t xml:space="preserve">No. of saplings at </w:t>
            </w:r>
            <w:r>
              <w:rPr>
                <w:rFonts w:ascii="Arial" w:eastAsia="Times New Roman" w:hAnsi="Arial" w:cs="Arial"/>
                <w:color w:val="000000"/>
                <w:lang w:eastAsia="en-GB"/>
              </w:rPr>
              <w:t>T</w:t>
            </w:r>
            <w:r>
              <w:rPr>
                <w:rFonts w:ascii="Arial" w:eastAsia="Times New Roman" w:hAnsi="Arial" w:cs="Arial"/>
                <w:color w:val="000000"/>
                <w:vertAlign w:val="subscript"/>
                <w:lang w:eastAsia="en-GB"/>
              </w:rPr>
              <w:t>1</w:t>
            </w:r>
          </w:p>
        </w:tc>
        <w:tc>
          <w:tcPr>
            <w:tcW w:w="1441" w:type="dxa"/>
            <w:tcBorders>
              <w:top w:val="single" w:sz="4" w:space="0" w:color="auto"/>
              <w:left w:val="nil"/>
              <w:bottom w:val="single" w:sz="4" w:space="0" w:color="auto"/>
              <w:right w:val="nil"/>
            </w:tcBorders>
          </w:tcPr>
          <w:p w:rsidR="00F157A0" w:rsidRPr="00F157A0" w:rsidRDefault="00F157A0" w:rsidP="00067E66">
            <w:pPr>
              <w:spacing w:after="0" w:line="240" w:lineRule="auto"/>
              <w:rPr>
                <w:rFonts w:ascii="Arial" w:eastAsia="Times New Roman" w:hAnsi="Arial" w:cs="Arial"/>
                <w:color w:val="000000"/>
                <w:lang w:eastAsia="en-GB"/>
              </w:rPr>
            </w:pPr>
            <w:r w:rsidRPr="00F157A0">
              <w:rPr>
                <w:rFonts w:ascii="Arial" w:eastAsia="Times New Roman" w:hAnsi="Arial" w:cs="Arial"/>
                <w:color w:val="000000"/>
                <w:lang w:eastAsia="en-GB"/>
              </w:rPr>
              <w:t>No</w:t>
            </w:r>
            <w:r>
              <w:rPr>
                <w:rFonts w:ascii="Arial" w:eastAsia="Times New Roman" w:hAnsi="Arial" w:cs="Arial"/>
                <w:color w:val="000000"/>
                <w:lang w:eastAsia="en-GB"/>
              </w:rPr>
              <w:t>.</w:t>
            </w:r>
            <w:r w:rsidRPr="00F157A0">
              <w:rPr>
                <w:rFonts w:ascii="Arial" w:eastAsia="Times New Roman" w:hAnsi="Arial" w:cs="Arial"/>
                <w:color w:val="000000"/>
                <w:lang w:eastAsia="en-GB"/>
              </w:rPr>
              <w:t xml:space="preserve"> of saplings </w:t>
            </w:r>
            <w:r w:rsidR="00067E66">
              <w:rPr>
                <w:rFonts w:ascii="Arial" w:eastAsia="Times New Roman" w:hAnsi="Arial" w:cs="Arial"/>
                <w:color w:val="000000"/>
                <w:lang w:eastAsia="en-GB"/>
              </w:rPr>
              <w:t>recruited from seedlings</w:t>
            </w:r>
          </w:p>
        </w:tc>
        <w:tc>
          <w:tcPr>
            <w:tcW w:w="1428" w:type="dxa"/>
            <w:tcBorders>
              <w:top w:val="single" w:sz="4" w:space="0" w:color="auto"/>
              <w:left w:val="nil"/>
              <w:bottom w:val="single" w:sz="4" w:space="0" w:color="auto"/>
              <w:right w:val="nil"/>
            </w:tcBorders>
            <w:shd w:val="clear" w:color="auto" w:fill="auto"/>
            <w:noWrap/>
            <w:hideMark/>
          </w:tcPr>
          <w:p w:rsidR="00F157A0" w:rsidRPr="00F157A0" w:rsidRDefault="00F157A0" w:rsidP="00F157A0">
            <w:pPr>
              <w:spacing w:after="0" w:line="240" w:lineRule="auto"/>
              <w:rPr>
                <w:rFonts w:ascii="Arial" w:eastAsia="Times New Roman" w:hAnsi="Arial" w:cs="Arial"/>
                <w:color w:val="000000"/>
                <w:lang w:eastAsia="en-GB"/>
              </w:rPr>
            </w:pPr>
            <w:r w:rsidRPr="00F157A0">
              <w:rPr>
                <w:rFonts w:ascii="Arial" w:eastAsia="Times New Roman" w:hAnsi="Arial" w:cs="Arial"/>
                <w:color w:val="000000"/>
                <w:lang w:eastAsia="en-GB"/>
              </w:rPr>
              <w:t>No</w:t>
            </w:r>
            <w:r w:rsidR="00446BF9">
              <w:rPr>
                <w:rFonts w:ascii="Arial" w:eastAsia="Times New Roman" w:hAnsi="Arial" w:cs="Arial"/>
                <w:color w:val="000000"/>
                <w:lang w:eastAsia="en-GB"/>
              </w:rPr>
              <w:t>.</w:t>
            </w:r>
            <w:r w:rsidRPr="00F157A0">
              <w:rPr>
                <w:rFonts w:ascii="Arial" w:eastAsia="Times New Roman" w:hAnsi="Arial" w:cs="Arial"/>
                <w:color w:val="000000"/>
                <w:lang w:eastAsia="en-GB"/>
              </w:rPr>
              <w:t xml:space="preserve"> of saplings that died during census</w:t>
            </w:r>
          </w:p>
        </w:tc>
        <w:tc>
          <w:tcPr>
            <w:tcW w:w="1285" w:type="dxa"/>
            <w:tcBorders>
              <w:top w:val="single" w:sz="4" w:space="0" w:color="auto"/>
              <w:left w:val="nil"/>
              <w:bottom w:val="single" w:sz="4" w:space="0" w:color="auto"/>
              <w:right w:val="nil"/>
            </w:tcBorders>
            <w:shd w:val="clear" w:color="auto" w:fill="auto"/>
            <w:noWrap/>
            <w:hideMark/>
          </w:tcPr>
          <w:p w:rsidR="00F157A0" w:rsidRPr="00F157A0" w:rsidRDefault="00F157A0" w:rsidP="00F157A0">
            <w:pPr>
              <w:spacing w:after="0" w:line="240" w:lineRule="auto"/>
              <w:rPr>
                <w:rFonts w:ascii="Arial" w:eastAsia="Times New Roman" w:hAnsi="Arial" w:cs="Arial"/>
                <w:color w:val="000000"/>
                <w:lang w:eastAsia="en-GB"/>
              </w:rPr>
            </w:pPr>
            <w:r w:rsidRPr="00F157A0">
              <w:rPr>
                <w:rFonts w:ascii="Arial" w:eastAsia="Times New Roman" w:hAnsi="Arial" w:cs="Arial"/>
                <w:color w:val="000000"/>
                <w:lang w:eastAsia="en-GB"/>
              </w:rPr>
              <w:t>No. of saplings that that increased beyond DBH 10 cm</w:t>
            </w:r>
          </w:p>
        </w:tc>
        <w:tc>
          <w:tcPr>
            <w:tcW w:w="1570" w:type="dxa"/>
            <w:tcBorders>
              <w:top w:val="single" w:sz="4" w:space="0" w:color="auto"/>
              <w:left w:val="nil"/>
              <w:bottom w:val="single" w:sz="4" w:space="0" w:color="auto"/>
              <w:right w:val="nil"/>
            </w:tcBorders>
            <w:shd w:val="clear" w:color="auto" w:fill="auto"/>
            <w:noWrap/>
            <w:hideMark/>
          </w:tcPr>
          <w:p w:rsidR="00F157A0" w:rsidRPr="00F157A0" w:rsidRDefault="00F157A0" w:rsidP="00F157A0">
            <w:pPr>
              <w:spacing w:after="0" w:line="240" w:lineRule="auto"/>
              <w:rPr>
                <w:rFonts w:ascii="Arial" w:eastAsia="Times New Roman" w:hAnsi="Arial" w:cs="Arial"/>
                <w:color w:val="000000"/>
                <w:lang w:eastAsia="en-GB"/>
              </w:rPr>
            </w:pPr>
            <w:r w:rsidRPr="00F157A0">
              <w:rPr>
                <w:rFonts w:ascii="Arial" w:eastAsia="Times New Roman" w:hAnsi="Arial" w:cs="Arial"/>
                <w:color w:val="000000"/>
                <w:lang w:eastAsia="en-GB"/>
              </w:rPr>
              <w:t>Annual rate of increase to &gt;10 cm DBH</w:t>
            </w:r>
          </w:p>
        </w:tc>
        <w:tc>
          <w:tcPr>
            <w:tcW w:w="1427" w:type="dxa"/>
            <w:tcBorders>
              <w:top w:val="single" w:sz="4" w:space="0" w:color="auto"/>
              <w:left w:val="nil"/>
              <w:bottom w:val="single" w:sz="4" w:space="0" w:color="auto"/>
              <w:right w:val="nil"/>
            </w:tcBorders>
            <w:shd w:val="clear" w:color="auto" w:fill="auto"/>
            <w:noWrap/>
            <w:hideMark/>
          </w:tcPr>
          <w:p w:rsidR="00F157A0" w:rsidRPr="00F157A0" w:rsidRDefault="00F157A0" w:rsidP="00F157A0">
            <w:pPr>
              <w:spacing w:after="0" w:line="240" w:lineRule="auto"/>
              <w:rPr>
                <w:rFonts w:ascii="Arial" w:eastAsia="Times New Roman" w:hAnsi="Arial" w:cs="Arial"/>
                <w:color w:val="000000"/>
                <w:lang w:eastAsia="en-GB"/>
              </w:rPr>
            </w:pPr>
            <w:r w:rsidRPr="00F157A0">
              <w:rPr>
                <w:rFonts w:ascii="Arial" w:hAnsi="Arial" w:cs="Arial"/>
              </w:rPr>
              <w:t>Annual mortality rate of saplings</w:t>
            </w:r>
          </w:p>
        </w:tc>
      </w:tr>
      <w:tr w:rsidR="00F157A0" w:rsidRPr="00F157A0" w:rsidTr="00645235">
        <w:trPr>
          <w:trHeight w:val="300"/>
        </w:trPr>
        <w:tc>
          <w:tcPr>
            <w:tcW w:w="1521" w:type="dxa"/>
            <w:tcBorders>
              <w:top w:val="single" w:sz="4" w:space="0" w:color="auto"/>
              <w:left w:val="nil"/>
              <w:bottom w:val="nil"/>
              <w:right w:val="nil"/>
            </w:tcBorders>
          </w:tcPr>
          <w:p w:rsidR="00F157A0" w:rsidRPr="004E3A00" w:rsidRDefault="00F157A0" w:rsidP="00645235">
            <w:pPr>
              <w:spacing w:line="360" w:lineRule="auto"/>
              <w:contextualSpacing/>
              <w:jc w:val="center"/>
              <w:rPr>
                <w:rFonts w:ascii="Arial" w:hAnsi="Arial" w:cs="Arial"/>
              </w:rPr>
            </w:pPr>
            <w:r w:rsidRPr="004E3A00">
              <w:rPr>
                <w:rFonts w:ascii="Arial" w:hAnsi="Arial" w:cs="Arial"/>
              </w:rPr>
              <w:t>1964-1984</w:t>
            </w:r>
          </w:p>
        </w:tc>
        <w:tc>
          <w:tcPr>
            <w:tcW w:w="1031" w:type="dxa"/>
            <w:tcBorders>
              <w:top w:val="single" w:sz="4" w:space="0" w:color="auto"/>
              <w:left w:val="nil"/>
              <w:bottom w:val="nil"/>
              <w:right w:val="nil"/>
            </w:tcBorders>
            <w:shd w:val="clear" w:color="auto" w:fill="auto"/>
            <w:noWrap/>
            <w:hideMark/>
          </w:tcPr>
          <w:p w:rsidR="00F157A0" w:rsidRPr="00F157A0" w:rsidRDefault="00F157A0" w:rsidP="00645235">
            <w:pPr>
              <w:spacing w:after="0" w:line="240" w:lineRule="auto"/>
              <w:jc w:val="center"/>
              <w:rPr>
                <w:rFonts w:ascii="Calibri" w:eastAsia="Times New Roman" w:hAnsi="Calibri" w:cs="Times New Roman"/>
                <w:color w:val="000000"/>
                <w:lang w:eastAsia="en-GB"/>
              </w:rPr>
            </w:pPr>
            <w:r w:rsidRPr="00F157A0">
              <w:rPr>
                <w:rFonts w:ascii="Calibri" w:eastAsia="Times New Roman" w:hAnsi="Calibri" w:cs="Times New Roman"/>
                <w:color w:val="000000"/>
                <w:lang w:eastAsia="en-GB"/>
              </w:rPr>
              <w:t>179</w:t>
            </w:r>
          </w:p>
        </w:tc>
        <w:tc>
          <w:tcPr>
            <w:tcW w:w="1441" w:type="dxa"/>
            <w:tcBorders>
              <w:top w:val="single" w:sz="4" w:space="0" w:color="auto"/>
              <w:left w:val="nil"/>
              <w:bottom w:val="nil"/>
              <w:right w:val="nil"/>
            </w:tcBorders>
          </w:tcPr>
          <w:p w:rsidR="00F157A0" w:rsidRPr="00F157A0" w:rsidRDefault="00FC6C1B" w:rsidP="00645235">
            <w:pPr>
              <w:spacing w:after="0" w:line="240" w:lineRule="auto"/>
              <w:jc w:val="center"/>
              <w:rPr>
                <w:rFonts w:ascii="Calibri" w:eastAsia="Times New Roman" w:hAnsi="Calibri" w:cs="Times New Roman"/>
                <w:color w:val="000000"/>
                <w:lang w:eastAsia="en-GB"/>
              </w:rPr>
            </w:pPr>
            <w:r>
              <w:rPr>
                <w:rFonts w:ascii="Calibri" w:eastAsia="Times New Roman" w:hAnsi="Calibri" w:cs="Times New Roman"/>
                <w:color w:val="000000"/>
                <w:lang w:eastAsia="en-GB"/>
              </w:rPr>
              <w:t>3</w:t>
            </w:r>
          </w:p>
        </w:tc>
        <w:tc>
          <w:tcPr>
            <w:tcW w:w="1428" w:type="dxa"/>
            <w:tcBorders>
              <w:top w:val="single" w:sz="4" w:space="0" w:color="auto"/>
              <w:left w:val="nil"/>
              <w:bottom w:val="nil"/>
              <w:right w:val="nil"/>
            </w:tcBorders>
            <w:shd w:val="clear" w:color="auto" w:fill="auto"/>
            <w:noWrap/>
            <w:hideMark/>
          </w:tcPr>
          <w:p w:rsidR="00F157A0" w:rsidRPr="00F157A0" w:rsidRDefault="00F157A0" w:rsidP="00645235">
            <w:pPr>
              <w:spacing w:after="0" w:line="240" w:lineRule="auto"/>
              <w:jc w:val="center"/>
              <w:rPr>
                <w:rFonts w:ascii="Calibri" w:eastAsia="Times New Roman" w:hAnsi="Calibri" w:cs="Times New Roman"/>
                <w:color w:val="000000"/>
                <w:lang w:eastAsia="en-GB"/>
              </w:rPr>
            </w:pPr>
            <w:r w:rsidRPr="00F157A0">
              <w:rPr>
                <w:rFonts w:ascii="Calibri" w:eastAsia="Times New Roman" w:hAnsi="Calibri" w:cs="Times New Roman"/>
                <w:color w:val="000000"/>
                <w:lang w:eastAsia="en-GB"/>
              </w:rPr>
              <w:t>101</w:t>
            </w:r>
          </w:p>
        </w:tc>
        <w:tc>
          <w:tcPr>
            <w:tcW w:w="1285" w:type="dxa"/>
            <w:tcBorders>
              <w:top w:val="single" w:sz="4" w:space="0" w:color="auto"/>
              <w:left w:val="nil"/>
              <w:bottom w:val="nil"/>
              <w:right w:val="nil"/>
            </w:tcBorders>
            <w:shd w:val="clear" w:color="auto" w:fill="auto"/>
            <w:noWrap/>
            <w:hideMark/>
          </w:tcPr>
          <w:p w:rsidR="00F157A0" w:rsidRPr="00F157A0" w:rsidRDefault="00F157A0" w:rsidP="00645235">
            <w:pPr>
              <w:spacing w:after="0" w:line="240" w:lineRule="auto"/>
              <w:jc w:val="center"/>
              <w:rPr>
                <w:rFonts w:ascii="Calibri" w:eastAsia="Times New Roman" w:hAnsi="Calibri" w:cs="Times New Roman"/>
                <w:color w:val="000000"/>
                <w:lang w:eastAsia="en-GB"/>
              </w:rPr>
            </w:pPr>
            <w:r w:rsidRPr="00F157A0">
              <w:rPr>
                <w:rFonts w:ascii="Calibri" w:eastAsia="Times New Roman" w:hAnsi="Calibri" w:cs="Times New Roman"/>
                <w:color w:val="000000"/>
                <w:lang w:eastAsia="en-GB"/>
              </w:rPr>
              <w:t>25</w:t>
            </w:r>
          </w:p>
        </w:tc>
        <w:tc>
          <w:tcPr>
            <w:tcW w:w="1570" w:type="dxa"/>
            <w:tcBorders>
              <w:top w:val="single" w:sz="4" w:space="0" w:color="auto"/>
              <w:left w:val="nil"/>
              <w:bottom w:val="nil"/>
              <w:right w:val="nil"/>
            </w:tcBorders>
            <w:shd w:val="clear" w:color="auto" w:fill="auto"/>
            <w:noWrap/>
            <w:hideMark/>
          </w:tcPr>
          <w:p w:rsidR="00F157A0" w:rsidRPr="00F157A0" w:rsidRDefault="00F157A0" w:rsidP="00645235">
            <w:pPr>
              <w:spacing w:after="0" w:line="240" w:lineRule="auto"/>
              <w:jc w:val="center"/>
              <w:rPr>
                <w:rFonts w:ascii="Calibri" w:eastAsia="Times New Roman" w:hAnsi="Calibri" w:cs="Times New Roman"/>
                <w:color w:val="000000"/>
                <w:lang w:eastAsia="en-GB"/>
              </w:rPr>
            </w:pPr>
            <w:r w:rsidRPr="00F157A0">
              <w:rPr>
                <w:rFonts w:ascii="Calibri" w:eastAsia="Times New Roman" w:hAnsi="Calibri" w:cs="Times New Roman"/>
                <w:color w:val="000000"/>
                <w:lang w:eastAsia="en-GB"/>
              </w:rPr>
              <w:t>0.75</w:t>
            </w:r>
            <w:r w:rsidR="00645235">
              <w:rPr>
                <w:rFonts w:ascii="Calibri" w:eastAsia="Times New Roman" w:hAnsi="Calibri" w:cs="Times New Roman"/>
                <w:color w:val="000000"/>
                <w:lang w:eastAsia="en-GB"/>
              </w:rPr>
              <w:t xml:space="preserve"> %</w:t>
            </w:r>
          </w:p>
        </w:tc>
        <w:tc>
          <w:tcPr>
            <w:tcW w:w="1427" w:type="dxa"/>
            <w:tcBorders>
              <w:top w:val="single" w:sz="4" w:space="0" w:color="auto"/>
              <w:left w:val="nil"/>
              <w:bottom w:val="nil"/>
              <w:right w:val="nil"/>
            </w:tcBorders>
            <w:shd w:val="clear" w:color="auto" w:fill="auto"/>
            <w:noWrap/>
            <w:hideMark/>
          </w:tcPr>
          <w:p w:rsidR="00F157A0" w:rsidRPr="00F157A0" w:rsidRDefault="00F157A0" w:rsidP="00645235">
            <w:pPr>
              <w:spacing w:after="0" w:line="240" w:lineRule="auto"/>
              <w:jc w:val="center"/>
              <w:rPr>
                <w:rFonts w:ascii="Calibri" w:eastAsia="Times New Roman" w:hAnsi="Calibri" w:cs="Times New Roman"/>
                <w:color w:val="000000"/>
                <w:lang w:eastAsia="en-GB"/>
              </w:rPr>
            </w:pPr>
            <w:r w:rsidRPr="00F157A0">
              <w:rPr>
                <w:rFonts w:ascii="Calibri" w:eastAsia="Times New Roman" w:hAnsi="Calibri" w:cs="Times New Roman"/>
                <w:color w:val="000000"/>
                <w:lang w:eastAsia="en-GB"/>
              </w:rPr>
              <w:t>4.07</w:t>
            </w:r>
            <w:r w:rsidR="00645235">
              <w:rPr>
                <w:rFonts w:ascii="Calibri" w:eastAsia="Times New Roman" w:hAnsi="Calibri" w:cs="Times New Roman"/>
                <w:color w:val="000000"/>
                <w:lang w:eastAsia="en-GB"/>
              </w:rPr>
              <w:t xml:space="preserve"> %</w:t>
            </w:r>
          </w:p>
        </w:tc>
      </w:tr>
      <w:tr w:rsidR="00F157A0" w:rsidRPr="00F157A0" w:rsidTr="00645235">
        <w:trPr>
          <w:trHeight w:val="300"/>
        </w:trPr>
        <w:tc>
          <w:tcPr>
            <w:tcW w:w="1521" w:type="dxa"/>
            <w:tcBorders>
              <w:top w:val="nil"/>
              <w:left w:val="nil"/>
              <w:bottom w:val="nil"/>
              <w:right w:val="nil"/>
            </w:tcBorders>
          </w:tcPr>
          <w:p w:rsidR="00F157A0" w:rsidRPr="004E3A00" w:rsidRDefault="00F157A0" w:rsidP="00645235">
            <w:pPr>
              <w:spacing w:line="360" w:lineRule="auto"/>
              <w:contextualSpacing/>
              <w:jc w:val="center"/>
              <w:rPr>
                <w:rFonts w:ascii="Arial" w:hAnsi="Arial" w:cs="Arial"/>
              </w:rPr>
            </w:pPr>
            <w:r w:rsidRPr="004E3A00">
              <w:rPr>
                <w:rFonts w:ascii="Arial" w:hAnsi="Arial" w:cs="Arial"/>
              </w:rPr>
              <w:t>1984-1988</w:t>
            </w:r>
          </w:p>
        </w:tc>
        <w:tc>
          <w:tcPr>
            <w:tcW w:w="1031" w:type="dxa"/>
            <w:tcBorders>
              <w:top w:val="nil"/>
              <w:left w:val="nil"/>
              <w:bottom w:val="nil"/>
              <w:right w:val="nil"/>
            </w:tcBorders>
            <w:shd w:val="clear" w:color="auto" w:fill="auto"/>
            <w:noWrap/>
            <w:hideMark/>
          </w:tcPr>
          <w:p w:rsidR="00F157A0" w:rsidRPr="00F157A0" w:rsidRDefault="00F157A0" w:rsidP="00645235">
            <w:pPr>
              <w:spacing w:after="0" w:line="240" w:lineRule="auto"/>
              <w:jc w:val="center"/>
              <w:rPr>
                <w:rFonts w:ascii="Calibri" w:eastAsia="Times New Roman" w:hAnsi="Calibri" w:cs="Times New Roman"/>
                <w:color w:val="000000"/>
                <w:lang w:eastAsia="en-GB"/>
              </w:rPr>
            </w:pPr>
            <w:r w:rsidRPr="00F157A0">
              <w:rPr>
                <w:rFonts w:ascii="Calibri" w:eastAsia="Times New Roman" w:hAnsi="Calibri" w:cs="Times New Roman"/>
                <w:color w:val="000000"/>
                <w:lang w:eastAsia="en-GB"/>
              </w:rPr>
              <w:t>56</w:t>
            </w:r>
          </w:p>
        </w:tc>
        <w:tc>
          <w:tcPr>
            <w:tcW w:w="1441" w:type="dxa"/>
            <w:tcBorders>
              <w:top w:val="nil"/>
              <w:left w:val="nil"/>
              <w:bottom w:val="nil"/>
              <w:right w:val="nil"/>
            </w:tcBorders>
          </w:tcPr>
          <w:p w:rsidR="00F157A0" w:rsidRPr="00F157A0" w:rsidRDefault="00FC6C1B" w:rsidP="00645235">
            <w:pPr>
              <w:spacing w:after="0" w:line="240" w:lineRule="auto"/>
              <w:jc w:val="center"/>
              <w:rPr>
                <w:rFonts w:ascii="Calibri" w:eastAsia="Times New Roman" w:hAnsi="Calibri" w:cs="Times New Roman"/>
                <w:color w:val="000000"/>
                <w:lang w:eastAsia="en-GB"/>
              </w:rPr>
            </w:pPr>
            <w:r>
              <w:rPr>
                <w:rFonts w:ascii="Calibri" w:eastAsia="Times New Roman" w:hAnsi="Calibri" w:cs="Times New Roman"/>
                <w:color w:val="000000"/>
                <w:lang w:eastAsia="en-GB"/>
              </w:rPr>
              <w:t>1</w:t>
            </w:r>
          </w:p>
        </w:tc>
        <w:tc>
          <w:tcPr>
            <w:tcW w:w="1428" w:type="dxa"/>
            <w:tcBorders>
              <w:top w:val="nil"/>
              <w:left w:val="nil"/>
              <w:bottom w:val="nil"/>
              <w:right w:val="nil"/>
            </w:tcBorders>
            <w:shd w:val="clear" w:color="auto" w:fill="auto"/>
            <w:noWrap/>
            <w:hideMark/>
          </w:tcPr>
          <w:p w:rsidR="00F157A0" w:rsidRPr="00F157A0" w:rsidRDefault="00F157A0" w:rsidP="00645235">
            <w:pPr>
              <w:spacing w:after="0" w:line="240" w:lineRule="auto"/>
              <w:jc w:val="center"/>
              <w:rPr>
                <w:rFonts w:ascii="Calibri" w:eastAsia="Times New Roman" w:hAnsi="Calibri" w:cs="Times New Roman"/>
                <w:color w:val="000000"/>
                <w:lang w:eastAsia="en-GB"/>
              </w:rPr>
            </w:pPr>
            <w:r w:rsidRPr="00F157A0">
              <w:rPr>
                <w:rFonts w:ascii="Calibri" w:eastAsia="Times New Roman" w:hAnsi="Calibri" w:cs="Times New Roman"/>
                <w:color w:val="000000"/>
                <w:lang w:eastAsia="en-GB"/>
              </w:rPr>
              <w:t>6</w:t>
            </w:r>
          </w:p>
        </w:tc>
        <w:tc>
          <w:tcPr>
            <w:tcW w:w="1285" w:type="dxa"/>
            <w:tcBorders>
              <w:top w:val="nil"/>
              <w:left w:val="nil"/>
              <w:bottom w:val="nil"/>
              <w:right w:val="nil"/>
            </w:tcBorders>
            <w:shd w:val="clear" w:color="auto" w:fill="auto"/>
            <w:noWrap/>
            <w:hideMark/>
          </w:tcPr>
          <w:p w:rsidR="00F157A0" w:rsidRPr="00F157A0" w:rsidRDefault="00F157A0" w:rsidP="00645235">
            <w:pPr>
              <w:spacing w:after="0" w:line="240" w:lineRule="auto"/>
              <w:jc w:val="center"/>
              <w:rPr>
                <w:rFonts w:ascii="Calibri" w:eastAsia="Times New Roman" w:hAnsi="Calibri" w:cs="Times New Roman"/>
                <w:color w:val="000000"/>
                <w:lang w:eastAsia="en-GB"/>
              </w:rPr>
            </w:pPr>
            <w:r w:rsidRPr="00F157A0">
              <w:rPr>
                <w:rFonts w:ascii="Calibri" w:eastAsia="Times New Roman" w:hAnsi="Calibri" w:cs="Times New Roman"/>
                <w:color w:val="000000"/>
                <w:lang w:eastAsia="en-GB"/>
              </w:rPr>
              <w:t>11</w:t>
            </w:r>
          </w:p>
        </w:tc>
        <w:tc>
          <w:tcPr>
            <w:tcW w:w="1570" w:type="dxa"/>
            <w:tcBorders>
              <w:top w:val="nil"/>
              <w:left w:val="nil"/>
              <w:bottom w:val="nil"/>
              <w:right w:val="nil"/>
            </w:tcBorders>
            <w:shd w:val="clear" w:color="auto" w:fill="auto"/>
            <w:noWrap/>
            <w:hideMark/>
          </w:tcPr>
          <w:p w:rsidR="00F157A0" w:rsidRPr="00F157A0" w:rsidRDefault="00F157A0" w:rsidP="00645235">
            <w:pPr>
              <w:spacing w:after="0" w:line="240" w:lineRule="auto"/>
              <w:jc w:val="center"/>
              <w:rPr>
                <w:rFonts w:ascii="Calibri" w:eastAsia="Times New Roman" w:hAnsi="Calibri" w:cs="Times New Roman"/>
                <w:color w:val="000000"/>
                <w:lang w:eastAsia="en-GB"/>
              </w:rPr>
            </w:pPr>
            <w:r w:rsidRPr="00F157A0">
              <w:rPr>
                <w:rFonts w:ascii="Calibri" w:eastAsia="Times New Roman" w:hAnsi="Calibri" w:cs="Times New Roman"/>
                <w:color w:val="000000"/>
                <w:lang w:eastAsia="en-GB"/>
              </w:rPr>
              <w:t>5.32</w:t>
            </w:r>
            <w:r w:rsidR="00645235">
              <w:rPr>
                <w:rFonts w:ascii="Calibri" w:eastAsia="Times New Roman" w:hAnsi="Calibri" w:cs="Times New Roman"/>
                <w:color w:val="000000"/>
                <w:lang w:eastAsia="en-GB"/>
              </w:rPr>
              <w:t xml:space="preserve"> %</w:t>
            </w:r>
          </w:p>
        </w:tc>
        <w:tc>
          <w:tcPr>
            <w:tcW w:w="1427" w:type="dxa"/>
            <w:tcBorders>
              <w:top w:val="nil"/>
              <w:left w:val="nil"/>
              <w:bottom w:val="nil"/>
              <w:right w:val="nil"/>
            </w:tcBorders>
            <w:shd w:val="clear" w:color="auto" w:fill="auto"/>
            <w:noWrap/>
            <w:hideMark/>
          </w:tcPr>
          <w:p w:rsidR="00F157A0" w:rsidRPr="00F157A0" w:rsidRDefault="00F157A0" w:rsidP="00645235">
            <w:pPr>
              <w:spacing w:after="0" w:line="240" w:lineRule="auto"/>
              <w:jc w:val="center"/>
              <w:rPr>
                <w:rFonts w:ascii="Calibri" w:eastAsia="Times New Roman" w:hAnsi="Calibri" w:cs="Times New Roman"/>
                <w:color w:val="000000"/>
                <w:lang w:eastAsia="en-GB"/>
              </w:rPr>
            </w:pPr>
            <w:r w:rsidRPr="00F157A0">
              <w:rPr>
                <w:rFonts w:ascii="Calibri" w:eastAsia="Times New Roman" w:hAnsi="Calibri" w:cs="Times New Roman"/>
                <w:color w:val="000000"/>
                <w:lang w:eastAsia="en-GB"/>
              </w:rPr>
              <w:t>2.79</w:t>
            </w:r>
            <w:r w:rsidR="00645235">
              <w:rPr>
                <w:rFonts w:ascii="Calibri" w:eastAsia="Times New Roman" w:hAnsi="Calibri" w:cs="Times New Roman"/>
                <w:color w:val="000000"/>
                <w:lang w:eastAsia="en-GB"/>
              </w:rPr>
              <w:t xml:space="preserve"> %</w:t>
            </w:r>
          </w:p>
        </w:tc>
      </w:tr>
      <w:tr w:rsidR="00F157A0" w:rsidRPr="00F157A0" w:rsidTr="00645235">
        <w:trPr>
          <w:trHeight w:val="300"/>
        </w:trPr>
        <w:tc>
          <w:tcPr>
            <w:tcW w:w="1521" w:type="dxa"/>
            <w:tcBorders>
              <w:top w:val="nil"/>
              <w:left w:val="nil"/>
              <w:right w:val="nil"/>
            </w:tcBorders>
          </w:tcPr>
          <w:p w:rsidR="00F157A0" w:rsidRPr="004E3A00" w:rsidRDefault="00F157A0" w:rsidP="00645235">
            <w:pPr>
              <w:spacing w:line="360" w:lineRule="auto"/>
              <w:contextualSpacing/>
              <w:jc w:val="center"/>
              <w:rPr>
                <w:rFonts w:ascii="Arial" w:hAnsi="Arial" w:cs="Arial"/>
              </w:rPr>
            </w:pPr>
            <w:r w:rsidRPr="004E3A00">
              <w:rPr>
                <w:rFonts w:ascii="Arial" w:hAnsi="Arial" w:cs="Arial"/>
              </w:rPr>
              <w:t>1988-1996</w:t>
            </w:r>
          </w:p>
        </w:tc>
        <w:tc>
          <w:tcPr>
            <w:tcW w:w="1031" w:type="dxa"/>
            <w:tcBorders>
              <w:top w:val="nil"/>
              <w:left w:val="nil"/>
              <w:right w:val="nil"/>
            </w:tcBorders>
            <w:shd w:val="clear" w:color="auto" w:fill="auto"/>
            <w:noWrap/>
            <w:hideMark/>
          </w:tcPr>
          <w:p w:rsidR="00F157A0" w:rsidRPr="00F157A0" w:rsidRDefault="00F157A0" w:rsidP="00645235">
            <w:pPr>
              <w:spacing w:after="0" w:line="240" w:lineRule="auto"/>
              <w:jc w:val="center"/>
              <w:rPr>
                <w:rFonts w:ascii="Calibri" w:eastAsia="Times New Roman" w:hAnsi="Calibri" w:cs="Times New Roman"/>
                <w:color w:val="000000"/>
                <w:lang w:eastAsia="en-GB"/>
              </w:rPr>
            </w:pPr>
            <w:r w:rsidRPr="00F157A0">
              <w:rPr>
                <w:rFonts w:ascii="Calibri" w:eastAsia="Times New Roman" w:hAnsi="Calibri" w:cs="Times New Roman"/>
                <w:color w:val="000000"/>
                <w:lang w:eastAsia="en-GB"/>
              </w:rPr>
              <w:t>40</w:t>
            </w:r>
          </w:p>
        </w:tc>
        <w:tc>
          <w:tcPr>
            <w:tcW w:w="1441" w:type="dxa"/>
            <w:tcBorders>
              <w:top w:val="nil"/>
              <w:left w:val="nil"/>
              <w:right w:val="nil"/>
            </w:tcBorders>
          </w:tcPr>
          <w:p w:rsidR="00F157A0" w:rsidRPr="00F157A0" w:rsidRDefault="00FC6C1B" w:rsidP="00645235">
            <w:pPr>
              <w:spacing w:after="0" w:line="240" w:lineRule="auto"/>
              <w:jc w:val="center"/>
              <w:rPr>
                <w:rFonts w:ascii="Calibri" w:eastAsia="Times New Roman" w:hAnsi="Calibri" w:cs="Times New Roman"/>
                <w:color w:val="000000"/>
                <w:lang w:eastAsia="en-GB"/>
              </w:rPr>
            </w:pPr>
            <w:r>
              <w:rPr>
                <w:rFonts w:ascii="Calibri" w:eastAsia="Times New Roman" w:hAnsi="Calibri" w:cs="Times New Roman"/>
                <w:color w:val="000000"/>
                <w:lang w:eastAsia="en-GB"/>
              </w:rPr>
              <w:t>2</w:t>
            </w:r>
          </w:p>
        </w:tc>
        <w:tc>
          <w:tcPr>
            <w:tcW w:w="1428" w:type="dxa"/>
            <w:tcBorders>
              <w:top w:val="nil"/>
              <w:left w:val="nil"/>
              <w:right w:val="nil"/>
            </w:tcBorders>
            <w:shd w:val="clear" w:color="auto" w:fill="auto"/>
            <w:noWrap/>
            <w:hideMark/>
          </w:tcPr>
          <w:p w:rsidR="00F157A0" w:rsidRPr="00F157A0" w:rsidRDefault="00F157A0" w:rsidP="00645235">
            <w:pPr>
              <w:spacing w:after="0" w:line="240" w:lineRule="auto"/>
              <w:jc w:val="center"/>
              <w:rPr>
                <w:rFonts w:ascii="Calibri" w:eastAsia="Times New Roman" w:hAnsi="Calibri" w:cs="Times New Roman"/>
                <w:color w:val="000000"/>
                <w:lang w:eastAsia="en-GB"/>
              </w:rPr>
            </w:pPr>
            <w:r w:rsidRPr="00F157A0">
              <w:rPr>
                <w:rFonts w:ascii="Calibri" w:eastAsia="Times New Roman" w:hAnsi="Calibri" w:cs="Times New Roman"/>
                <w:color w:val="000000"/>
                <w:lang w:eastAsia="en-GB"/>
              </w:rPr>
              <w:t>6</w:t>
            </w:r>
          </w:p>
        </w:tc>
        <w:tc>
          <w:tcPr>
            <w:tcW w:w="1285" w:type="dxa"/>
            <w:tcBorders>
              <w:top w:val="nil"/>
              <w:left w:val="nil"/>
              <w:right w:val="nil"/>
            </w:tcBorders>
            <w:shd w:val="clear" w:color="auto" w:fill="auto"/>
            <w:noWrap/>
            <w:hideMark/>
          </w:tcPr>
          <w:p w:rsidR="00F157A0" w:rsidRPr="00F157A0" w:rsidRDefault="00F157A0" w:rsidP="00645235">
            <w:pPr>
              <w:spacing w:after="0" w:line="240" w:lineRule="auto"/>
              <w:jc w:val="center"/>
              <w:rPr>
                <w:rFonts w:ascii="Calibri" w:eastAsia="Times New Roman" w:hAnsi="Calibri" w:cs="Times New Roman"/>
                <w:color w:val="000000"/>
                <w:lang w:eastAsia="en-GB"/>
              </w:rPr>
            </w:pPr>
            <w:r w:rsidRPr="00F157A0">
              <w:rPr>
                <w:rFonts w:ascii="Calibri" w:eastAsia="Times New Roman" w:hAnsi="Calibri" w:cs="Times New Roman"/>
                <w:color w:val="000000"/>
                <w:lang w:eastAsia="en-GB"/>
              </w:rPr>
              <w:t>13</w:t>
            </w:r>
          </w:p>
        </w:tc>
        <w:tc>
          <w:tcPr>
            <w:tcW w:w="1570" w:type="dxa"/>
            <w:tcBorders>
              <w:top w:val="nil"/>
              <w:left w:val="nil"/>
              <w:right w:val="nil"/>
            </w:tcBorders>
            <w:shd w:val="clear" w:color="auto" w:fill="auto"/>
            <w:noWrap/>
            <w:hideMark/>
          </w:tcPr>
          <w:p w:rsidR="00F157A0" w:rsidRPr="00F157A0" w:rsidRDefault="00F157A0" w:rsidP="00645235">
            <w:pPr>
              <w:spacing w:after="0" w:line="240" w:lineRule="auto"/>
              <w:jc w:val="center"/>
              <w:rPr>
                <w:rFonts w:ascii="Calibri" w:eastAsia="Times New Roman" w:hAnsi="Calibri" w:cs="Times New Roman"/>
                <w:color w:val="000000"/>
                <w:lang w:eastAsia="en-GB"/>
              </w:rPr>
            </w:pPr>
            <w:r w:rsidRPr="00F157A0">
              <w:rPr>
                <w:rFonts w:ascii="Calibri" w:eastAsia="Times New Roman" w:hAnsi="Calibri" w:cs="Times New Roman"/>
                <w:color w:val="000000"/>
                <w:lang w:eastAsia="en-GB"/>
              </w:rPr>
              <w:t>4.79</w:t>
            </w:r>
            <w:r w:rsidR="00645235">
              <w:rPr>
                <w:rFonts w:ascii="Calibri" w:eastAsia="Times New Roman" w:hAnsi="Calibri" w:cs="Times New Roman"/>
                <w:color w:val="000000"/>
                <w:lang w:eastAsia="en-GB"/>
              </w:rPr>
              <w:t xml:space="preserve"> %</w:t>
            </w:r>
          </w:p>
        </w:tc>
        <w:tc>
          <w:tcPr>
            <w:tcW w:w="1427" w:type="dxa"/>
            <w:tcBorders>
              <w:top w:val="nil"/>
              <w:left w:val="nil"/>
              <w:right w:val="nil"/>
            </w:tcBorders>
            <w:shd w:val="clear" w:color="auto" w:fill="auto"/>
            <w:noWrap/>
            <w:hideMark/>
          </w:tcPr>
          <w:p w:rsidR="00F157A0" w:rsidRPr="00F157A0" w:rsidRDefault="00F157A0" w:rsidP="00645235">
            <w:pPr>
              <w:spacing w:after="0" w:line="240" w:lineRule="auto"/>
              <w:jc w:val="center"/>
              <w:rPr>
                <w:rFonts w:ascii="Calibri" w:eastAsia="Times New Roman" w:hAnsi="Calibri" w:cs="Times New Roman"/>
                <w:color w:val="000000"/>
                <w:lang w:eastAsia="en-GB"/>
              </w:rPr>
            </w:pPr>
            <w:r w:rsidRPr="00F157A0">
              <w:rPr>
                <w:rFonts w:ascii="Calibri" w:eastAsia="Times New Roman" w:hAnsi="Calibri" w:cs="Times New Roman"/>
                <w:color w:val="000000"/>
                <w:lang w:eastAsia="en-GB"/>
              </w:rPr>
              <w:t>2.01</w:t>
            </w:r>
            <w:r w:rsidR="00645235">
              <w:rPr>
                <w:rFonts w:ascii="Calibri" w:eastAsia="Times New Roman" w:hAnsi="Calibri" w:cs="Times New Roman"/>
                <w:color w:val="000000"/>
                <w:lang w:eastAsia="en-GB"/>
              </w:rPr>
              <w:t xml:space="preserve"> %</w:t>
            </w:r>
          </w:p>
        </w:tc>
      </w:tr>
      <w:tr w:rsidR="00F157A0" w:rsidRPr="00F157A0" w:rsidTr="00645235">
        <w:trPr>
          <w:trHeight w:val="300"/>
        </w:trPr>
        <w:tc>
          <w:tcPr>
            <w:tcW w:w="1521" w:type="dxa"/>
            <w:tcBorders>
              <w:top w:val="nil"/>
              <w:left w:val="nil"/>
              <w:bottom w:val="single" w:sz="4" w:space="0" w:color="auto"/>
              <w:right w:val="nil"/>
            </w:tcBorders>
          </w:tcPr>
          <w:p w:rsidR="00F157A0" w:rsidRPr="004E3A00" w:rsidRDefault="00F157A0" w:rsidP="00645235">
            <w:pPr>
              <w:spacing w:line="360" w:lineRule="auto"/>
              <w:contextualSpacing/>
              <w:jc w:val="center"/>
              <w:rPr>
                <w:rFonts w:ascii="Arial" w:hAnsi="Arial" w:cs="Arial"/>
              </w:rPr>
            </w:pPr>
            <w:r w:rsidRPr="004E3A00">
              <w:rPr>
                <w:rFonts w:ascii="Arial" w:hAnsi="Arial" w:cs="Arial"/>
              </w:rPr>
              <w:t>1996-2014</w:t>
            </w:r>
          </w:p>
        </w:tc>
        <w:tc>
          <w:tcPr>
            <w:tcW w:w="1031" w:type="dxa"/>
            <w:tcBorders>
              <w:top w:val="nil"/>
              <w:left w:val="nil"/>
              <w:bottom w:val="single" w:sz="4" w:space="0" w:color="auto"/>
              <w:right w:val="nil"/>
            </w:tcBorders>
            <w:shd w:val="clear" w:color="auto" w:fill="auto"/>
            <w:noWrap/>
            <w:hideMark/>
          </w:tcPr>
          <w:p w:rsidR="00F157A0" w:rsidRPr="00F157A0" w:rsidRDefault="00F157A0" w:rsidP="00645235">
            <w:pPr>
              <w:spacing w:after="0" w:line="240" w:lineRule="auto"/>
              <w:jc w:val="center"/>
              <w:rPr>
                <w:rFonts w:ascii="Calibri" w:eastAsia="Times New Roman" w:hAnsi="Calibri" w:cs="Times New Roman"/>
                <w:color w:val="000000"/>
                <w:lang w:eastAsia="en-GB"/>
              </w:rPr>
            </w:pPr>
            <w:r w:rsidRPr="00F157A0">
              <w:rPr>
                <w:rFonts w:ascii="Calibri" w:eastAsia="Times New Roman" w:hAnsi="Calibri" w:cs="Times New Roman"/>
                <w:color w:val="000000"/>
                <w:lang w:eastAsia="en-GB"/>
              </w:rPr>
              <w:t>23</w:t>
            </w:r>
          </w:p>
        </w:tc>
        <w:tc>
          <w:tcPr>
            <w:tcW w:w="1441" w:type="dxa"/>
            <w:tcBorders>
              <w:top w:val="nil"/>
              <w:left w:val="nil"/>
              <w:bottom w:val="single" w:sz="4" w:space="0" w:color="auto"/>
              <w:right w:val="nil"/>
            </w:tcBorders>
          </w:tcPr>
          <w:p w:rsidR="00F157A0" w:rsidRPr="00F157A0" w:rsidRDefault="00FC6C1B" w:rsidP="00645235">
            <w:pPr>
              <w:spacing w:after="0" w:line="240" w:lineRule="auto"/>
              <w:jc w:val="center"/>
              <w:rPr>
                <w:rFonts w:ascii="Calibri" w:eastAsia="Times New Roman" w:hAnsi="Calibri" w:cs="Times New Roman"/>
                <w:color w:val="000000"/>
                <w:lang w:eastAsia="en-GB"/>
              </w:rPr>
            </w:pPr>
            <w:r>
              <w:rPr>
                <w:rFonts w:ascii="Calibri" w:eastAsia="Times New Roman" w:hAnsi="Calibri" w:cs="Times New Roman"/>
                <w:color w:val="000000"/>
                <w:lang w:eastAsia="en-GB"/>
              </w:rPr>
              <w:t>1</w:t>
            </w:r>
          </w:p>
        </w:tc>
        <w:tc>
          <w:tcPr>
            <w:tcW w:w="1428" w:type="dxa"/>
            <w:tcBorders>
              <w:top w:val="nil"/>
              <w:left w:val="nil"/>
              <w:bottom w:val="single" w:sz="4" w:space="0" w:color="auto"/>
              <w:right w:val="nil"/>
            </w:tcBorders>
            <w:shd w:val="clear" w:color="auto" w:fill="auto"/>
            <w:noWrap/>
            <w:hideMark/>
          </w:tcPr>
          <w:p w:rsidR="00F157A0" w:rsidRPr="00F157A0" w:rsidRDefault="00F157A0" w:rsidP="00645235">
            <w:pPr>
              <w:spacing w:after="0" w:line="240" w:lineRule="auto"/>
              <w:jc w:val="center"/>
              <w:rPr>
                <w:rFonts w:ascii="Calibri" w:eastAsia="Times New Roman" w:hAnsi="Calibri" w:cs="Times New Roman"/>
                <w:color w:val="000000"/>
                <w:lang w:eastAsia="en-GB"/>
              </w:rPr>
            </w:pPr>
            <w:r w:rsidRPr="00F157A0">
              <w:rPr>
                <w:rFonts w:ascii="Calibri" w:eastAsia="Times New Roman" w:hAnsi="Calibri" w:cs="Times New Roman"/>
                <w:color w:val="000000"/>
                <w:lang w:eastAsia="en-GB"/>
              </w:rPr>
              <w:t>2</w:t>
            </w:r>
          </w:p>
        </w:tc>
        <w:tc>
          <w:tcPr>
            <w:tcW w:w="1285" w:type="dxa"/>
            <w:tcBorders>
              <w:top w:val="nil"/>
              <w:left w:val="nil"/>
              <w:bottom w:val="single" w:sz="4" w:space="0" w:color="auto"/>
              <w:right w:val="nil"/>
            </w:tcBorders>
            <w:shd w:val="clear" w:color="auto" w:fill="auto"/>
            <w:noWrap/>
            <w:hideMark/>
          </w:tcPr>
          <w:p w:rsidR="00F157A0" w:rsidRPr="00F157A0" w:rsidRDefault="00F157A0" w:rsidP="00645235">
            <w:pPr>
              <w:spacing w:after="0" w:line="240" w:lineRule="auto"/>
              <w:jc w:val="center"/>
              <w:rPr>
                <w:rFonts w:ascii="Calibri" w:eastAsia="Times New Roman" w:hAnsi="Calibri" w:cs="Times New Roman"/>
                <w:color w:val="000000"/>
                <w:lang w:eastAsia="en-GB"/>
              </w:rPr>
            </w:pPr>
            <w:r w:rsidRPr="00F157A0">
              <w:rPr>
                <w:rFonts w:ascii="Calibri" w:eastAsia="Times New Roman" w:hAnsi="Calibri" w:cs="Times New Roman"/>
                <w:color w:val="000000"/>
                <w:lang w:eastAsia="en-GB"/>
              </w:rPr>
              <w:t>14</w:t>
            </w:r>
          </w:p>
        </w:tc>
        <w:tc>
          <w:tcPr>
            <w:tcW w:w="1570" w:type="dxa"/>
            <w:tcBorders>
              <w:top w:val="nil"/>
              <w:left w:val="nil"/>
              <w:bottom w:val="single" w:sz="4" w:space="0" w:color="auto"/>
              <w:right w:val="nil"/>
            </w:tcBorders>
            <w:shd w:val="clear" w:color="auto" w:fill="auto"/>
            <w:noWrap/>
            <w:hideMark/>
          </w:tcPr>
          <w:p w:rsidR="00F157A0" w:rsidRPr="00F157A0" w:rsidRDefault="00F157A0" w:rsidP="00645235">
            <w:pPr>
              <w:spacing w:after="0" w:line="240" w:lineRule="auto"/>
              <w:jc w:val="center"/>
              <w:rPr>
                <w:rFonts w:ascii="Calibri" w:eastAsia="Times New Roman" w:hAnsi="Calibri" w:cs="Times New Roman"/>
                <w:color w:val="000000"/>
                <w:lang w:eastAsia="en-GB"/>
              </w:rPr>
            </w:pPr>
            <w:r w:rsidRPr="00F157A0">
              <w:rPr>
                <w:rFonts w:ascii="Calibri" w:eastAsia="Times New Roman" w:hAnsi="Calibri" w:cs="Times New Roman"/>
                <w:color w:val="000000"/>
                <w:lang w:eastAsia="en-GB"/>
              </w:rPr>
              <w:t>5.08</w:t>
            </w:r>
            <w:r w:rsidR="00645235">
              <w:rPr>
                <w:rFonts w:ascii="Calibri" w:eastAsia="Times New Roman" w:hAnsi="Calibri" w:cs="Times New Roman"/>
                <w:color w:val="000000"/>
                <w:lang w:eastAsia="en-GB"/>
              </w:rPr>
              <w:t xml:space="preserve"> %</w:t>
            </w:r>
          </w:p>
        </w:tc>
        <w:tc>
          <w:tcPr>
            <w:tcW w:w="1427" w:type="dxa"/>
            <w:tcBorders>
              <w:top w:val="nil"/>
              <w:left w:val="nil"/>
              <w:bottom w:val="single" w:sz="4" w:space="0" w:color="auto"/>
              <w:right w:val="nil"/>
            </w:tcBorders>
            <w:shd w:val="clear" w:color="auto" w:fill="auto"/>
            <w:noWrap/>
            <w:hideMark/>
          </w:tcPr>
          <w:p w:rsidR="00F157A0" w:rsidRPr="00F157A0" w:rsidRDefault="00F157A0" w:rsidP="00645235">
            <w:pPr>
              <w:spacing w:after="0" w:line="240" w:lineRule="auto"/>
              <w:jc w:val="center"/>
              <w:rPr>
                <w:rFonts w:ascii="Calibri" w:eastAsia="Times New Roman" w:hAnsi="Calibri" w:cs="Times New Roman"/>
                <w:color w:val="000000"/>
                <w:lang w:eastAsia="en-GB"/>
              </w:rPr>
            </w:pPr>
            <w:r w:rsidRPr="00F157A0">
              <w:rPr>
                <w:rFonts w:ascii="Calibri" w:eastAsia="Times New Roman" w:hAnsi="Calibri" w:cs="Times New Roman"/>
                <w:color w:val="000000"/>
                <w:lang w:eastAsia="en-GB"/>
              </w:rPr>
              <w:t>0.5</w:t>
            </w:r>
            <w:r w:rsidR="00446BF9">
              <w:rPr>
                <w:rFonts w:ascii="Calibri" w:eastAsia="Times New Roman" w:hAnsi="Calibri" w:cs="Times New Roman"/>
                <w:color w:val="000000"/>
                <w:lang w:eastAsia="en-GB"/>
              </w:rPr>
              <w:t>0</w:t>
            </w:r>
            <w:r w:rsidR="00645235">
              <w:rPr>
                <w:rFonts w:ascii="Calibri" w:eastAsia="Times New Roman" w:hAnsi="Calibri" w:cs="Times New Roman"/>
                <w:color w:val="000000"/>
                <w:lang w:eastAsia="en-GB"/>
              </w:rPr>
              <w:t xml:space="preserve"> %</w:t>
            </w:r>
          </w:p>
        </w:tc>
      </w:tr>
    </w:tbl>
    <w:p w:rsidR="00F157A0" w:rsidRPr="004E3A00" w:rsidRDefault="00F157A0" w:rsidP="00F11B0B">
      <w:pPr>
        <w:spacing w:before="40" w:after="140" w:line="360" w:lineRule="auto"/>
        <w:contextualSpacing/>
        <w:rPr>
          <w:rFonts w:ascii="Arial" w:eastAsia="Times New Roman" w:hAnsi="Arial" w:cs="Arial"/>
          <w:color w:val="000000"/>
          <w:lang w:eastAsia="en-GB"/>
        </w:rPr>
      </w:pPr>
    </w:p>
    <w:p w:rsidR="00A87DA1" w:rsidRPr="004E3A00" w:rsidRDefault="00A87DA1" w:rsidP="00F11B0B">
      <w:pPr>
        <w:spacing w:before="40" w:after="140" w:line="360" w:lineRule="auto"/>
        <w:contextualSpacing/>
        <w:rPr>
          <w:rFonts w:ascii="Arial" w:eastAsia="Times New Roman" w:hAnsi="Arial" w:cs="Arial"/>
          <w:color w:val="000000"/>
          <w:lang w:eastAsia="en-GB"/>
        </w:rPr>
      </w:pPr>
    </w:p>
    <w:p w:rsidR="00F11B0B" w:rsidRPr="004E3A00" w:rsidRDefault="00F11B0B" w:rsidP="00F11B0B">
      <w:pPr>
        <w:spacing w:before="40" w:after="140" w:line="360" w:lineRule="auto"/>
        <w:contextualSpacing/>
        <w:rPr>
          <w:rFonts w:ascii="Times New Roman" w:eastAsia="Times New Roman" w:hAnsi="Times New Roman" w:cs="Times New Roman"/>
          <w:sz w:val="24"/>
          <w:szCs w:val="24"/>
          <w:lang w:eastAsia="en-GB"/>
        </w:rPr>
      </w:pPr>
      <w:r w:rsidRPr="004E3A00">
        <w:rPr>
          <w:rFonts w:ascii="Arial" w:eastAsia="Times New Roman" w:hAnsi="Arial" w:cs="Arial"/>
          <w:color w:val="000000"/>
          <w:lang w:eastAsia="en-GB"/>
        </w:rPr>
        <w:t xml:space="preserve">Table 2 </w:t>
      </w:r>
      <w:r w:rsidR="00772722" w:rsidRPr="004E3A00">
        <w:rPr>
          <w:rFonts w:ascii="Arial" w:eastAsia="Times New Roman" w:hAnsi="Arial" w:cs="Arial"/>
          <w:color w:val="000000"/>
          <w:lang w:eastAsia="en-GB"/>
        </w:rPr>
        <w:t>–</w:t>
      </w:r>
      <w:r w:rsidRPr="004E3A00">
        <w:rPr>
          <w:rFonts w:ascii="Arial" w:eastAsia="Times New Roman" w:hAnsi="Arial" w:cs="Arial"/>
          <w:color w:val="000000"/>
          <w:lang w:eastAsia="en-GB"/>
        </w:rPr>
        <w:t xml:space="preserve"> </w:t>
      </w:r>
      <w:r w:rsidR="00772722" w:rsidRPr="004E3A00">
        <w:rPr>
          <w:rFonts w:ascii="Arial" w:eastAsia="Times New Roman" w:hAnsi="Arial" w:cs="Arial"/>
          <w:color w:val="000000"/>
          <w:lang w:eastAsia="en-GB"/>
        </w:rPr>
        <w:t xml:space="preserve">Coefficients of beech tree mortality from 1964 to 2014 produced from model averaging of mixed effect complementary log-log models with </w:t>
      </w:r>
      <w:proofErr w:type="spellStart"/>
      <w:r w:rsidR="00772722" w:rsidRPr="004E3A00">
        <w:rPr>
          <w:rFonts w:ascii="Arial" w:eastAsia="Times New Roman" w:hAnsi="Arial" w:cs="Arial"/>
          <w:color w:val="000000"/>
          <w:lang w:eastAsia="en-GB"/>
        </w:rPr>
        <w:t>ΔAICc</w:t>
      </w:r>
      <w:proofErr w:type="spellEnd"/>
      <w:r w:rsidR="00067E66">
        <w:rPr>
          <w:rFonts w:ascii="Arial" w:eastAsia="Times New Roman" w:hAnsi="Arial" w:cs="Arial"/>
          <w:color w:val="000000"/>
          <w:lang w:eastAsia="en-GB"/>
        </w:rPr>
        <w:t xml:space="preserve"> </w:t>
      </w:r>
      <w:r w:rsidR="00772722" w:rsidRPr="004E3A00">
        <w:rPr>
          <w:rFonts w:ascii="Arial" w:eastAsia="Times New Roman" w:hAnsi="Arial" w:cs="Arial"/>
          <w:color w:val="000000"/>
          <w:lang w:eastAsia="en-GB"/>
        </w:rPr>
        <w:t>≤7.</w:t>
      </w:r>
    </w:p>
    <w:tbl>
      <w:tblPr>
        <w:tblW w:w="8913" w:type="dxa"/>
        <w:tblInd w:w="93" w:type="dxa"/>
        <w:tblLook w:val="04A0" w:firstRow="1" w:lastRow="0" w:firstColumn="1" w:lastColumn="0" w:noHBand="0" w:noVBand="1"/>
      </w:tblPr>
      <w:tblGrid>
        <w:gridCol w:w="1120"/>
        <w:gridCol w:w="1420"/>
        <w:gridCol w:w="1320"/>
        <w:gridCol w:w="1420"/>
        <w:gridCol w:w="1420"/>
        <w:gridCol w:w="939"/>
        <w:gridCol w:w="1274"/>
      </w:tblGrid>
      <w:tr w:rsidR="00A87DA1" w:rsidRPr="004E3A00" w:rsidTr="00BA763D">
        <w:trPr>
          <w:trHeight w:val="300"/>
        </w:trPr>
        <w:tc>
          <w:tcPr>
            <w:tcW w:w="1120" w:type="dxa"/>
            <w:tcBorders>
              <w:top w:val="single" w:sz="4" w:space="0" w:color="auto"/>
              <w:left w:val="nil"/>
              <w:bottom w:val="single" w:sz="4" w:space="0" w:color="auto"/>
              <w:right w:val="nil"/>
            </w:tcBorders>
            <w:shd w:val="clear" w:color="auto" w:fill="auto"/>
            <w:noWrap/>
            <w:vAlign w:val="bottom"/>
            <w:hideMark/>
          </w:tcPr>
          <w:p w:rsidR="00A87DA1" w:rsidRPr="004E3A00" w:rsidRDefault="00A87DA1" w:rsidP="00BA763D">
            <w:pPr>
              <w:spacing w:after="0" w:line="240" w:lineRule="auto"/>
              <w:contextualSpacing/>
              <w:jc w:val="center"/>
              <w:rPr>
                <w:rFonts w:ascii="Calibri" w:eastAsia="Times New Roman" w:hAnsi="Calibri" w:cs="Times New Roman"/>
                <w:b/>
                <w:color w:val="000000"/>
                <w:lang w:eastAsia="en-GB"/>
              </w:rPr>
            </w:pPr>
            <w:r w:rsidRPr="004E3A00">
              <w:rPr>
                <w:rFonts w:ascii="Calibri" w:eastAsia="Times New Roman" w:hAnsi="Calibri" w:cs="Times New Roman"/>
                <w:b/>
                <w:color w:val="000000"/>
                <w:lang w:eastAsia="en-GB"/>
              </w:rPr>
              <w:t>Variable</w:t>
            </w:r>
          </w:p>
        </w:tc>
        <w:tc>
          <w:tcPr>
            <w:tcW w:w="1420" w:type="dxa"/>
            <w:tcBorders>
              <w:top w:val="single" w:sz="4" w:space="0" w:color="auto"/>
              <w:left w:val="nil"/>
              <w:bottom w:val="single" w:sz="4" w:space="0" w:color="auto"/>
              <w:right w:val="nil"/>
            </w:tcBorders>
            <w:shd w:val="clear" w:color="auto" w:fill="auto"/>
            <w:noWrap/>
            <w:vAlign w:val="bottom"/>
            <w:hideMark/>
          </w:tcPr>
          <w:p w:rsidR="00A87DA1" w:rsidRPr="004E3A00" w:rsidRDefault="00A87DA1" w:rsidP="00BA763D">
            <w:pPr>
              <w:spacing w:after="0" w:line="240" w:lineRule="auto"/>
              <w:contextualSpacing/>
              <w:jc w:val="center"/>
              <w:rPr>
                <w:rFonts w:ascii="Calibri" w:eastAsia="Times New Roman" w:hAnsi="Calibri" w:cs="Times New Roman"/>
                <w:b/>
                <w:color w:val="000000"/>
                <w:lang w:eastAsia="en-GB"/>
              </w:rPr>
            </w:pPr>
            <w:r w:rsidRPr="004E3A00">
              <w:rPr>
                <w:rFonts w:ascii="Calibri" w:eastAsia="Times New Roman" w:hAnsi="Calibri" w:cs="Times New Roman"/>
                <w:b/>
                <w:color w:val="000000"/>
                <w:lang w:eastAsia="en-GB"/>
              </w:rPr>
              <w:t>Estimate</w:t>
            </w:r>
          </w:p>
        </w:tc>
        <w:tc>
          <w:tcPr>
            <w:tcW w:w="1320" w:type="dxa"/>
            <w:tcBorders>
              <w:top w:val="single" w:sz="4" w:space="0" w:color="auto"/>
              <w:left w:val="nil"/>
              <w:bottom w:val="single" w:sz="4" w:space="0" w:color="auto"/>
              <w:right w:val="nil"/>
            </w:tcBorders>
            <w:shd w:val="clear" w:color="auto" w:fill="auto"/>
            <w:noWrap/>
            <w:vAlign w:val="bottom"/>
            <w:hideMark/>
          </w:tcPr>
          <w:p w:rsidR="00A87DA1" w:rsidRPr="004E3A00" w:rsidRDefault="00A87DA1" w:rsidP="00BA763D">
            <w:pPr>
              <w:spacing w:after="0" w:line="240" w:lineRule="auto"/>
              <w:contextualSpacing/>
              <w:jc w:val="center"/>
              <w:rPr>
                <w:rFonts w:ascii="Calibri" w:eastAsia="Times New Roman" w:hAnsi="Calibri" w:cs="Times New Roman"/>
                <w:b/>
                <w:color w:val="000000"/>
                <w:lang w:eastAsia="en-GB"/>
              </w:rPr>
            </w:pPr>
            <w:r w:rsidRPr="004E3A00">
              <w:rPr>
                <w:rFonts w:ascii="Calibri" w:eastAsia="Times New Roman" w:hAnsi="Calibri" w:cs="Times New Roman"/>
                <w:b/>
                <w:color w:val="000000"/>
                <w:lang w:eastAsia="en-GB"/>
              </w:rPr>
              <w:t>Std. Error</w:t>
            </w:r>
          </w:p>
        </w:tc>
        <w:tc>
          <w:tcPr>
            <w:tcW w:w="1420" w:type="dxa"/>
            <w:tcBorders>
              <w:top w:val="single" w:sz="4" w:space="0" w:color="auto"/>
              <w:left w:val="nil"/>
              <w:bottom w:val="single" w:sz="4" w:space="0" w:color="auto"/>
              <w:right w:val="nil"/>
            </w:tcBorders>
            <w:shd w:val="clear" w:color="auto" w:fill="auto"/>
            <w:noWrap/>
            <w:vAlign w:val="bottom"/>
            <w:hideMark/>
          </w:tcPr>
          <w:p w:rsidR="00A87DA1" w:rsidRPr="004E3A00" w:rsidRDefault="00A87DA1" w:rsidP="00BA763D">
            <w:pPr>
              <w:spacing w:after="0" w:line="240" w:lineRule="auto"/>
              <w:contextualSpacing/>
              <w:jc w:val="center"/>
              <w:rPr>
                <w:rFonts w:ascii="Calibri" w:eastAsia="Times New Roman" w:hAnsi="Calibri" w:cs="Times New Roman"/>
                <w:b/>
                <w:color w:val="000000"/>
                <w:lang w:eastAsia="en-GB"/>
              </w:rPr>
            </w:pPr>
            <w:r w:rsidRPr="004E3A00">
              <w:rPr>
                <w:rFonts w:ascii="Calibri" w:eastAsia="Times New Roman" w:hAnsi="Calibri" w:cs="Times New Roman"/>
                <w:b/>
                <w:color w:val="000000"/>
                <w:lang w:eastAsia="en-GB"/>
              </w:rPr>
              <w:t>Lower CI</w:t>
            </w:r>
          </w:p>
        </w:tc>
        <w:tc>
          <w:tcPr>
            <w:tcW w:w="1420" w:type="dxa"/>
            <w:tcBorders>
              <w:top w:val="single" w:sz="4" w:space="0" w:color="auto"/>
              <w:left w:val="nil"/>
              <w:bottom w:val="single" w:sz="4" w:space="0" w:color="auto"/>
              <w:right w:val="nil"/>
            </w:tcBorders>
            <w:shd w:val="clear" w:color="auto" w:fill="auto"/>
            <w:noWrap/>
            <w:vAlign w:val="bottom"/>
            <w:hideMark/>
          </w:tcPr>
          <w:p w:rsidR="00A87DA1" w:rsidRPr="004E3A00" w:rsidRDefault="00A87DA1" w:rsidP="00BA763D">
            <w:pPr>
              <w:spacing w:after="0" w:line="240" w:lineRule="auto"/>
              <w:contextualSpacing/>
              <w:jc w:val="center"/>
              <w:rPr>
                <w:rFonts w:ascii="Calibri" w:eastAsia="Times New Roman" w:hAnsi="Calibri" w:cs="Times New Roman"/>
                <w:b/>
                <w:color w:val="000000"/>
                <w:lang w:eastAsia="en-GB"/>
              </w:rPr>
            </w:pPr>
            <w:r w:rsidRPr="004E3A00">
              <w:rPr>
                <w:rFonts w:ascii="Calibri" w:eastAsia="Times New Roman" w:hAnsi="Calibri" w:cs="Times New Roman"/>
                <w:b/>
                <w:color w:val="000000"/>
                <w:lang w:eastAsia="en-GB"/>
              </w:rPr>
              <w:t>Upper CI</w:t>
            </w:r>
          </w:p>
        </w:tc>
        <w:tc>
          <w:tcPr>
            <w:tcW w:w="939" w:type="dxa"/>
            <w:tcBorders>
              <w:top w:val="single" w:sz="4" w:space="0" w:color="auto"/>
              <w:left w:val="nil"/>
              <w:bottom w:val="single" w:sz="4" w:space="0" w:color="auto"/>
              <w:right w:val="nil"/>
            </w:tcBorders>
            <w:shd w:val="clear" w:color="auto" w:fill="auto"/>
            <w:noWrap/>
            <w:vAlign w:val="bottom"/>
            <w:hideMark/>
          </w:tcPr>
          <w:p w:rsidR="00A87DA1" w:rsidRPr="004E3A00" w:rsidRDefault="00A87DA1" w:rsidP="00BA763D">
            <w:pPr>
              <w:spacing w:after="0" w:line="240" w:lineRule="auto"/>
              <w:contextualSpacing/>
              <w:jc w:val="center"/>
              <w:rPr>
                <w:rFonts w:ascii="Calibri" w:eastAsia="Times New Roman" w:hAnsi="Calibri" w:cs="Times New Roman"/>
                <w:b/>
                <w:color w:val="000000"/>
                <w:lang w:eastAsia="en-GB"/>
              </w:rPr>
            </w:pPr>
            <w:r w:rsidRPr="004E3A00">
              <w:rPr>
                <w:rFonts w:ascii="Calibri" w:eastAsia="Times New Roman" w:hAnsi="Calibri" w:cs="Times New Roman"/>
                <w:b/>
                <w:color w:val="000000"/>
                <w:lang w:eastAsia="en-GB"/>
              </w:rPr>
              <w:t>p value</w:t>
            </w:r>
          </w:p>
        </w:tc>
        <w:tc>
          <w:tcPr>
            <w:tcW w:w="1274" w:type="dxa"/>
            <w:tcBorders>
              <w:top w:val="single" w:sz="4" w:space="0" w:color="auto"/>
              <w:left w:val="nil"/>
              <w:bottom w:val="single" w:sz="4" w:space="0" w:color="auto"/>
              <w:right w:val="nil"/>
            </w:tcBorders>
            <w:shd w:val="clear" w:color="auto" w:fill="auto"/>
            <w:noWrap/>
            <w:vAlign w:val="bottom"/>
            <w:hideMark/>
          </w:tcPr>
          <w:p w:rsidR="00A87DA1" w:rsidRPr="004E3A00" w:rsidRDefault="00A87DA1" w:rsidP="00BA763D">
            <w:pPr>
              <w:spacing w:after="0" w:line="240" w:lineRule="auto"/>
              <w:contextualSpacing/>
              <w:jc w:val="center"/>
              <w:rPr>
                <w:rFonts w:ascii="Calibri" w:eastAsia="Times New Roman" w:hAnsi="Calibri" w:cs="Times New Roman"/>
                <w:b/>
                <w:color w:val="000000"/>
                <w:lang w:eastAsia="en-GB"/>
              </w:rPr>
            </w:pPr>
            <w:r w:rsidRPr="004E3A00">
              <w:rPr>
                <w:rFonts w:ascii="Calibri" w:eastAsia="Times New Roman" w:hAnsi="Calibri" w:cs="Times New Roman"/>
                <w:b/>
                <w:color w:val="000000"/>
                <w:lang w:eastAsia="en-GB"/>
              </w:rPr>
              <w:t>Importance value</w:t>
            </w:r>
          </w:p>
        </w:tc>
      </w:tr>
      <w:tr w:rsidR="00411D45" w:rsidRPr="004E3A00" w:rsidTr="00630647">
        <w:trPr>
          <w:trHeight w:val="300"/>
        </w:trPr>
        <w:tc>
          <w:tcPr>
            <w:tcW w:w="1120" w:type="dxa"/>
            <w:tcBorders>
              <w:top w:val="single" w:sz="4" w:space="0" w:color="auto"/>
              <w:left w:val="nil"/>
              <w:bottom w:val="single" w:sz="4" w:space="0" w:color="auto"/>
              <w:right w:val="nil"/>
            </w:tcBorders>
            <w:shd w:val="clear" w:color="auto" w:fill="auto"/>
            <w:noWrap/>
            <w:vAlign w:val="center"/>
            <w:hideMark/>
          </w:tcPr>
          <w:p w:rsidR="00411D45" w:rsidRPr="004E3A00" w:rsidRDefault="00411D45" w:rsidP="00BA763D">
            <w:pPr>
              <w:spacing w:after="0" w:line="240" w:lineRule="auto"/>
              <w:contextualSpacing/>
              <w:jc w:val="center"/>
              <w:rPr>
                <w:rFonts w:ascii="Calibri" w:eastAsia="Times New Roman" w:hAnsi="Calibri" w:cs="Times New Roman"/>
                <w:color w:val="000000"/>
                <w:lang w:eastAsia="en-GB"/>
              </w:rPr>
            </w:pPr>
            <w:r w:rsidRPr="004E3A00">
              <w:rPr>
                <w:rFonts w:ascii="Calibri" w:eastAsia="Times New Roman" w:hAnsi="Calibri" w:cs="Times New Roman"/>
                <w:color w:val="000000"/>
                <w:lang w:eastAsia="en-GB"/>
              </w:rPr>
              <w:t>Intercept</w:t>
            </w:r>
          </w:p>
        </w:tc>
        <w:tc>
          <w:tcPr>
            <w:tcW w:w="1420" w:type="dxa"/>
            <w:tcBorders>
              <w:top w:val="single" w:sz="4" w:space="0" w:color="auto"/>
              <w:left w:val="nil"/>
              <w:bottom w:val="single" w:sz="4" w:space="0" w:color="auto"/>
              <w:right w:val="nil"/>
            </w:tcBorders>
            <w:shd w:val="clear" w:color="auto" w:fill="auto"/>
            <w:noWrap/>
            <w:vAlign w:val="center"/>
            <w:hideMark/>
          </w:tcPr>
          <w:p w:rsidR="00411D45" w:rsidRPr="004E3A00" w:rsidRDefault="00411D45" w:rsidP="00BA763D">
            <w:pPr>
              <w:spacing w:after="0" w:line="240" w:lineRule="auto"/>
              <w:contextualSpacing/>
              <w:jc w:val="center"/>
              <w:rPr>
                <w:rFonts w:ascii="Calibri" w:eastAsia="Times New Roman" w:hAnsi="Calibri" w:cs="Times New Roman"/>
                <w:color w:val="000000"/>
                <w:lang w:eastAsia="en-GB"/>
              </w:rPr>
            </w:pPr>
            <w:r>
              <w:rPr>
                <w:rFonts w:ascii="Calibri" w:eastAsia="Times New Roman" w:hAnsi="Calibri" w:cs="Times New Roman"/>
                <w:color w:val="000000"/>
                <w:lang w:eastAsia="en-GB"/>
              </w:rPr>
              <w:t>-5.19</w:t>
            </w:r>
          </w:p>
        </w:tc>
        <w:tc>
          <w:tcPr>
            <w:tcW w:w="1320" w:type="dxa"/>
            <w:tcBorders>
              <w:top w:val="single" w:sz="4" w:space="0" w:color="auto"/>
              <w:left w:val="nil"/>
              <w:bottom w:val="single" w:sz="4" w:space="0" w:color="auto"/>
              <w:right w:val="nil"/>
            </w:tcBorders>
            <w:shd w:val="clear" w:color="auto" w:fill="auto"/>
            <w:noWrap/>
            <w:vAlign w:val="center"/>
            <w:hideMark/>
          </w:tcPr>
          <w:p w:rsidR="00411D45" w:rsidRPr="004E3A00" w:rsidRDefault="00411D45" w:rsidP="00BA763D">
            <w:pPr>
              <w:spacing w:after="0" w:line="240" w:lineRule="auto"/>
              <w:contextualSpacing/>
              <w:jc w:val="center"/>
              <w:rPr>
                <w:rFonts w:ascii="Calibri" w:eastAsia="Times New Roman" w:hAnsi="Calibri" w:cs="Times New Roman"/>
                <w:color w:val="000000"/>
                <w:lang w:eastAsia="en-GB"/>
              </w:rPr>
            </w:pPr>
            <w:r>
              <w:rPr>
                <w:rFonts w:ascii="Calibri" w:eastAsia="Times New Roman" w:hAnsi="Calibri" w:cs="Times New Roman"/>
                <w:color w:val="000000"/>
                <w:lang w:eastAsia="en-GB"/>
              </w:rPr>
              <w:t>0.26</w:t>
            </w:r>
          </w:p>
        </w:tc>
        <w:tc>
          <w:tcPr>
            <w:tcW w:w="1420" w:type="dxa"/>
            <w:tcBorders>
              <w:top w:val="single" w:sz="4" w:space="0" w:color="auto"/>
              <w:left w:val="nil"/>
              <w:bottom w:val="single" w:sz="4" w:space="0" w:color="auto"/>
              <w:right w:val="nil"/>
            </w:tcBorders>
            <w:shd w:val="clear" w:color="auto" w:fill="auto"/>
            <w:noWrap/>
            <w:vAlign w:val="bottom"/>
            <w:hideMark/>
          </w:tcPr>
          <w:p w:rsidR="00411D45" w:rsidRDefault="00411D45">
            <w:pPr>
              <w:jc w:val="right"/>
              <w:rPr>
                <w:rFonts w:ascii="Calibri" w:hAnsi="Calibri"/>
                <w:color w:val="000000"/>
              </w:rPr>
            </w:pPr>
            <w:r>
              <w:rPr>
                <w:rFonts w:ascii="Calibri" w:hAnsi="Calibri"/>
                <w:color w:val="000000"/>
              </w:rPr>
              <w:t>-4.68</w:t>
            </w:r>
          </w:p>
        </w:tc>
        <w:tc>
          <w:tcPr>
            <w:tcW w:w="1420" w:type="dxa"/>
            <w:tcBorders>
              <w:top w:val="single" w:sz="4" w:space="0" w:color="auto"/>
              <w:left w:val="nil"/>
              <w:bottom w:val="single" w:sz="4" w:space="0" w:color="auto"/>
              <w:right w:val="nil"/>
            </w:tcBorders>
            <w:shd w:val="clear" w:color="auto" w:fill="auto"/>
            <w:noWrap/>
            <w:vAlign w:val="bottom"/>
            <w:hideMark/>
          </w:tcPr>
          <w:p w:rsidR="00411D45" w:rsidRDefault="00411D45">
            <w:pPr>
              <w:jc w:val="right"/>
              <w:rPr>
                <w:rFonts w:ascii="Calibri" w:hAnsi="Calibri"/>
                <w:color w:val="000000"/>
              </w:rPr>
            </w:pPr>
            <w:r>
              <w:rPr>
                <w:rFonts w:ascii="Calibri" w:hAnsi="Calibri"/>
                <w:color w:val="000000"/>
              </w:rPr>
              <w:t>-5.70</w:t>
            </w:r>
          </w:p>
        </w:tc>
        <w:tc>
          <w:tcPr>
            <w:tcW w:w="939" w:type="dxa"/>
            <w:tcBorders>
              <w:top w:val="single" w:sz="4" w:space="0" w:color="auto"/>
              <w:left w:val="nil"/>
              <w:bottom w:val="single" w:sz="4" w:space="0" w:color="auto"/>
              <w:right w:val="nil"/>
            </w:tcBorders>
            <w:shd w:val="clear" w:color="auto" w:fill="auto"/>
            <w:noWrap/>
            <w:vAlign w:val="center"/>
            <w:hideMark/>
          </w:tcPr>
          <w:p w:rsidR="00411D45" w:rsidRPr="004E3A00" w:rsidRDefault="00411D45" w:rsidP="00BA763D">
            <w:pPr>
              <w:spacing w:after="0" w:line="240" w:lineRule="auto"/>
              <w:contextualSpacing/>
              <w:jc w:val="center"/>
              <w:rPr>
                <w:rFonts w:ascii="Calibri" w:eastAsia="Times New Roman" w:hAnsi="Calibri" w:cs="Times New Roman"/>
                <w:color w:val="000000"/>
                <w:lang w:eastAsia="en-GB"/>
              </w:rPr>
            </w:pPr>
            <w:r w:rsidRPr="004E3A00">
              <w:rPr>
                <w:rFonts w:ascii="Calibri" w:eastAsia="Times New Roman" w:hAnsi="Calibri" w:cs="Times New Roman"/>
                <w:color w:val="000000"/>
                <w:lang w:eastAsia="en-GB"/>
              </w:rPr>
              <w:t>&lt;0.0001</w:t>
            </w:r>
          </w:p>
        </w:tc>
        <w:tc>
          <w:tcPr>
            <w:tcW w:w="1274" w:type="dxa"/>
            <w:tcBorders>
              <w:top w:val="single" w:sz="4" w:space="0" w:color="auto"/>
              <w:left w:val="nil"/>
              <w:bottom w:val="single" w:sz="4" w:space="0" w:color="auto"/>
              <w:right w:val="nil"/>
            </w:tcBorders>
            <w:shd w:val="clear" w:color="auto" w:fill="auto"/>
            <w:noWrap/>
            <w:vAlign w:val="center"/>
            <w:hideMark/>
          </w:tcPr>
          <w:p w:rsidR="00411D45" w:rsidRPr="004E3A00" w:rsidRDefault="00411D45" w:rsidP="00BA763D">
            <w:pPr>
              <w:spacing w:after="0" w:line="240" w:lineRule="auto"/>
              <w:contextualSpacing/>
              <w:jc w:val="center"/>
              <w:rPr>
                <w:rFonts w:ascii="Calibri" w:eastAsia="Times New Roman" w:hAnsi="Calibri" w:cs="Times New Roman"/>
                <w:color w:val="000000"/>
                <w:lang w:eastAsia="en-GB"/>
              </w:rPr>
            </w:pPr>
            <w:r w:rsidRPr="004E3A00">
              <w:rPr>
                <w:rFonts w:ascii="Calibri" w:eastAsia="Times New Roman" w:hAnsi="Calibri" w:cs="Times New Roman"/>
                <w:color w:val="000000"/>
                <w:lang w:eastAsia="en-GB"/>
              </w:rPr>
              <w:t>1</w:t>
            </w:r>
          </w:p>
        </w:tc>
      </w:tr>
      <w:tr w:rsidR="00411D45" w:rsidRPr="004E3A00" w:rsidTr="00630647">
        <w:trPr>
          <w:trHeight w:val="300"/>
        </w:trPr>
        <w:tc>
          <w:tcPr>
            <w:tcW w:w="1120" w:type="dxa"/>
            <w:tcBorders>
              <w:top w:val="single" w:sz="4" w:space="0" w:color="auto"/>
              <w:left w:val="nil"/>
              <w:bottom w:val="single" w:sz="4" w:space="0" w:color="auto"/>
              <w:right w:val="nil"/>
            </w:tcBorders>
            <w:shd w:val="clear" w:color="auto" w:fill="auto"/>
            <w:noWrap/>
            <w:vAlign w:val="center"/>
            <w:hideMark/>
          </w:tcPr>
          <w:p w:rsidR="00411D45" w:rsidRPr="004E3A00" w:rsidRDefault="00411D45" w:rsidP="00BA763D">
            <w:pPr>
              <w:spacing w:after="0" w:line="240" w:lineRule="auto"/>
              <w:contextualSpacing/>
              <w:jc w:val="center"/>
              <w:rPr>
                <w:rFonts w:ascii="Calibri" w:eastAsia="Times New Roman" w:hAnsi="Calibri" w:cs="Times New Roman"/>
                <w:color w:val="000000"/>
                <w:lang w:eastAsia="en-GB"/>
              </w:rPr>
            </w:pPr>
            <w:r w:rsidRPr="004E3A00">
              <w:rPr>
                <w:rFonts w:ascii="Calibri" w:eastAsia="Times New Roman" w:hAnsi="Calibri" w:cs="Times New Roman"/>
                <w:color w:val="000000"/>
                <w:lang w:eastAsia="en-GB"/>
              </w:rPr>
              <w:t>DBH</w:t>
            </w:r>
          </w:p>
        </w:tc>
        <w:tc>
          <w:tcPr>
            <w:tcW w:w="1420" w:type="dxa"/>
            <w:tcBorders>
              <w:top w:val="single" w:sz="4" w:space="0" w:color="auto"/>
              <w:left w:val="nil"/>
              <w:bottom w:val="single" w:sz="4" w:space="0" w:color="auto"/>
              <w:right w:val="nil"/>
            </w:tcBorders>
            <w:shd w:val="clear" w:color="auto" w:fill="auto"/>
            <w:noWrap/>
            <w:vAlign w:val="center"/>
            <w:hideMark/>
          </w:tcPr>
          <w:p w:rsidR="00411D45" w:rsidRPr="004E3A00" w:rsidRDefault="00411D45" w:rsidP="00BA763D">
            <w:pPr>
              <w:spacing w:after="0" w:line="240" w:lineRule="auto"/>
              <w:contextualSpacing/>
              <w:jc w:val="center"/>
              <w:rPr>
                <w:rFonts w:ascii="Calibri" w:eastAsia="Times New Roman" w:hAnsi="Calibri" w:cs="Times New Roman"/>
                <w:color w:val="000000"/>
                <w:lang w:eastAsia="en-GB"/>
              </w:rPr>
            </w:pPr>
            <w:r>
              <w:rPr>
                <w:rFonts w:ascii="Calibri" w:eastAsia="Times New Roman" w:hAnsi="Calibri" w:cs="Times New Roman"/>
                <w:color w:val="000000"/>
                <w:lang w:eastAsia="en-GB"/>
              </w:rPr>
              <w:t>0.23</w:t>
            </w:r>
          </w:p>
        </w:tc>
        <w:tc>
          <w:tcPr>
            <w:tcW w:w="1320" w:type="dxa"/>
            <w:tcBorders>
              <w:top w:val="single" w:sz="4" w:space="0" w:color="auto"/>
              <w:left w:val="nil"/>
              <w:bottom w:val="single" w:sz="4" w:space="0" w:color="auto"/>
              <w:right w:val="nil"/>
            </w:tcBorders>
            <w:shd w:val="clear" w:color="auto" w:fill="auto"/>
            <w:noWrap/>
            <w:vAlign w:val="center"/>
            <w:hideMark/>
          </w:tcPr>
          <w:p w:rsidR="00411D45" w:rsidRPr="004E3A00" w:rsidRDefault="00411D45" w:rsidP="00BA763D">
            <w:pPr>
              <w:spacing w:after="0" w:line="240" w:lineRule="auto"/>
              <w:contextualSpacing/>
              <w:jc w:val="center"/>
              <w:rPr>
                <w:rFonts w:ascii="Calibri" w:eastAsia="Times New Roman" w:hAnsi="Calibri" w:cs="Times New Roman"/>
                <w:color w:val="000000"/>
                <w:lang w:eastAsia="en-GB"/>
              </w:rPr>
            </w:pPr>
            <w:r>
              <w:rPr>
                <w:rFonts w:ascii="Calibri" w:eastAsia="Times New Roman" w:hAnsi="Calibri" w:cs="Times New Roman"/>
                <w:color w:val="000000"/>
                <w:lang w:eastAsia="en-GB"/>
              </w:rPr>
              <w:t>0.11</w:t>
            </w:r>
          </w:p>
        </w:tc>
        <w:tc>
          <w:tcPr>
            <w:tcW w:w="1420" w:type="dxa"/>
            <w:tcBorders>
              <w:top w:val="single" w:sz="4" w:space="0" w:color="auto"/>
              <w:left w:val="nil"/>
              <w:bottom w:val="single" w:sz="4" w:space="0" w:color="auto"/>
              <w:right w:val="nil"/>
            </w:tcBorders>
            <w:shd w:val="clear" w:color="auto" w:fill="auto"/>
            <w:noWrap/>
            <w:vAlign w:val="bottom"/>
            <w:hideMark/>
          </w:tcPr>
          <w:p w:rsidR="00411D45" w:rsidRDefault="00411D45">
            <w:pPr>
              <w:jc w:val="right"/>
              <w:rPr>
                <w:rFonts w:ascii="Calibri" w:hAnsi="Calibri"/>
                <w:color w:val="000000"/>
              </w:rPr>
            </w:pPr>
            <w:r>
              <w:rPr>
                <w:rFonts w:ascii="Calibri" w:hAnsi="Calibri"/>
                <w:color w:val="000000"/>
              </w:rPr>
              <w:t>0.45</w:t>
            </w:r>
          </w:p>
        </w:tc>
        <w:tc>
          <w:tcPr>
            <w:tcW w:w="1420" w:type="dxa"/>
            <w:tcBorders>
              <w:top w:val="single" w:sz="4" w:space="0" w:color="auto"/>
              <w:left w:val="nil"/>
              <w:bottom w:val="single" w:sz="4" w:space="0" w:color="auto"/>
              <w:right w:val="nil"/>
            </w:tcBorders>
            <w:shd w:val="clear" w:color="auto" w:fill="auto"/>
            <w:noWrap/>
            <w:vAlign w:val="bottom"/>
            <w:hideMark/>
          </w:tcPr>
          <w:p w:rsidR="00411D45" w:rsidRDefault="00411D45">
            <w:pPr>
              <w:jc w:val="right"/>
              <w:rPr>
                <w:rFonts w:ascii="Calibri" w:hAnsi="Calibri"/>
                <w:color w:val="000000"/>
              </w:rPr>
            </w:pPr>
            <w:r>
              <w:rPr>
                <w:rFonts w:ascii="Calibri" w:hAnsi="Calibri"/>
                <w:color w:val="000000"/>
              </w:rPr>
              <w:t>0.01</w:t>
            </w:r>
          </w:p>
        </w:tc>
        <w:tc>
          <w:tcPr>
            <w:tcW w:w="939" w:type="dxa"/>
            <w:tcBorders>
              <w:top w:val="single" w:sz="4" w:space="0" w:color="auto"/>
              <w:left w:val="nil"/>
              <w:bottom w:val="single" w:sz="4" w:space="0" w:color="auto"/>
              <w:right w:val="nil"/>
            </w:tcBorders>
            <w:shd w:val="clear" w:color="auto" w:fill="auto"/>
            <w:noWrap/>
            <w:vAlign w:val="center"/>
            <w:hideMark/>
          </w:tcPr>
          <w:p w:rsidR="00411D45" w:rsidRPr="004E3A00" w:rsidRDefault="00411D45" w:rsidP="00411D45">
            <w:pPr>
              <w:spacing w:after="0" w:line="240" w:lineRule="auto"/>
              <w:contextualSpacing/>
              <w:jc w:val="center"/>
              <w:rPr>
                <w:rFonts w:ascii="Calibri" w:eastAsia="Times New Roman" w:hAnsi="Calibri" w:cs="Times New Roman"/>
                <w:color w:val="000000"/>
                <w:lang w:eastAsia="en-GB"/>
              </w:rPr>
            </w:pPr>
            <w:r w:rsidRPr="004E3A00">
              <w:rPr>
                <w:rFonts w:ascii="Calibri" w:eastAsia="Times New Roman" w:hAnsi="Calibri" w:cs="Times New Roman"/>
                <w:color w:val="000000"/>
                <w:lang w:eastAsia="en-GB"/>
              </w:rPr>
              <w:t>&lt;0.0</w:t>
            </w:r>
            <w:r>
              <w:rPr>
                <w:rFonts w:ascii="Calibri" w:eastAsia="Times New Roman" w:hAnsi="Calibri" w:cs="Times New Roman"/>
                <w:color w:val="000000"/>
                <w:lang w:eastAsia="en-GB"/>
              </w:rPr>
              <w:t>46</w:t>
            </w:r>
          </w:p>
        </w:tc>
        <w:tc>
          <w:tcPr>
            <w:tcW w:w="1274" w:type="dxa"/>
            <w:tcBorders>
              <w:top w:val="single" w:sz="4" w:space="0" w:color="auto"/>
              <w:left w:val="nil"/>
              <w:bottom w:val="single" w:sz="4" w:space="0" w:color="auto"/>
              <w:right w:val="nil"/>
            </w:tcBorders>
            <w:shd w:val="clear" w:color="auto" w:fill="auto"/>
            <w:noWrap/>
            <w:vAlign w:val="center"/>
            <w:hideMark/>
          </w:tcPr>
          <w:p w:rsidR="00411D45" w:rsidRPr="004E3A00" w:rsidRDefault="00411D45" w:rsidP="00BA763D">
            <w:pPr>
              <w:spacing w:after="0" w:line="240" w:lineRule="auto"/>
              <w:contextualSpacing/>
              <w:jc w:val="center"/>
              <w:rPr>
                <w:rFonts w:ascii="Calibri" w:eastAsia="Times New Roman" w:hAnsi="Calibri" w:cs="Times New Roman"/>
                <w:color w:val="000000"/>
                <w:lang w:eastAsia="en-GB"/>
              </w:rPr>
            </w:pPr>
            <w:r w:rsidRPr="004E3A00">
              <w:rPr>
                <w:rFonts w:ascii="Calibri" w:eastAsia="Times New Roman" w:hAnsi="Calibri" w:cs="Times New Roman"/>
                <w:color w:val="000000"/>
                <w:lang w:eastAsia="en-GB"/>
              </w:rPr>
              <w:t>0.8</w:t>
            </w:r>
          </w:p>
        </w:tc>
      </w:tr>
      <w:tr w:rsidR="00411D45" w:rsidRPr="004E3A00" w:rsidTr="00630647">
        <w:trPr>
          <w:trHeight w:val="300"/>
        </w:trPr>
        <w:tc>
          <w:tcPr>
            <w:tcW w:w="1120" w:type="dxa"/>
            <w:tcBorders>
              <w:top w:val="single" w:sz="4" w:space="0" w:color="auto"/>
              <w:left w:val="nil"/>
              <w:bottom w:val="single" w:sz="4" w:space="0" w:color="auto"/>
              <w:right w:val="nil"/>
            </w:tcBorders>
            <w:shd w:val="clear" w:color="auto" w:fill="auto"/>
            <w:noWrap/>
            <w:vAlign w:val="center"/>
            <w:hideMark/>
          </w:tcPr>
          <w:p w:rsidR="00411D45" w:rsidRPr="004E3A00" w:rsidRDefault="00411D45" w:rsidP="00BA763D">
            <w:pPr>
              <w:spacing w:after="0" w:line="240" w:lineRule="auto"/>
              <w:contextualSpacing/>
              <w:jc w:val="center"/>
              <w:rPr>
                <w:rFonts w:ascii="Calibri" w:eastAsia="Times New Roman" w:hAnsi="Calibri" w:cs="Times New Roman"/>
                <w:color w:val="000000"/>
                <w:lang w:eastAsia="en-GB"/>
              </w:rPr>
            </w:pPr>
            <w:r w:rsidRPr="004E3A00">
              <w:rPr>
                <w:rFonts w:ascii="Calibri" w:eastAsia="Times New Roman" w:hAnsi="Calibri" w:cs="Times New Roman"/>
                <w:color w:val="000000"/>
                <w:lang w:eastAsia="en-GB"/>
              </w:rPr>
              <w:t>Distance to dead tree</w:t>
            </w:r>
          </w:p>
        </w:tc>
        <w:tc>
          <w:tcPr>
            <w:tcW w:w="1420" w:type="dxa"/>
            <w:tcBorders>
              <w:top w:val="single" w:sz="4" w:space="0" w:color="auto"/>
              <w:left w:val="nil"/>
              <w:bottom w:val="single" w:sz="4" w:space="0" w:color="auto"/>
              <w:right w:val="nil"/>
            </w:tcBorders>
            <w:shd w:val="clear" w:color="auto" w:fill="auto"/>
            <w:noWrap/>
            <w:vAlign w:val="center"/>
            <w:hideMark/>
          </w:tcPr>
          <w:p w:rsidR="00411D45" w:rsidRPr="004E3A00" w:rsidRDefault="00411D45" w:rsidP="00BA763D">
            <w:pPr>
              <w:spacing w:after="0" w:line="240" w:lineRule="auto"/>
              <w:contextualSpacing/>
              <w:jc w:val="center"/>
              <w:rPr>
                <w:rFonts w:ascii="Calibri" w:eastAsia="Times New Roman" w:hAnsi="Calibri" w:cs="Times New Roman"/>
                <w:color w:val="000000"/>
                <w:lang w:eastAsia="en-GB"/>
              </w:rPr>
            </w:pPr>
            <w:r>
              <w:rPr>
                <w:rFonts w:ascii="Calibri" w:eastAsia="Times New Roman" w:hAnsi="Calibri" w:cs="Times New Roman"/>
                <w:color w:val="000000"/>
                <w:lang w:eastAsia="en-GB"/>
              </w:rPr>
              <w:t>-0.14</w:t>
            </w:r>
          </w:p>
        </w:tc>
        <w:tc>
          <w:tcPr>
            <w:tcW w:w="1320" w:type="dxa"/>
            <w:tcBorders>
              <w:top w:val="single" w:sz="4" w:space="0" w:color="auto"/>
              <w:left w:val="nil"/>
              <w:bottom w:val="single" w:sz="4" w:space="0" w:color="auto"/>
              <w:right w:val="nil"/>
            </w:tcBorders>
            <w:shd w:val="clear" w:color="auto" w:fill="auto"/>
            <w:noWrap/>
            <w:vAlign w:val="center"/>
            <w:hideMark/>
          </w:tcPr>
          <w:p w:rsidR="00411D45" w:rsidRPr="004E3A00" w:rsidRDefault="00411D45" w:rsidP="00BA763D">
            <w:pPr>
              <w:spacing w:after="0" w:line="240" w:lineRule="auto"/>
              <w:contextualSpacing/>
              <w:jc w:val="center"/>
              <w:rPr>
                <w:rFonts w:ascii="Calibri" w:eastAsia="Times New Roman" w:hAnsi="Calibri" w:cs="Times New Roman"/>
                <w:color w:val="000000"/>
                <w:lang w:eastAsia="en-GB"/>
              </w:rPr>
            </w:pPr>
            <w:r>
              <w:rPr>
                <w:rFonts w:ascii="Calibri" w:eastAsia="Times New Roman" w:hAnsi="Calibri" w:cs="Times New Roman"/>
                <w:color w:val="000000"/>
                <w:lang w:eastAsia="en-GB"/>
              </w:rPr>
              <w:t>0.19</w:t>
            </w:r>
          </w:p>
        </w:tc>
        <w:tc>
          <w:tcPr>
            <w:tcW w:w="1420" w:type="dxa"/>
            <w:tcBorders>
              <w:top w:val="single" w:sz="4" w:space="0" w:color="auto"/>
              <w:left w:val="nil"/>
              <w:bottom w:val="single" w:sz="4" w:space="0" w:color="auto"/>
              <w:right w:val="nil"/>
            </w:tcBorders>
            <w:shd w:val="clear" w:color="auto" w:fill="auto"/>
            <w:noWrap/>
            <w:vAlign w:val="bottom"/>
            <w:hideMark/>
          </w:tcPr>
          <w:p w:rsidR="00411D45" w:rsidRDefault="00411D45">
            <w:pPr>
              <w:jc w:val="right"/>
              <w:rPr>
                <w:rFonts w:ascii="Calibri" w:hAnsi="Calibri"/>
                <w:color w:val="000000"/>
              </w:rPr>
            </w:pPr>
            <w:r>
              <w:rPr>
                <w:rFonts w:ascii="Calibri" w:hAnsi="Calibri"/>
                <w:color w:val="000000"/>
              </w:rPr>
              <w:t>0.23</w:t>
            </w:r>
          </w:p>
        </w:tc>
        <w:tc>
          <w:tcPr>
            <w:tcW w:w="1420" w:type="dxa"/>
            <w:tcBorders>
              <w:top w:val="single" w:sz="4" w:space="0" w:color="auto"/>
              <w:left w:val="nil"/>
              <w:bottom w:val="single" w:sz="4" w:space="0" w:color="auto"/>
              <w:right w:val="nil"/>
            </w:tcBorders>
            <w:shd w:val="clear" w:color="auto" w:fill="auto"/>
            <w:noWrap/>
            <w:vAlign w:val="bottom"/>
            <w:hideMark/>
          </w:tcPr>
          <w:p w:rsidR="00411D45" w:rsidRDefault="00411D45">
            <w:pPr>
              <w:jc w:val="right"/>
              <w:rPr>
                <w:rFonts w:ascii="Calibri" w:hAnsi="Calibri"/>
                <w:color w:val="000000"/>
              </w:rPr>
            </w:pPr>
            <w:r>
              <w:rPr>
                <w:rFonts w:ascii="Calibri" w:hAnsi="Calibri"/>
                <w:color w:val="000000"/>
              </w:rPr>
              <w:t>-0.51</w:t>
            </w:r>
          </w:p>
        </w:tc>
        <w:tc>
          <w:tcPr>
            <w:tcW w:w="939" w:type="dxa"/>
            <w:tcBorders>
              <w:top w:val="single" w:sz="4" w:space="0" w:color="auto"/>
              <w:left w:val="nil"/>
              <w:bottom w:val="single" w:sz="4" w:space="0" w:color="auto"/>
              <w:right w:val="nil"/>
            </w:tcBorders>
            <w:shd w:val="clear" w:color="auto" w:fill="auto"/>
            <w:noWrap/>
            <w:vAlign w:val="center"/>
            <w:hideMark/>
          </w:tcPr>
          <w:p w:rsidR="00411D45" w:rsidRPr="004E3A00" w:rsidRDefault="00411D45" w:rsidP="00411D45">
            <w:pPr>
              <w:spacing w:after="0" w:line="240" w:lineRule="auto"/>
              <w:contextualSpacing/>
              <w:jc w:val="center"/>
              <w:rPr>
                <w:rFonts w:ascii="Calibri" w:eastAsia="Times New Roman" w:hAnsi="Calibri" w:cs="Times New Roman"/>
                <w:color w:val="000000"/>
                <w:lang w:eastAsia="en-GB"/>
              </w:rPr>
            </w:pPr>
            <w:r>
              <w:rPr>
                <w:rFonts w:ascii="Calibri" w:eastAsia="Times New Roman" w:hAnsi="Calibri" w:cs="Times New Roman"/>
                <w:color w:val="000000"/>
                <w:lang w:eastAsia="en-GB"/>
              </w:rPr>
              <w:t>0.46</w:t>
            </w:r>
          </w:p>
        </w:tc>
        <w:tc>
          <w:tcPr>
            <w:tcW w:w="1274" w:type="dxa"/>
            <w:tcBorders>
              <w:top w:val="single" w:sz="4" w:space="0" w:color="auto"/>
              <w:left w:val="nil"/>
              <w:bottom w:val="single" w:sz="4" w:space="0" w:color="auto"/>
              <w:right w:val="nil"/>
            </w:tcBorders>
            <w:shd w:val="clear" w:color="auto" w:fill="auto"/>
            <w:noWrap/>
            <w:vAlign w:val="center"/>
            <w:hideMark/>
          </w:tcPr>
          <w:p w:rsidR="00411D45" w:rsidRPr="004E3A00" w:rsidRDefault="00411D45" w:rsidP="00BA763D">
            <w:pPr>
              <w:spacing w:after="0" w:line="240" w:lineRule="auto"/>
              <w:contextualSpacing/>
              <w:jc w:val="center"/>
              <w:rPr>
                <w:rFonts w:ascii="Calibri" w:eastAsia="Times New Roman" w:hAnsi="Calibri" w:cs="Times New Roman"/>
                <w:color w:val="000000"/>
                <w:lang w:eastAsia="en-GB"/>
              </w:rPr>
            </w:pPr>
            <w:r>
              <w:rPr>
                <w:rFonts w:ascii="Calibri" w:eastAsia="Times New Roman" w:hAnsi="Calibri" w:cs="Times New Roman"/>
                <w:color w:val="000000"/>
                <w:lang w:eastAsia="en-GB"/>
              </w:rPr>
              <w:t>0.54</w:t>
            </w:r>
          </w:p>
        </w:tc>
      </w:tr>
      <w:tr w:rsidR="00411D45" w:rsidRPr="004E3A00" w:rsidTr="00630647">
        <w:trPr>
          <w:trHeight w:val="300"/>
        </w:trPr>
        <w:tc>
          <w:tcPr>
            <w:tcW w:w="1120" w:type="dxa"/>
            <w:tcBorders>
              <w:top w:val="single" w:sz="4" w:space="0" w:color="auto"/>
              <w:left w:val="nil"/>
              <w:bottom w:val="single" w:sz="4" w:space="0" w:color="auto"/>
              <w:right w:val="nil"/>
            </w:tcBorders>
            <w:shd w:val="clear" w:color="auto" w:fill="auto"/>
            <w:noWrap/>
            <w:vAlign w:val="center"/>
            <w:hideMark/>
          </w:tcPr>
          <w:p w:rsidR="00411D45" w:rsidRPr="004E3A00" w:rsidRDefault="00411D45" w:rsidP="00BA763D">
            <w:pPr>
              <w:spacing w:after="0" w:line="240" w:lineRule="auto"/>
              <w:contextualSpacing/>
              <w:jc w:val="center"/>
              <w:rPr>
                <w:rFonts w:ascii="Calibri" w:eastAsia="Times New Roman" w:hAnsi="Calibri" w:cs="Times New Roman"/>
                <w:color w:val="000000"/>
                <w:lang w:eastAsia="en-GB"/>
              </w:rPr>
            </w:pPr>
            <w:r w:rsidRPr="004E3A00">
              <w:rPr>
                <w:rFonts w:ascii="Calibri" w:eastAsia="Times New Roman" w:hAnsi="Calibri" w:cs="Times New Roman"/>
                <w:color w:val="000000"/>
                <w:lang w:eastAsia="en-GB"/>
              </w:rPr>
              <w:t>Growth rate</w:t>
            </w:r>
          </w:p>
        </w:tc>
        <w:tc>
          <w:tcPr>
            <w:tcW w:w="1420" w:type="dxa"/>
            <w:tcBorders>
              <w:top w:val="single" w:sz="4" w:space="0" w:color="auto"/>
              <w:left w:val="nil"/>
              <w:bottom w:val="single" w:sz="4" w:space="0" w:color="auto"/>
              <w:right w:val="nil"/>
            </w:tcBorders>
            <w:shd w:val="clear" w:color="auto" w:fill="auto"/>
            <w:noWrap/>
            <w:vAlign w:val="center"/>
            <w:hideMark/>
          </w:tcPr>
          <w:p w:rsidR="00411D45" w:rsidRPr="004E3A00" w:rsidRDefault="00411D45" w:rsidP="00BA763D">
            <w:pPr>
              <w:spacing w:after="0" w:line="240" w:lineRule="auto"/>
              <w:contextualSpacing/>
              <w:jc w:val="center"/>
              <w:rPr>
                <w:rFonts w:ascii="Calibri" w:eastAsia="Times New Roman" w:hAnsi="Calibri" w:cs="Times New Roman"/>
                <w:color w:val="000000"/>
                <w:lang w:eastAsia="en-GB"/>
              </w:rPr>
            </w:pPr>
            <w:r>
              <w:rPr>
                <w:rFonts w:ascii="Calibri" w:eastAsia="Times New Roman" w:hAnsi="Calibri" w:cs="Times New Roman"/>
                <w:color w:val="000000"/>
                <w:lang w:eastAsia="en-GB"/>
              </w:rPr>
              <w:t>-0.93</w:t>
            </w:r>
          </w:p>
        </w:tc>
        <w:tc>
          <w:tcPr>
            <w:tcW w:w="1320" w:type="dxa"/>
            <w:tcBorders>
              <w:top w:val="single" w:sz="4" w:space="0" w:color="auto"/>
              <w:left w:val="nil"/>
              <w:bottom w:val="single" w:sz="4" w:space="0" w:color="auto"/>
              <w:right w:val="nil"/>
            </w:tcBorders>
            <w:shd w:val="clear" w:color="auto" w:fill="auto"/>
            <w:noWrap/>
            <w:vAlign w:val="center"/>
            <w:hideMark/>
          </w:tcPr>
          <w:p w:rsidR="00411D45" w:rsidRPr="004E3A00" w:rsidRDefault="00411D45" w:rsidP="00BA763D">
            <w:pPr>
              <w:spacing w:after="0" w:line="240" w:lineRule="auto"/>
              <w:contextualSpacing/>
              <w:jc w:val="center"/>
              <w:rPr>
                <w:rFonts w:ascii="Calibri" w:eastAsia="Times New Roman" w:hAnsi="Calibri" w:cs="Times New Roman"/>
                <w:color w:val="000000"/>
                <w:lang w:eastAsia="en-GB"/>
              </w:rPr>
            </w:pPr>
            <w:r>
              <w:rPr>
                <w:rFonts w:ascii="Calibri" w:eastAsia="Times New Roman" w:hAnsi="Calibri" w:cs="Times New Roman"/>
                <w:color w:val="000000"/>
                <w:lang w:eastAsia="en-GB"/>
              </w:rPr>
              <w:t>0.15</w:t>
            </w:r>
          </w:p>
        </w:tc>
        <w:tc>
          <w:tcPr>
            <w:tcW w:w="1420" w:type="dxa"/>
            <w:tcBorders>
              <w:top w:val="single" w:sz="4" w:space="0" w:color="auto"/>
              <w:left w:val="nil"/>
              <w:bottom w:val="single" w:sz="4" w:space="0" w:color="auto"/>
              <w:right w:val="nil"/>
            </w:tcBorders>
            <w:shd w:val="clear" w:color="auto" w:fill="auto"/>
            <w:noWrap/>
            <w:vAlign w:val="bottom"/>
            <w:hideMark/>
          </w:tcPr>
          <w:p w:rsidR="00411D45" w:rsidRDefault="00411D45">
            <w:pPr>
              <w:jc w:val="right"/>
              <w:rPr>
                <w:rFonts w:ascii="Calibri" w:hAnsi="Calibri"/>
                <w:color w:val="000000"/>
              </w:rPr>
            </w:pPr>
            <w:r>
              <w:rPr>
                <w:rFonts w:ascii="Calibri" w:hAnsi="Calibri"/>
                <w:color w:val="000000"/>
              </w:rPr>
              <w:t>-0.64</w:t>
            </w:r>
          </w:p>
        </w:tc>
        <w:tc>
          <w:tcPr>
            <w:tcW w:w="1420" w:type="dxa"/>
            <w:tcBorders>
              <w:top w:val="single" w:sz="4" w:space="0" w:color="auto"/>
              <w:left w:val="nil"/>
              <w:bottom w:val="single" w:sz="4" w:space="0" w:color="auto"/>
              <w:right w:val="nil"/>
            </w:tcBorders>
            <w:shd w:val="clear" w:color="auto" w:fill="auto"/>
            <w:noWrap/>
            <w:vAlign w:val="bottom"/>
            <w:hideMark/>
          </w:tcPr>
          <w:p w:rsidR="00411D45" w:rsidRDefault="00411D45">
            <w:pPr>
              <w:jc w:val="right"/>
              <w:rPr>
                <w:rFonts w:ascii="Calibri" w:hAnsi="Calibri"/>
                <w:color w:val="000000"/>
              </w:rPr>
            </w:pPr>
            <w:r>
              <w:rPr>
                <w:rFonts w:ascii="Calibri" w:hAnsi="Calibri"/>
                <w:color w:val="000000"/>
              </w:rPr>
              <w:t>-1.22</w:t>
            </w:r>
          </w:p>
        </w:tc>
        <w:tc>
          <w:tcPr>
            <w:tcW w:w="939" w:type="dxa"/>
            <w:tcBorders>
              <w:top w:val="single" w:sz="4" w:space="0" w:color="auto"/>
              <w:left w:val="nil"/>
              <w:bottom w:val="single" w:sz="4" w:space="0" w:color="auto"/>
              <w:right w:val="nil"/>
            </w:tcBorders>
            <w:shd w:val="clear" w:color="auto" w:fill="auto"/>
            <w:noWrap/>
            <w:vAlign w:val="center"/>
            <w:hideMark/>
          </w:tcPr>
          <w:p w:rsidR="00411D45" w:rsidRPr="004E3A00" w:rsidRDefault="00411D45" w:rsidP="00BA763D">
            <w:pPr>
              <w:spacing w:after="0" w:line="240" w:lineRule="auto"/>
              <w:contextualSpacing/>
              <w:jc w:val="center"/>
              <w:rPr>
                <w:rFonts w:ascii="Calibri" w:eastAsia="Times New Roman" w:hAnsi="Calibri" w:cs="Times New Roman"/>
                <w:color w:val="000000"/>
                <w:lang w:eastAsia="en-GB"/>
              </w:rPr>
            </w:pPr>
            <w:r w:rsidRPr="004E3A00">
              <w:rPr>
                <w:rFonts w:ascii="Calibri" w:eastAsia="Times New Roman" w:hAnsi="Calibri" w:cs="Times New Roman"/>
                <w:color w:val="000000"/>
                <w:lang w:eastAsia="en-GB"/>
              </w:rPr>
              <w:t>&lt;0.0001</w:t>
            </w:r>
          </w:p>
        </w:tc>
        <w:tc>
          <w:tcPr>
            <w:tcW w:w="1274" w:type="dxa"/>
            <w:tcBorders>
              <w:top w:val="single" w:sz="4" w:space="0" w:color="auto"/>
              <w:left w:val="nil"/>
              <w:bottom w:val="single" w:sz="4" w:space="0" w:color="auto"/>
              <w:right w:val="nil"/>
            </w:tcBorders>
            <w:shd w:val="clear" w:color="auto" w:fill="auto"/>
            <w:noWrap/>
            <w:vAlign w:val="center"/>
            <w:hideMark/>
          </w:tcPr>
          <w:p w:rsidR="00411D45" w:rsidRPr="004E3A00" w:rsidRDefault="00411D45" w:rsidP="00BA763D">
            <w:pPr>
              <w:spacing w:after="0" w:line="240" w:lineRule="auto"/>
              <w:contextualSpacing/>
              <w:jc w:val="center"/>
              <w:rPr>
                <w:rFonts w:ascii="Calibri" w:eastAsia="Times New Roman" w:hAnsi="Calibri" w:cs="Times New Roman"/>
                <w:color w:val="000000"/>
                <w:lang w:eastAsia="en-GB"/>
              </w:rPr>
            </w:pPr>
            <w:r w:rsidRPr="004E3A00">
              <w:rPr>
                <w:rFonts w:ascii="Calibri" w:eastAsia="Times New Roman" w:hAnsi="Calibri" w:cs="Times New Roman"/>
                <w:color w:val="000000"/>
                <w:lang w:eastAsia="en-GB"/>
              </w:rPr>
              <w:t>1</w:t>
            </w:r>
          </w:p>
        </w:tc>
      </w:tr>
      <w:tr w:rsidR="00411D45" w:rsidRPr="004E3A00" w:rsidTr="00630647">
        <w:trPr>
          <w:trHeight w:val="300"/>
        </w:trPr>
        <w:tc>
          <w:tcPr>
            <w:tcW w:w="1120" w:type="dxa"/>
            <w:tcBorders>
              <w:top w:val="single" w:sz="4" w:space="0" w:color="auto"/>
              <w:left w:val="nil"/>
              <w:bottom w:val="single" w:sz="4" w:space="0" w:color="auto"/>
              <w:right w:val="nil"/>
            </w:tcBorders>
            <w:shd w:val="clear" w:color="auto" w:fill="auto"/>
            <w:noWrap/>
            <w:vAlign w:val="center"/>
            <w:hideMark/>
          </w:tcPr>
          <w:p w:rsidR="00411D45" w:rsidRPr="004E3A00" w:rsidRDefault="00411D45" w:rsidP="00BA763D">
            <w:pPr>
              <w:spacing w:after="0" w:line="240" w:lineRule="auto"/>
              <w:contextualSpacing/>
              <w:jc w:val="center"/>
              <w:rPr>
                <w:rFonts w:ascii="Calibri" w:eastAsia="Times New Roman" w:hAnsi="Calibri" w:cs="Times New Roman"/>
                <w:color w:val="000000"/>
                <w:lang w:eastAsia="en-GB"/>
              </w:rPr>
            </w:pPr>
            <w:r w:rsidRPr="004E3A00">
              <w:rPr>
                <w:rFonts w:ascii="Calibri" w:eastAsia="Times New Roman" w:hAnsi="Calibri" w:cs="Times New Roman"/>
                <w:color w:val="000000"/>
                <w:lang w:eastAsia="en-GB"/>
              </w:rPr>
              <w:t>Sand content</w:t>
            </w:r>
          </w:p>
        </w:tc>
        <w:tc>
          <w:tcPr>
            <w:tcW w:w="1420" w:type="dxa"/>
            <w:tcBorders>
              <w:top w:val="single" w:sz="4" w:space="0" w:color="auto"/>
              <w:left w:val="nil"/>
              <w:bottom w:val="single" w:sz="4" w:space="0" w:color="auto"/>
              <w:right w:val="nil"/>
            </w:tcBorders>
            <w:shd w:val="clear" w:color="auto" w:fill="auto"/>
            <w:noWrap/>
            <w:vAlign w:val="center"/>
            <w:hideMark/>
          </w:tcPr>
          <w:p w:rsidR="00411D45" w:rsidRPr="004E3A00" w:rsidRDefault="00411D45" w:rsidP="00BA763D">
            <w:pPr>
              <w:spacing w:after="0" w:line="240" w:lineRule="auto"/>
              <w:contextualSpacing/>
              <w:jc w:val="center"/>
              <w:rPr>
                <w:rFonts w:ascii="Calibri" w:eastAsia="Times New Roman" w:hAnsi="Calibri" w:cs="Times New Roman"/>
                <w:color w:val="000000"/>
                <w:lang w:eastAsia="en-GB"/>
              </w:rPr>
            </w:pPr>
            <w:r>
              <w:rPr>
                <w:rFonts w:ascii="Calibri" w:eastAsia="Times New Roman" w:hAnsi="Calibri" w:cs="Times New Roman"/>
                <w:color w:val="000000"/>
                <w:lang w:eastAsia="en-GB"/>
              </w:rPr>
              <w:t>-0.14</w:t>
            </w:r>
          </w:p>
        </w:tc>
        <w:tc>
          <w:tcPr>
            <w:tcW w:w="1320" w:type="dxa"/>
            <w:tcBorders>
              <w:top w:val="single" w:sz="4" w:space="0" w:color="auto"/>
              <w:left w:val="nil"/>
              <w:bottom w:val="single" w:sz="4" w:space="0" w:color="auto"/>
              <w:right w:val="nil"/>
            </w:tcBorders>
            <w:shd w:val="clear" w:color="auto" w:fill="auto"/>
            <w:noWrap/>
            <w:vAlign w:val="center"/>
            <w:hideMark/>
          </w:tcPr>
          <w:p w:rsidR="00411D45" w:rsidRPr="004E3A00" w:rsidRDefault="00411D45" w:rsidP="00BA763D">
            <w:pPr>
              <w:spacing w:after="0" w:line="240" w:lineRule="auto"/>
              <w:contextualSpacing/>
              <w:jc w:val="center"/>
              <w:rPr>
                <w:rFonts w:ascii="Calibri" w:eastAsia="Times New Roman" w:hAnsi="Calibri" w:cs="Times New Roman"/>
                <w:color w:val="000000"/>
                <w:lang w:eastAsia="en-GB"/>
              </w:rPr>
            </w:pPr>
            <w:r>
              <w:rPr>
                <w:rFonts w:ascii="Calibri" w:eastAsia="Times New Roman" w:hAnsi="Calibri" w:cs="Times New Roman"/>
                <w:color w:val="000000"/>
                <w:lang w:eastAsia="en-GB"/>
              </w:rPr>
              <w:t>0.19</w:t>
            </w:r>
          </w:p>
        </w:tc>
        <w:tc>
          <w:tcPr>
            <w:tcW w:w="1420" w:type="dxa"/>
            <w:tcBorders>
              <w:top w:val="single" w:sz="4" w:space="0" w:color="auto"/>
              <w:left w:val="nil"/>
              <w:bottom w:val="single" w:sz="4" w:space="0" w:color="auto"/>
              <w:right w:val="nil"/>
            </w:tcBorders>
            <w:shd w:val="clear" w:color="auto" w:fill="auto"/>
            <w:noWrap/>
            <w:vAlign w:val="bottom"/>
            <w:hideMark/>
          </w:tcPr>
          <w:p w:rsidR="00411D45" w:rsidRDefault="00411D45">
            <w:pPr>
              <w:jc w:val="right"/>
              <w:rPr>
                <w:rFonts w:ascii="Calibri" w:hAnsi="Calibri"/>
                <w:color w:val="000000"/>
              </w:rPr>
            </w:pPr>
            <w:r>
              <w:rPr>
                <w:rFonts w:ascii="Calibri" w:hAnsi="Calibri"/>
                <w:color w:val="000000"/>
              </w:rPr>
              <w:t>0.23</w:t>
            </w:r>
          </w:p>
        </w:tc>
        <w:tc>
          <w:tcPr>
            <w:tcW w:w="1420" w:type="dxa"/>
            <w:tcBorders>
              <w:top w:val="single" w:sz="4" w:space="0" w:color="auto"/>
              <w:left w:val="nil"/>
              <w:bottom w:val="single" w:sz="4" w:space="0" w:color="auto"/>
              <w:right w:val="nil"/>
            </w:tcBorders>
            <w:shd w:val="clear" w:color="auto" w:fill="auto"/>
            <w:noWrap/>
            <w:vAlign w:val="bottom"/>
            <w:hideMark/>
          </w:tcPr>
          <w:p w:rsidR="00411D45" w:rsidRDefault="00411D45">
            <w:pPr>
              <w:jc w:val="right"/>
              <w:rPr>
                <w:rFonts w:ascii="Calibri" w:hAnsi="Calibri"/>
                <w:color w:val="000000"/>
              </w:rPr>
            </w:pPr>
            <w:r>
              <w:rPr>
                <w:rFonts w:ascii="Calibri" w:hAnsi="Calibri"/>
                <w:color w:val="000000"/>
              </w:rPr>
              <w:t>-0.51</w:t>
            </w:r>
          </w:p>
        </w:tc>
        <w:tc>
          <w:tcPr>
            <w:tcW w:w="939" w:type="dxa"/>
            <w:tcBorders>
              <w:top w:val="single" w:sz="4" w:space="0" w:color="auto"/>
              <w:left w:val="nil"/>
              <w:bottom w:val="single" w:sz="4" w:space="0" w:color="auto"/>
              <w:right w:val="nil"/>
            </w:tcBorders>
            <w:shd w:val="clear" w:color="auto" w:fill="auto"/>
            <w:noWrap/>
            <w:vAlign w:val="center"/>
            <w:hideMark/>
          </w:tcPr>
          <w:p w:rsidR="00411D45" w:rsidRPr="004E3A00" w:rsidRDefault="00411D45" w:rsidP="00BA763D">
            <w:pPr>
              <w:spacing w:after="0" w:line="240" w:lineRule="auto"/>
              <w:contextualSpacing/>
              <w:jc w:val="center"/>
              <w:rPr>
                <w:rFonts w:ascii="Calibri" w:eastAsia="Times New Roman" w:hAnsi="Calibri" w:cs="Times New Roman"/>
                <w:color w:val="000000"/>
                <w:lang w:eastAsia="en-GB"/>
              </w:rPr>
            </w:pPr>
            <w:r>
              <w:rPr>
                <w:rFonts w:ascii="Calibri" w:eastAsia="Times New Roman" w:hAnsi="Calibri" w:cs="Times New Roman"/>
                <w:color w:val="000000"/>
                <w:lang w:eastAsia="en-GB"/>
              </w:rPr>
              <w:t>0.45</w:t>
            </w:r>
          </w:p>
        </w:tc>
        <w:tc>
          <w:tcPr>
            <w:tcW w:w="1274" w:type="dxa"/>
            <w:tcBorders>
              <w:top w:val="single" w:sz="4" w:space="0" w:color="auto"/>
              <w:left w:val="nil"/>
              <w:bottom w:val="single" w:sz="4" w:space="0" w:color="auto"/>
              <w:right w:val="nil"/>
            </w:tcBorders>
            <w:shd w:val="clear" w:color="auto" w:fill="auto"/>
            <w:noWrap/>
            <w:vAlign w:val="center"/>
            <w:hideMark/>
          </w:tcPr>
          <w:p w:rsidR="00411D45" w:rsidRPr="004E3A00" w:rsidRDefault="00411D45" w:rsidP="00411D45">
            <w:pPr>
              <w:spacing w:after="0" w:line="240" w:lineRule="auto"/>
              <w:contextualSpacing/>
              <w:jc w:val="center"/>
              <w:rPr>
                <w:rFonts w:ascii="Calibri" w:eastAsia="Times New Roman" w:hAnsi="Calibri" w:cs="Times New Roman"/>
                <w:color w:val="000000"/>
                <w:lang w:eastAsia="en-GB"/>
              </w:rPr>
            </w:pPr>
            <w:r w:rsidRPr="004E3A00">
              <w:rPr>
                <w:rFonts w:ascii="Calibri" w:eastAsia="Times New Roman" w:hAnsi="Calibri" w:cs="Times New Roman"/>
                <w:color w:val="000000"/>
                <w:lang w:eastAsia="en-GB"/>
              </w:rPr>
              <w:t>0.</w:t>
            </w:r>
            <w:r>
              <w:rPr>
                <w:rFonts w:ascii="Calibri" w:eastAsia="Times New Roman" w:hAnsi="Calibri" w:cs="Times New Roman"/>
                <w:color w:val="000000"/>
                <w:lang w:eastAsia="en-GB"/>
              </w:rPr>
              <w:t>52</w:t>
            </w:r>
          </w:p>
        </w:tc>
      </w:tr>
    </w:tbl>
    <w:p w:rsidR="0023188C" w:rsidRPr="004E3A00" w:rsidRDefault="0023188C" w:rsidP="00F11B0B">
      <w:pPr>
        <w:spacing w:line="360" w:lineRule="auto"/>
        <w:contextualSpacing/>
      </w:pPr>
    </w:p>
    <w:p w:rsidR="00EA167B" w:rsidRDefault="00EA167B">
      <w:r>
        <w:br w:type="page"/>
      </w:r>
    </w:p>
    <w:p w:rsidR="006A0E4E" w:rsidRPr="004E3A00" w:rsidRDefault="006A0E4E" w:rsidP="00F11B0B">
      <w:pPr>
        <w:spacing w:line="360" w:lineRule="auto"/>
        <w:contextualSpacing/>
      </w:pPr>
      <w:r w:rsidRPr="004E3A00">
        <w:lastRenderedPageBreak/>
        <w:t>Table 3 – Parameter values for individual based model</w:t>
      </w:r>
    </w:p>
    <w:tbl>
      <w:tblPr>
        <w:tblStyle w:val="TableGrid"/>
        <w:tblW w:w="0" w:type="auto"/>
        <w:tblLook w:val="04A0" w:firstRow="1" w:lastRow="0" w:firstColumn="1" w:lastColumn="0" w:noHBand="0" w:noVBand="1"/>
      </w:tblPr>
      <w:tblGrid>
        <w:gridCol w:w="2310"/>
        <w:gridCol w:w="2310"/>
        <w:gridCol w:w="2311"/>
        <w:gridCol w:w="2311"/>
      </w:tblGrid>
      <w:tr w:rsidR="006A0E4E" w:rsidRPr="004E3A00" w:rsidTr="00BA763D">
        <w:tc>
          <w:tcPr>
            <w:tcW w:w="2310" w:type="dxa"/>
            <w:vAlign w:val="bottom"/>
          </w:tcPr>
          <w:p w:rsidR="006A0E4E" w:rsidRPr="004E3A00" w:rsidRDefault="006A0E4E">
            <w:pPr>
              <w:rPr>
                <w:rFonts w:ascii="Calibri" w:hAnsi="Calibri"/>
                <w:b/>
                <w:color w:val="000000"/>
              </w:rPr>
            </w:pPr>
            <w:r w:rsidRPr="004E3A00">
              <w:rPr>
                <w:rFonts w:ascii="Calibri" w:hAnsi="Calibri"/>
                <w:b/>
                <w:color w:val="000000"/>
              </w:rPr>
              <w:t>Parameter name</w:t>
            </w:r>
          </w:p>
        </w:tc>
        <w:tc>
          <w:tcPr>
            <w:tcW w:w="2310" w:type="dxa"/>
            <w:vAlign w:val="bottom"/>
          </w:tcPr>
          <w:p w:rsidR="006A0E4E" w:rsidRPr="004E3A00" w:rsidRDefault="006A0E4E">
            <w:pPr>
              <w:rPr>
                <w:rFonts w:ascii="Calibri" w:hAnsi="Calibri"/>
                <w:b/>
                <w:color w:val="000000"/>
              </w:rPr>
            </w:pPr>
            <w:r w:rsidRPr="004E3A00">
              <w:rPr>
                <w:rFonts w:ascii="Calibri" w:hAnsi="Calibri"/>
                <w:b/>
                <w:color w:val="000000"/>
              </w:rPr>
              <w:t>Sources</w:t>
            </w:r>
          </w:p>
        </w:tc>
        <w:tc>
          <w:tcPr>
            <w:tcW w:w="2311" w:type="dxa"/>
            <w:vAlign w:val="bottom"/>
          </w:tcPr>
          <w:p w:rsidR="006A0E4E" w:rsidRPr="004E3A00" w:rsidRDefault="006A0E4E">
            <w:pPr>
              <w:rPr>
                <w:rFonts w:ascii="Calibri" w:hAnsi="Calibri"/>
                <w:b/>
                <w:color w:val="000000"/>
              </w:rPr>
            </w:pPr>
            <w:r w:rsidRPr="004E3A00">
              <w:rPr>
                <w:rFonts w:ascii="Calibri" w:hAnsi="Calibri"/>
                <w:b/>
                <w:color w:val="000000"/>
              </w:rPr>
              <w:t>How derived</w:t>
            </w:r>
          </w:p>
        </w:tc>
        <w:tc>
          <w:tcPr>
            <w:tcW w:w="2311" w:type="dxa"/>
            <w:vAlign w:val="bottom"/>
          </w:tcPr>
          <w:p w:rsidR="006A0E4E" w:rsidRPr="004E3A00" w:rsidRDefault="006A0E4E">
            <w:pPr>
              <w:rPr>
                <w:rFonts w:ascii="Calibri" w:hAnsi="Calibri"/>
                <w:b/>
                <w:color w:val="000000"/>
              </w:rPr>
            </w:pPr>
            <w:r w:rsidRPr="004E3A00">
              <w:rPr>
                <w:rFonts w:ascii="Calibri" w:hAnsi="Calibri"/>
                <w:b/>
                <w:color w:val="000000"/>
              </w:rPr>
              <w:t>Value</w:t>
            </w:r>
          </w:p>
        </w:tc>
      </w:tr>
      <w:tr w:rsidR="006A0E4E" w:rsidRPr="004E3A00" w:rsidTr="006A0E4E">
        <w:tc>
          <w:tcPr>
            <w:tcW w:w="2310" w:type="dxa"/>
          </w:tcPr>
          <w:p w:rsidR="006A0E4E" w:rsidRPr="004E3A00" w:rsidRDefault="006A0E4E" w:rsidP="00F11B0B">
            <w:pPr>
              <w:spacing w:line="360" w:lineRule="auto"/>
              <w:contextualSpacing/>
            </w:pPr>
            <w:r w:rsidRPr="004E3A00">
              <w:t>Number of seedlings produced in mast year per tree</w:t>
            </w:r>
          </w:p>
        </w:tc>
        <w:tc>
          <w:tcPr>
            <w:tcW w:w="2310" w:type="dxa"/>
          </w:tcPr>
          <w:p w:rsidR="006A0E4E" w:rsidRPr="004E3A00" w:rsidRDefault="006A0E4E" w:rsidP="00F11B0B">
            <w:pPr>
              <w:spacing w:line="360" w:lineRule="auto"/>
              <w:contextualSpacing/>
            </w:pPr>
            <w:r w:rsidRPr="004E3A00">
              <w:fldChar w:fldCharType="begin" w:fldLock="1"/>
            </w:r>
            <w:r w:rsidR="00EC6C08" w:rsidRPr="004E3A00">
              <w:instrText>ADDIN CSL_CITATION { "citationItems" : [ { "id" : "ITEM-1", "itemData" : { "DOI" : "10.1016/j.foreco.2008.03.050", "ISBN" : "0378-1127", "ISSN" : "03781127", "abstract" : "The aim of the present study was to quantify the effects of roe deer browsing relative to the effects of soil preparation, shelterwood density (light) and seed fall. Ultimately, the goal was better silvicultural guidelines to support the use of natural beech regeneration in the close-to-nature forestry context. In spring 1995, an experiment on natural regeneration with three experimental stands (0.28-0.6 ha) was installed in a beech (Fagus sylvatica) dominated broadleaved forest inhabited by a dense roe deer (Capreolus capreolus) population (24 deer km-2). The autumn of 1995 offered a large beech mast (stand average 307-1168 beechnuts m-2). Treatments installed included fencing to exclude deer, soil preparation, shelterwood thinning, and the relevant control treatments. Roe deer and soil preparation had dramatic effects on regeneration from the moment the seedlings sprouted in the spring 1996. The regeneration sprouted only sparsely in the unprepared seedbed producing only 5 seedlings m-2 (average across fence treatments) after 2 months, which was reduced to 1 sapling m-2 8 years later. Deer had no significant effect on the regeneration density of the unprepared seedbed. In contrast, the cultivated seedbeds produced initially (after 2 months) up to 191 seedlings m-2 protected by fence, whereas the densities in the unfenced treatments peaked by 22 seedlings m-2. By the end of the study, these densities were reduced to 22 saplings m-2 in the permanently fenced mineral soil seedbed and to 2 saplings m-2 in the unfenced mineral soil seedbed. Regeneration height outside the permanent fence was generally only half the height of the regeneration inside. Additionally, we found significantly positive effects of increasing light and seed fall on regeneration density and of light on regeneration growth. We conclude that the roe deer only reduced the regeneration density of the dense regenerations established in the cultivated seedbeds. However, the regeneration density of the unprepared seedbed was not sufficient to support a future high quality stand. We found no treatment that within the timeframe of this study could support successful regeneration establishment outside the permanent fences. Whether this will change in the future with more time given for the regeneration to establish is yet to be revealed. ?? 2008 Elsevier B.V. All rights reserved.", "author" : [ { "dropping-particle" : "", "family" : "Olesen", "given" : "Carsten Riis", "non-dropping-particle" : "", "parse-names" : false, "suffix" : "" }, { "dropping-particle" : "", "family" : "Madsen", "given" : "Palle", "non-dropping-particle" : "", "parse-names" : false, "suffix" : "" } ], "container-title" : "Forest Ecology and Management", "id" : "ITEM-1", "issue" : "12", "issued" : { "date-parts" : [ [ "2008" ] ] }, "page" : "3962-3972", "title" : "The impact of roe deer (Capreolus capreolus), seedbed, light and seed fall on natural beech (Fagus sylvatica) regeneration", "type" : "article-journal", "volume" : "255" }, "uris" : [ "http://www.mendeley.com/documents/?uuid=0726a33e-ba01-41ac-b4fc-38d41d6a54e3" ] } ], "mendeley" : { "formattedCitation" : "(Olesen &amp; Madsen 2008)", "plainTextFormattedCitation" : "(Olesen &amp; Madsen 2008)", "previouslyFormattedCitation" : "(Olesen &amp; Madsen 2008)" }, "properties" : { "noteIndex" : 0 }, "schema" : "https://github.com/citation-style-language/schema/raw/master/csl-citation.json" }</w:instrText>
            </w:r>
            <w:r w:rsidRPr="004E3A00">
              <w:fldChar w:fldCharType="separate"/>
            </w:r>
            <w:r w:rsidR="00732C7B" w:rsidRPr="004E3A00">
              <w:rPr>
                <w:noProof/>
              </w:rPr>
              <w:t>(Olesen &amp; Madsen 2008)</w:t>
            </w:r>
            <w:r w:rsidRPr="004E3A00">
              <w:fldChar w:fldCharType="end"/>
            </w:r>
          </w:p>
        </w:tc>
        <w:tc>
          <w:tcPr>
            <w:tcW w:w="2311" w:type="dxa"/>
          </w:tcPr>
          <w:p w:rsidR="006A0E4E" w:rsidRPr="004E3A00" w:rsidRDefault="006A0E4E" w:rsidP="006A0E4E">
            <w:pPr>
              <w:rPr>
                <w:rFonts w:ascii="Calibri" w:hAnsi="Calibri"/>
                <w:color w:val="000000"/>
              </w:rPr>
            </w:pPr>
            <w:r w:rsidRPr="004E3A00">
              <w:rPr>
                <w:rFonts w:ascii="Calibri" w:hAnsi="Calibri"/>
                <w:color w:val="000000"/>
              </w:rPr>
              <w:t>Mean of number of seedlings present after a mast year divided by the number of mature beech trees in the woodland.</w:t>
            </w:r>
          </w:p>
        </w:tc>
        <w:tc>
          <w:tcPr>
            <w:tcW w:w="2311" w:type="dxa"/>
          </w:tcPr>
          <w:p w:rsidR="006A0E4E" w:rsidRPr="004E3A00" w:rsidRDefault="006A0E4E" w:rsidP="00F11B0B">
            <w:pPr>
              <w:spacing w:line="360" w:lineRule="auto"/>
              <w:contextualSpacing/>
            </w:pPr>
            <w:r w:rsidRPr="004E3A00">
              <w:t>82 (26)</w:t>
            </w:r>
          </w:p>
        </w:tc>
      </w:tr>
      <w:tr w:rsidR="006A0E4E" w:rsidRPr="004E3A00" w:rsidTr="006A0E4E">
        <w:tc>
          <w:tcPr>
            <w:tcW w:w="2310" w:type="dxa"/>
          </w:tcPr>
          <w:p w:rsidR="006A0E4E" w:rsidRPr="004E3A00" w:rsidRDefault="006A0E4E" w:rsidP="00F11B0B">
            <w:pPr>
              <w:spacing w:line="360" w:lineRule="auto"/>
              <w:contextualSpacing/>
            </w:pPr>
            <w:r w:rsidRPr="004E3A00">
              <w:t>Juvenile height growth rate in gaps</w:t>
            </w:r>
          </w:p>
        </w:tc>
        <w:tc>
          <w:tcPr>
            <w:tcW w:w="2310" w:type="dxa"/>
          </w:tcPr>
          <w:p w:rsidR="006A0E4E" w:rsidRPr="004E3A00" w:rsidRDefault="008264CF" w:rsidP="008264CF">
            <w:pPr>
              <w:spacing w:line="360" w:lineRule="auto"/>
              <w:contextualSpacing/>
            </w:pPr>
            <w:r>
              <w:fldChar w:fldCharType="begin" w:fldLock="1"/>
            </w:r>
            <w:r>
              <w:instrText>ADDIN CSL_CITATION { "citationItems" : [ { "id" : "ITEM-1", "itemData" : { "DOI" : "10.1093/treephys/28.5.721", "ISSN" : "0829-318X", "abstract" : "We used height growth data from a 7-year field experiment with European beech (Fagus sylvatica L.) seedlings to test the hypothesis that the effects of above- and belowground resources on height growth depend on seedling size and age. Photosynthetically active radiation (PAR) was determined by hemispheric photography, and estimates of fine root biomass of the overstory trees were used as an inverse proportional surrogate for belowground resource availability. For recently germinated seedlings growing under the canopy of Picea abies (L.) Karst., belowground resource availability affected height growth more than light. During subsequent stages of seedling development, apart from initial seedling size, PAR increasingly determined seedling growth. Besides initial size, seedling age determined the effects of above- and belowground resources on seedling height growth. In seedlings identical in initial size but differing in age, the increase in height growth with increasing PAR was greater in older seedlings than in younger seedlings. The ranking of seedling height by year showed that small differences in size at the end of the first growing season resulted in continuously increasing differences during the following years. Mortality data indicated that the chances of a seedling surviving intraspecific competition was strongly determined by its dominance ranking within the first 5 years after establishment.", "author" : [ { "dropping-particle" : "", "family" : "Ammer", "given" : "C.", "non-dropping-particle" : "", "parse-names" : false, "suffix" : "" }, { "dropping-particle" : "", "family" : "Stimm", "given" : "B.", "non-dropping-particle" : "", "parse-names" : false, "suffix" : "" }, { "dropping-particle" : "", "family" : "Mosandl", "given" : "R.", "non-dropping-particle" : "", "parse-names" : false, "suffix" : "" } ], "container-title" : "Tree Physiology", "id" : "ITEM-1", "issue" : "5", "issued" : { "date-parts" : [ [ "2008", "5", "1" ] ] }, "page" : "721-728", "title" : "Ontogenetic variation in the relative influence of light and belowground resources on European beech seedling growth", "type" : "article-journal", "volume" : "28" }, "uris" : [ "http://www.mendeley.com/documents/?uuid=0a83409a-2048-471f-9ec3-45bbae8b5e66" ] } ], "mendeley" : { "formattedCitation" : "(Ammer &lt;i&gt;et al.&lt;/i&gt; 2008)", "plainTextFormattedCitation" : "(Ammer et al. 2008)", "previouslyFormattedCitation" : "(Ammer &lt;i&gt;et al.&lt;/i&gt; 2008)" }, "properties" : { "noteIndex" : 0 }, "schema" : "https://github.com/citation-style-language/schema/raw/master/csl-citation.json" }</w:instrText>
            </w:r>
            <w:r>
              <w:fldChar w:fldCharType="separate"/>
            </w:r>
            <w:r w:rsidRPr="008264CF">
              <w:rPr>
                <w:noProof/>
              </w:rPr>
              <w:t xml:space="preserve">(Ammer </w:t>
            </w:r>
            <w:r w:rsidRPr="008264CF">
              <w:rPr>
                <w:i/>
                <w:noProof/>
              </w:rPr>
              <w:t>et al.</w:t>
            </w:r>
            <w:r w:rsidRPr="008264CF">
              <w:rPr>
                <w:noProof/>
              </w:rPr>
              <w:t xml:space="preserve"> 2008)</w:t>
            </w:r>
            <w:r>
              <w:fldChar w:fldCharType="end"/>
            </w:r>
          </w:p>
        </w:tc>
        <w:tc>
          <w:tcPr>
            <w:tcW w:w="2311" w:type="dxa"/>
          </w:tcPr>
          <w:p w:rsidR="006A0E4E" w:rsidRPr="004E3A00" w:rsidRDefault="006A0E4E" w:rsidP="00F11B0B">
            <w:pPr>
              <w:spacing w:line="360" w:lineRule="auto"/>
              <w:contextualSpacing/>
            </w:pPr>
            <w:r w:rsidRPr="004E3A00">
              <w:t>Used values from reference</w:t>
            </w:r>
          </w:p>
        </w:tc>
        <w:tc>
          <w:tcPr>
            <w:tcW w:w="2311" w:type="dxa"/>
          </w:tcPr>
          <w:p w:rsidR="006A0E4E" w:rsidRPr="004E3A00" w:rsidRDefault="008264CF" w:rsidP="00F11B0B">
            <w:pPr>
              <w:spacing w:line="360" w:lineRule="auto"/>
              <w:contextualSpacing/>
            </w:pPr>
            <w:r>
              <w:t>12.6</w:t>
            </w:r>
            <w:r w:rsidR="006A0E4E" w:rsidRPr="004E3A00">
              <w:t xml:space="preserve"> cm year</w:t>
            </w:r>
            <w:r w:rsidR="006A0E4E" w:rsidRPr="004E3A00">
              <w:rPr>
                <w:vertAlign w:val="superscript"/>
              </w:rPr>
              <w:t>-1</w:t>
            </w:r>
          </w:p>
        </w:tc>
      </w:tr>
      <w:tr w:rsidR="006A0E4E" w:rsidRPr="004E3A00" w:rsidTr="006A0E4E">
        <w:tc>
          <w:tcPr>
            <w:tcW w:w="2310" w:type="dxa"/>
          </w:tcPr>
          <w:p w:rsidR="006A0E4E" w:rsidRPr="004E3A00" w:rsidRDefault="006A0E4E" w:rsidP="006A0E4E">
            <w:pPr>
              <w:spacing w:line="360" w:lineRule="auto"/>
              <w:contextualSpacing/>
            </w:pPr>
            <w:r w:rsidRPr="004E3A00">
              <w:t>Juvenile height growth rate</w:t>
            </w:r>
            <w:r w:rsidR="000F7021" w:rsidRPr="004E3A00">
              <w:t xml:space="preserve"> under</w:t>
            </w:r>
            <w:r w:rsidRPr="004E3A00">
              <w:t xml:space="preserve"> closed canopy</w:t>
            </w:r>
          </w:p>
        </w:tc>
        <w:tc>
          <w:tcPr>
            <w:tcW w:w="2310" w:type="dxa"/>
          </w:tcPr>
          <w:p w:rsidR="006A0E4E" w:rsidRPr="004E3A00" w:rsidRDefault="008264CF" w:rsidP="008264CF">
            <w:pPr>
              <w:spacing w:line="360" w:lineRule="auto"/>
              <w:contextualSpacing/>
            </w:pPr>
            <w:r>
              <w:fldChar w:fldCharType="begin" w:fldLock="1"/>
            </w:r>
            <w:r>
              <w:instrText>ADDIN CSL_CITATION { "citationItems" : [ { "id" : "ITEM-1", "itemData" : { "DOI" : "10.1093/treephys/28.5.721", "ISSN" : "0829-318X", "abstract" : "We used height growth data from a 7-year field experiment with European beech (Fagus sylvatica L.) seedlings to test the hypothesis that the effects of above- and belowground resources on height growth depend on seedling size and age. Photosynthetically active radiation (PAR) was determined by hemispheric photography, and estimates of fine root biomass of the overstory trees were used as an inverse proportional surrogate for belowground resource availability. For recently germinated seedlings growing under the canopy of Picea abies (L.) Karst., belowground resource availability affected height growth more than light. During subsequent stages of seedling development, apart from initial seedling size, PAR increasingly determined seedling growth. Besides initial size, seedling age determined the effects of above- and belowground resources on seedling height growth. In seedlings identical in initial size but differing in age, the increase in height growth with increasing PAR was greater in older seedlings than in younger seedlings. The ranking of seedling height by year showed that small differences in size at the end of the first growing season resulted in continuously increasing differences during the following years. Mortality data indicated that the chances of a seedling surviving intraspecific competition was strongly determined by its dominance ranking within the first 5 years after establishment.", "author" : [ { "dropping-particle" : "", "family" : "Ammer", "given" : "C.", "non-dropping-particle" : "", "parse-names" : false, "suffix" : "" }, { "dropping-particle" : "", "family" : "Stimm", "given" : "B.", "non-dropping-particle" : "", "parse-names" : false, "suffix" : "" }, { "dropping-particle" : "", "family" : "Mosandl", "given" : "R.", "non-dropping-particle" : "", "parse-names" : false, "suffix" : "" } ], "container-title" : "Tree Physiology", "id" : "ITEM-1", "issue" : "5", "issued" : { "date-parts" : [ [ "2008", "5", "1" ] ] }, "page" : "721-728", "title" : "Ontogenetic variation in the relative influence of light and belowground resources on European beech seedling growth", "type" : "article-journal", "volume" : "28" }, "uris" : [ "http://www.mendeley.com/documents/?uuid=0a83409a-2048-471f-9ec3-45bbae8b5e66" ] } ], "mendeley" : { "formattedCitation" : "(Ammer &lt;i&gt;et al.&lt;/i&gt; 2008)", "plainTextFormattedCitation" : "(Ammer et al. 2008)" }, "properties" : { "noteIndex" : 0 }, "schema" : "https://github.com/citation-style-language/schema/raw/master/csl-citation.json" }</w:instrText>
            </w:r>
            <w:r>
              <w:fldChar w:fldCharType="separate"/>
            </w:r>
            <w:r w:rsidRPr="008264CF">
              <w:rPr>
                <w:noProof/>
              </w:rPr>
              <w:t xml:space="preserve">(Ammer </w:t>
            </w:r>
            <w:r w:rsidRPr="008264CF">
              <w:rPr>
                <w:i/>
                <w:noProof/>
              </w:rPr>
              <w:t>et al.</w:t>
            </w:r>
            <w:r w:rsidRPr="008264CF">
              <w:rPr>
                <w:noProof/>
              </w:rPr>
              <w:t xml:space="preserve"> 2008)</w:t>
            </w:r>
            <w:r>
              <w:fldChar w:fldCharType="end"/>
            </w:r>
          </w:p>
        </w:tc>
        <w:tc>
          <w:tcPr>
            <w:tcW w:w="2311" w:type="dxa"/>
          </w:tcPr>
          <w:p w:rsidR="006A0E4E" w:rsidRPr="004E3A00" w:rsidRDefault="006A0E4E" w:rsidP="00BA763D">
            <w:pPr>
              <w:spacing w:line="360" w:lineRule="auto"/>
              <w:contextualSpacing/>
            </w:pPr>
            <w:r w:rsidRPr="004E3A00">
              <w:t>Used values from reference</w:t>
            </w:r>
          </w:p>
        </w:tc>
        <w:tc>
          <w:tcPr>
            <w:tcW w:w="2311" w:type="dxa"/>
          </w:tcPr>
          <w:p w:rsidR="006A0E4E" w:rsidRPr="004E3A00" w:rsidRDefault="008264CF" w:rsidP="00F11B0B">
            <w:pPr>
              <w:spacing w:line="360" w:lineRule="auto"/>
              <w:contextualSpacing/>
            </w:pPr>
            <w:r>
              <w:t>10.9</w:t>
            </w:r>
            <w:r w:rsidR="006A0E4E" w:rsidRPr="004E3A00">
              <w:t xml:space="preserve"> cm year</w:t>
            </w:r>
            <w:r w:rsidR="006A0E4E" w:rsidRPr="004E3A00">
              <w:rPr>
                <w:vertAlign w:val="superscript"/>
              </w:rPr>
              <w:t>-1</w:t>
            </w:r>
          </w:p>
        </w:tc>
      </w:tr>
      <w:tr w:rsidR="006A0E4E" w:rsidRPr="004E3A00" w:rsidTr="006A0E4E">
        <w:tc>
          <w:tcPr>
            <w:tcW w:w="2310" w:type="dxa"/>
          </w:tcPr>
          <w:p w:rsidR="006A0E4E" w:rsidRPr="004E3A00" w:rsidRDefault="000F7021" w:rsidP="00F11B0B">
            <w:pPr>
              <w:spacing w:line="360" w:lineRule="auto"/>
              <w:contextualSpacing/>
            </w:pPr>
            <w:r w:rsidRPr="004E3A00">
              <w:t>Maximum juvenile density</w:t>
            </w:r>
          </w:p>
        </w:tc>
        <w:tc>
          <w:tcPr>
            <w:tcW w:w="2310" w:type="dxa"/>
          </w:tcPr>
          <w:p w:rsidR="006A0E4E" w:rsidRPr="004E3A00" w:rsidRDefault="000F7021" w:rsidP="00F11B0B">
            <w:pPr>
              <w:spacing w:line="360" w:lineRule="auto"/>
              <w:contextualSpacing/>
            </w:pPr>
            <w:r w:rsidRPr="004E3A00">
              <w:fldChar w:fldCharType="begin" w:fldLock="1"/>
            </w:r>
            <w:r w:rsidR="00EC6C08" w:rsidRPr="004E3A00">
              <w:instrText>ADDIN CSL_CITATION { "citationItems" : [ { "id" : "ITEM-1", "itemData" : { "DOI" : "10.1016/j.foreco.2008.03.050", "ISBN" : "0378-1127", "ISSN" : "03781127", "abstract" : "The aim of the present study was to quantify the effects of roe deer browsing relative to the effects of soil preparation, shelterwood density (light) and seed fall. Ultimately, the goal was better silvicultural guidelines to support the use of natural beech regeneration in the close-to-nature forestry context. In spring 1995, an experiment on natural regeneration with three experimental stands (0.28-0.6 ha) was installed in a beech (Fagus sylvatica) dominated broadleaved forest inhabited by a dense roe deer (Capreolus capreolus) population (24 deer km-2). The autumn of 1995 offered a large beech mast (stand average 307-1168 beechnuts m-2). Treatments installed included fencing to exclude deer, soil preparation, shelterwood thinning, and the relevant control treatments. Roe deer and soil preparation had dramatic effects on regeneration from the moment the seedlings sprouted in the spring 1996. The regeneration sprouted only sparsely in the unprepared seedbed producing only 5 seedlings m-2 (average across fence treatments) after 2 months, which was reduced to 1 sapling m-2 8 years later. Deer had no significant effect on the regeneration density of the unprepared seedbed. In contrast, the cultivated seedbeds produced initially (after 2 months) up to 191 seedlings m-2 protected by fence, whereas the densities in the unfenced treatments peaked by 22 seedlings m-2. By the end of the study, these densities were reduced to 22 saplings m-2 in the permanently fenced mineral soil seedbed and to 2 saplings m-2 in the unfenced mineral soil seedbed. Regeneration height outside the permanent fence was generally only half the height of the regeneration inside. Additionally, we found significantly positive effects of increasing light and seed fall on regeneration density and of light on regeneration growth. We conclude that the roe deer only reduced the regeneration density of the dense regenerations established in the cultivated seedbeds. However, the regeneration density of the unprepared seedbed was not sufficient to support a future high quality stand. We found no treatment that within the timeframe of this study could support successful regeneration establishment outside the permanent fences. Whether this will change in the future with more time given for the regeneration to establish is yet to be revealed. ?? 2008 Elsevier B.V. All rights reserved.", "author" : [ { "dropping-particle" : "", "family" : "Olesen", "given" : "Carsten Riis", "non-dropping-particle" : "", "parse-names" : false, "suffix" : "" }, { "dropping-particle" : "", "family" : "Madsen", "given" : "Palle", "non-dropping-particle" : "", "parse-names" : false, "suffix" : "" } ], "container-title" : "Forest Ecology and Management", "id" : "ITEM-1", "issue" : "12", "issued" : { "date-parts" : [ [ "2008" ] ] }, "page" : "3962-3972", "title" : "The impact of roe deer (Capreolus capreolus), seedbed, light and seed fall on natural beech (Fagus sylvatica) regeneration", "type" : "article-journal", "volume" : "255" }, "uris" : [ "http://www.mendeley.com/documents/?uuid=0726a33e-ba01-41ac-b4fc-38d41d6a54e3" ] } ], "mendeley" : { "formattedCitation" : "(Olesen &amp; Madsen 2008)", "plainTextFormattedCitation" : "(Olesen &amp; Madsen 2008)", "previouslyFormattedCitation" : "(Olesen &amp; Madsen 2008)" }, "properties" : { "noteIndex" : 0 }, "schema" : "https://github.com/citation-style-language/schema/raw/master/csl-citation.json" }</w:instrText>
            </w:r>
            <w:r w:rsidRPr="004E3A00">
              <w:fldChar w:fldCharType="separate"/>
            </w:r>
            <w:r w:rsidR="00732C7B" w:rsidRPr="004E3A00">
              <w:rPr>
                <w:noProof/>
              </w:rPr>
              <w:t>(Olesen &amp; Madsen 2008)</w:t>
            </w:r>
            <w:r w:rsidRPr="004E3A00">
              <w:fldChar w:fldCharType="end"/>
            </w:r>
          </w:p>
        </w:tc>
        <w:tc>
          <w:tcPr>
            <w:tcW w:w="2311" w:type="dxa"/>
          </w:tcPr>
          <w:p w:rsidR="006A0E4E" w:rsidRPr="004E3A00" w:rsidRDefault="00376928" w:rsidP="00F11B0B">
            <w:pPr>
              <w:spacing w:line="360" w:lineRule="auto"/>
              <w:contextualSpacing/>
            </w:pPr>
            <w:r w:rsidRPr="004E3A00">
              <w:t xml:space="preserve">Used values from fenced, </w:t>
            </w:r>
            <w:proofErr w:type="spellStart"/>
            <w:r w:rsidRPr="004E3A00">
              <w:t>ungrazed</w:t>
            </w:r>
            <w:proofErr w:type="spellEnd"/>
            <w:r w:rsidRPr="004E3A00">
              <w:t xml:space="preserve"> plots</w:t>
            </w:r>
          </w:p>
        </w:tc>
        <w:tc>
          <w:tcPr>
            <w:tcW w:w="2311" w:type="dxa"/>
          </w:tcPr>
          <w:p w:rsidR="006A0E4E" w:rsidRPr="004E3A00" w:rsidRDefault="00B15A2F" w:rsidP="00F11B0B">
            <w:pPr>
              <w:spacing w:line="360" w:lineRule="auto"/>
              <w:contextualSpacing/>
            </w:pPr>
            <w:r>
              <w:t>3</w:t>
            </w:r>
            <w:r w:rsidR="000F7021" w:rsidRPr="004E3A00">
              <w:t xml:space="preserve"> seedlings m</w:t>
            </w:r>
            <w:r w:rsidR="000F7021" w:rsidRPr="004E3A00">
              <w:rPr>
                <w:vertAlign w:val="superscript"/>
              </w:rPr>
              <w:t>-2</w:t>
            </w:r>
          </w:p>
        </w:tc>
      </w:tr>
      <w:tr w:rsidR="00376928" w:rsidRPr="004E3A00" w:rsidTr="006A0E4E">
        <w:tc>
          <w:tcPr>
            <w:tcW w:w="2310" w:type="dxa"/>
          </w:tcPr>
          <w:p w:rsidR="00376928" w:rsidRPr="004E3A00" w:rsidRDefault="00376928" w:rsidP="00F11B0B">
            <w:pPr>
              <w:spacing w:line="360" w:lineRule="auto"/>
              <w:contextualSpacing/>
            </w:pPr>
            <w:r w:rsidRPr="004E3A00">
              <w:t>Mature tree mortality</w:t>
            </w:r>
          </w:p>
        </w:tc>
        <w:tc>
          <w:tcPr>
            <w:tcW w:w="2310" w:type="dxa"/>
          </w:tcPr>
          <w:p w:rsidR="00376928" w:rsidRPr="004E3A00" w:rsidRDefault="00376928" w:rsidP="00F11B0B">
            <w:pPr>
              <w:spacing w:line="360" w:lineRule="auto"/>
              <w:contextualSpacing/>
            </w:pPr>
            <w:r w:rsidRPr="004E3A00">
              <w:t>This study</w:t>
            </w:r>
          </w:p>
        </w:tc>
        <w:tc>
          <w:tcPr>
            <w:tcW w:w="2311" w:type="dxa"/>
          </w:tcPr>
          <w:p w:rsidR="00376928" w:rsidRPr="004E3A00" w:rsidRDefault="00376928" w:rsidP="00F11B0B">
            <w:pPr>
              <w:spacing w:line="360" w:lineRule="auto"/>
              <w:contextualSpacing/>
            </w:pPr>
            <w:r w:rsidRPr="004E3A00">
              <w:t>Derived from statistical analyses</w:t>
            </w:r>
          </w:p>
        </w:tc>
        <w:tc>
          <w:tcPr>
            <w:tcW w:w="2311" w:type="dxa"/>
          </w:tcPr>
          <w:p w:rsidR="00376928" w:rsidRPr="004E3A00" w:rsidRDefault="00376928" w:rsidP="00F11B0B">
            <w:pPr>
              <w:spacing w:line="360" w:lineRule="auto"/>
              <w:contextualSpacing/>
            </w:pPr>
          </w:p>
        </w:tc>
      </w:tr>
      <w:tr w:rsidR="00376928" w:rsidRPr="004E3A00" w:rsidTr="006A0E4E">
        <w:tc>
          <w:tcPr>
            <w:tcW w:w="2310" w:type="dxa"/>
          </w:tcPr>
          <w:p w:rsidR="00376928" w:rsidRPr="004E3A00" w:rsidRDefault="00376928" w:rsidP="00411D45">
            <w:pPr>
              <w:spacing w:line="360" w:lineRule="auto"/>
              <w:contextualSpacing/>
            </w:pPr>
            <w:r w:rsidRPr="004E3A00">
              <w:t xml:space="preserve">Annual </w:t>
            </w:r>
            <w:r w:rsidR="00411D45">
              <w:t xml:space="preserve">mature tree growth rate </w:t>
            </w:r>
          </w:p>
        </w:tc>
        <w:tc>
          <w:tcPr>
            <w:tcW w:w="2310" w:type="dxa"/>
          </w:tcPr>
          <w:p w:rsidR="00376928" w:rsidRPr="004E3A00" w:rsidRDefault="00411D45" w:rsidP="00EC6C08">
            <w:pPr>
              <w:spacing w:line="360" w:lineRule="auto"/>
              <w:contextualSpacing/>
            </w:pPr>
            <w:r>
              <w:t>This study</w:t>
            </w:r>
          </w:p>
        </w:tc>
        <w:tc>
          <w:tcPr>
            <w:tcW w:w="2311" w:type="dxa"/>
          </w:tcPr>
          <w:p w:rsidR="00376928" w:rsidRPr="004E3A00" w:rsidRDefault="00411D45" w:rsidP="00F11B0B">
            <w:pPr>
              <w:spacing w:line="360" w:lineRule="auto"/>
              <w:contextualSpacing/>
            </w:pPr>
            <w:r>
              <w:t>Derived from statistical analyses</w:t>
            </w:r>
          </w:p>
        </w:tc>
        <w:tc>
          <w:tcPr>
            <w:tcW w:w="2311" w:type="dxa"/>
          </w:tcPr>
          <w:p w:rsidR="00376928" w:rsidRPr="004E3A00" w:rsidRDefault="00EC6C08" w:rsidP="00F11B0B">
            <w:pPr>
              <w:spacing w:line="360" w:lineRule="auto"/>
              <w:contextualSpacing/>
            </w:pPr>
            <w:r w:rsidRPr="004E3A00">
              <w:t>0.4 cm year</w:t>
            </w:r>
            <w:r w:rsidRPr="004E3A00">
              <w:rPr>
                <w:vertAlign w:val="superscript"/>
              </w:rPr>
              <w:t>-1</w:t>
            </w:r>
          </w:p>
        </w:tc>
      </w:tr>
      <w:tr w:rsidR="00EC6C08" w:rsidRPr="004E3A00" w:rsidTr="006A0E4E">
        <w:tc>
          <w:tcPr>
            <w:tcW w:w="2310" w:type="dxa"/>
          </w:tcPr>
          <w:p w:rsidR="00EC6C08" w:rsidRPr="004E3A00" w:rsidRDefault="00EC6C08" w:rsidP="0050323C">
            <w:pPr>
              <w:spacing w:line="360" w:lineRule="auto"/>
              <w:contextualSpacing/>
            </w:pPr>
            <w:r w:rsidRPr="004E3A00">
              <w:t xml:space="preserve">Annual </w:t>
            </w:r>
            <w:r w:rsidR="0050323C">
              <w:t>probability</w:t>
            </w:r>
            <w:r w:rsidRPr="004E3A00">
              <w:t xml:space="preserve"> of mast year</w:t>
            </w:r>
          </w:p>
        </w:tc>
        <w:tc>
          <w:tcPr>
            <w:tcW w:w="2310" w:type="dxa"/>
          </w:tcPr>
          <w:p w:rsidR="00EC6C08" w:rsidRPr="004E3A00" w:rsidRDefault="00EC6C08" w:rsidP="00BA763D">
            <w:pPr>
              <w:spacing w:line="360" w:lineRule="auto"/>
              <w:contextualSpacing/>
            </w:pPr>
            <w:r w:rsidRPr="004E3A00">
              <w:fldChar w:fldCharType="begin" w:fldLock="1"/>
            </w:r>
            <w:r w:rsidRPr="004E3A00">
              <w:instrText>ADDIN CSL_CITATION { "citationItems" : [ { "id" : "ITEM-1", "itemData" : { "DOI" : "10.1111/j.1365-2745.2012.02017.x", "ISSN" : "00220477", "abstract" : "* This account presents information on all aspects of the biology of Fagus sylvatica L. that are relevant to understanding its ecological characteristics and behaviour. The main topics are presented within the standard framework of the Biological Flora of the British Isles: distribution, habitat, communities, responses to biotic factors, responses to environment, structure and physiology, phenology, floral and seed characters, herbivores and disease, history and conservation. * Fagus sylvatica (Beech) is a large usually single-stemmed deciduous tree native to south-east England but now growing over almost the whole of the British Isles, often planted as a forestry tree on all but the wettest soils. It forms extensive woodlands, where it is dominant over a large altitudinal range, competing primarily with Quercus robur. The outcome of this competition is determined by local soil and climatic conditions leading to a gradation into oak woodlands. It is monoecious, wind-pollinated and notable for its periodic large seed numbers (mast years); seed is dispersed by birds and mammals but mostly drops below the parent tree. * Fagus sylvatica is hardy, very shade tolerant, casts a deep shade and is fairly resistant to browsing but susceptible to spring frosts. * Due to its shallow rooting and intensive rather than extensive mode of soil water exploitation, it is also susceptible to drought, and this is likely to be the main factor controlling its expected response to climate change. * Fagus sylvatica is facing few conservation problems, and indeed, its range is currently expanding into central Europe. However, in the face of climate change, its range is likely to contract from its extremes in all but the north, and Phytophthora diseases may become more serious.", "author" : [ { "dropping-particle" : "", "family" : "Packham", "given" : "John R.", "non-dropping-particle" : "", "parse-names" : false, "suffix" : "" }, { "dropping-particle" : "", "family" : "Thomas", "given" : "Peter a.", "non-dropping-particle" : "", "parse-names" : false, "suffix" : "" }, { "dropping-particle" : "", "family" : "Atkinson", "given" : "Mark D.", "non-dropping-particle" : "", "parse-names" : false, "suffix" : "" }, { "dropping-particle" : "", "family" : "Degen", "given" : "Thomas", "non-dropping-particle" : "", "parse-names" : false, "suffix" : "" } ], "container-title" : "Journal of Ecology", "id" : "ITEM-1", "issue" : "6", "issued" : { "date-parts" : [ [ "2012" ] ] }, "page" : "1557-1608", "title" : "Biological Flora of the British Isles: Fagus sylvatica", "type" : "article-journal", "volume" : "100" }, "uris" : [ "http://www.mendeley.com/documents/?uuid=67deb461-c3ca-494b-b80a-fe289c427cd1" ] } ], "mendeley" : { "formattedCitation" : "(Packham &lt;i&gt;et al.&lt;/i&gt; 2012)", "plainTextFormattedCitation" : "(Packham et al. 2012)", "previouslyFormattedCitation" : "(Packham &lt;i&gt;et al.&lt;/i&gt; 2012)" }, "properties" : { "noteIndex" : 0 }, "schema" : "https://github.com/citation-style-language/schema/raw/master/csl-citation.json" }</w:instrText>
            </w:r>
            <w:r w:rsidRPr="004E3A00">
              <w:fldChar w:fldCharType="separate"/>
            </w:r>
            <w:r w:rsidRPr="004E3A00">
              <w:rPr>
                <w:noProof/>
              </w:rPr>
              <w:t xml:space="preserve">(Packham </w:t>
            </w:r>
            <w:r w:rsidRPr="004E3A00">
              <w:rPr>
                <w:i/>
                <w:noProof/>
              </w:rPr>
              <w:t>et al.</w:t>
            </w:r>
            <w:r w:rsidRPr="004E3A00">
              <w:rPr>
                <w:noProof/>
              </w:rPr>
              <w:t xml:space="preserve"> 2012)</w:t>
            </w:r>
            <w:r w:rsidRPr="004E3A00">
              <w:fldChar w:fldCharType="end"/>
            </w:r>
          </w:p>
        </w:tc>
        <w:tc>
          <w:tcPr>
            <w:tcW w:w="2311" w:type="dxa"/>
          </w:tcPr>
          <w:p w:rsidR="00EC6C08" w:rsidRPr="004E3A00" w:rsidRDefault="00EC6C08" w:rsidP="00BA763D">
            <w:pPr>
              <w:spacing w:line="360" w:lineRule="auto"/>
              <w:contextualSpacing/>
            </w:pPr>
            <w:r w:rsidRPr="004E3A00">
              <w:t>In the UK beech trees mast once every three years on average</w:t>
            </w:r>
          </w:p>
        </w:tc>
        <w:tc>
          <w:tcPr>
            <w:tcW w:w="2311" w:type="dxa"/>
          </w:tcPr>
          <w:p w:rsidR="00EC6C08" w:rsidRPr="004E3A00" w:rsidRDefault="00EC6C08" w:rsidP="00BA763D">
            <w:pPr>
              <w:spacing w:line="360" w:lineRule="auto"/>
              <w:contextualSpacing/>
            </w:pPr>
            <w:r w:rsidRPr="004E3A00">
              <w:t>0.3</w:t>
            </w:r>
          </w:p>
        </w:tc>
      </w:tr>
    </w:tbl>
    <w:p w:rsidR="008264CF" w:rsidRPr="004E3A00" w:rsidRDefault="008264CF" w:rsidP="00F11B0B">
      <w:pPr>
        <w:spacing w:line="360" w:lineRule="auto"/>
        <w:contextualSpacing/>
      </w:pPr>
    </w:p>
    <w:sectPr w:rsidR="008264CF" w:rsidRPr="004E3A0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Phil Martin" w:date="2015-09-06T21:26:00Z" w:initials="PM">
    <w:p w:rsidR="005C5EFE" w:rsidRDefault="005C5EFE">
      <w:pPr>
        <w:pStyle w:val="CommentText"/>
      </w:pPr>
      <w:r>
        <w:rPr>
          <w:rStyle w:val="CommentReference"/>
        </w:rPr>
        <w:annotationRef/>
      </w:r>
      <w:r>
        <w:t xml:space="preserve">I think that this introduction now might have gone too far in the direction of talking </w:t>
      </w:r>
      <w:r w:rsidRPr="00C16F43">
        <w:rPr>
          <w:u w:val="single"/>
        </w:rPr>
        <w:t>only</w:t>
      </w:r>
      <w:r>
        <w:t xml:space="preserve"> about feedbacks. Maybe we should think about putting a bit more stuff about recruitment and death in there, because that is what a lot of the meat of the paper is really about. Any thoughts?</w:t>
      </w:r>
    </w:p>
  </w:comment>
  <w:comment w:id="2" w:author="Phil Martin" w:date="2015-11-26T10:44:00Z" w:initials="PM">
    <w:p w:rsidR="005C5EFE" w:rsidRDefault="005C5EFE">
      <w:pPr>
        <w:pStyle w:val="CommentText"/>
      </w:pPr>
      <w:r>
        <w:rPr>
          <w:rStyle w:val="CommentReference"/>
        </w:rPr>
        <w:annotationRef/>
      </w:r>
      <w:r>
        <w:t>Put in a citation for this.</w:t>
      </w:r>
    </w:p>
  </w:comment>
  <w:comment w:id="3" w:author="Phil Martin" w:date="2015-09-07T09:29:00Z" w:initials="PM">
    <w:p w:rsidR="005C5EFE" w:rsidRDefault="005C5EFE">
      <w:pPr>
        <w:pStyle w:val="CommentText"/>
      </w:pPr>
      <w:r>
        <w:rPr>
          <w:rStyle w:val="CommentReference"/>
        </w:rPr>
        <w:annotationRef/>
      </w:r>
      <w:r>
        <w:t>I’m not 100% happy with how the model is described as I think from the writing it appears more complex than it really is. We need to work at simplifying this.</w:t>
      </w:r>
    </w:p>
  </w:comment>
  <w:comment w:id="4" w:author="Phil Martin" w:date="2016-02-01T16:01:00Z" w:initials="PM">
    <w:p w:rsidR="00EA167B" w:rsidRDefault="00EA167B">
      <w:pPr>
        <w:pStyle w:val="CommentText"/>
      </w:pPr>
      <w:r>
        <w:rPr>
          <w:rStyle w:val="CommentReference"/>
        </w:rPr>
        <w:annotationRef/>
      </w:r>
      <w:r>
        <w:t>I am beginning to think that it might be a problem only using beech in the model as ~40% of BA is represented by oak. So even if all beech trees die we might not expect total loss of canopy.</w:t>
      </w:r>
    </w:p>
  </w:comment>
  <w:comment w:id="5" w:author="Phil Martin" w:date="2015-11-30T10:59:00Z" w:initials="PM">
    <w:p w:rsidR="005C5EFE" w:rsidRDefault="005C5EFE">
      <w:pPr>
        <w:pStyle w:val="CommentText"/>
      </w:pPr>
      <w:r>
        <w:rPr>
          <w:rStyle w:val="CommentReference"/>
        </w:rPr>
        <w:annotationRef/>
      </w:r>
      <w:r>
        <w:t>Check to see how I have defined this.</w:t>
      </w:r>
    </w:p>
  </w:comment>
  <w:comment w:id="6" w:author="Phil Martin" w:date="2015-12-02T09:25:00Z" w:initials="PM">
    <w:p w:rsidR="005C5EFE" w:rsidRDefault="005C5EFE" w:rsidP="0050060C">
      <w:pPr>
        <w:pStyle w:val="CommentText"/>
        <w:numPr>
          <w:ilvl w:val="0"/>
          <w:numId w:val="14"/>
        </w:numPr>
      </w:pPr>
      <w:r>
        <w:rPr>
          <w:rStyle w:val="CommentReference"/>
        </w:rPr>
        <w:annotationRef/>
      </w:r>
      <w:r>
        <w:t>Change this so that there are more ticks on both axes</w:t>
      </w:r>
    </w:p>
    <w:p w:rsidR="005C5EFE" w:rsidRDefault="005C5EFE" w:rsidP="0050060C">
      <w:pPr>
        <w:pStyle w:val="CommentText"/>
        <w:numPr>
          <w:ilvl w:val="0"/>
          <w:numId w:val="14"/>
        </w:numPr>
      </w:pPr>
      <w:r>
        <w:t>Put in supplementary materials</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5343B8"/>
    <w:multiLevelType w:val="multilevel"/>
    <w:tmpl w:val="3AFE917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21575BC"/>
    <w:multiLevelType w:val="hybridMultilevel"/>
    <w:tmpl w:val="4DA29680"/>
    <w:lvl w:ilvl="0" w:tplc="C96E145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44E2387"/>
    <w:multiLevelType w:val="multilevel"/>
    <w:tmpl w:val="72AA7AF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0C43334"/>
    <w:multiLevelType w:val="multilevel"/>
    <w:tmpl w:val="18B2CC1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21A64FD"/>
    <w:multiLevelType w:val="multilevel"/>
    <w:tmpl w:val="069CC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30415A1"/>
    <w:multiLevelType w:val="multilevel"/>
    <w:tmpl w:val="10B0A9D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8BA32B3"/>
    <w:multiLevelType w:val="multilevel"/>
    <w:tmpl w:val="66EA8B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8F04C7A"/>
    <w:multiLevelType w:val="hybridMultilevel"/>
    <w:tmpl w:val="503437B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3C7F19B0"/>
    <w:multiLevelType w:val="hybridMultilevel"/>
    <w:tmpl w:val="71C02C2C"/>
    <w:lvl w:ilvl="0" w:tplc="09A8ABE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40194299"/>
    <w:multiLevelType w:val="multilevel"/>
    <w:tmpl w:val="325EBA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54C3C67"/>
    <w:multiLevelType w:val="multilevel"/>
    <w:tmpl w:val="49D8427C"/>
    <w:lvl w:ilvl="0">
      <w:start w:val="1"/>
      <w:numFmt w:val="decimal"/>
      <w:lvlText w:val="%1."/>
      <w:lvlJc w:val="left"/>
      <w:pPr>
        <w:tabs>
          <w:tab w:val="num" w:pos="720"/>
        </w:tabs>
        <w:ind w:left="720" w:hanging="360"/>
      </w:pPr>
    </w:lvl>
    <w:lvl w:ilvl="1">
      <w:start w:val="1"/>
      <w:numFmt w:val="lowerRoman"/>
      <w:lvlText w:val="(%2)"/>
      <w:lvlJc w:val="left"/>
      <w:pPr>
        <w:ind w:left="1800" w:hanging="72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EDD02A8"/>
    <w:multiLevelType w:val="hybridMultilevel"/>
    <w:tmpl w:val="EACA0C4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60CA7C2A"/>
    <w:multiLevelType w:val="hybridMultilevel"/>
    <w:tmpl w:val="50A64BD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714A692A"/>
    <w:multiLevelType w:val="multilevel"/>
    <w:tmpl w:val="5CF46F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10"/>
  </w:num>
  <w:num w:numId="3">
    <w:abstractNumId w:val="0"/>
    <w:lvlOverride w:ilvl="0">
      <w:lvl w:ilvl="0">
        <w:numFmt w:val="decimal"/>
        <w:lvlText w:val="%1."/>
        <w:lvlJc w:val="left"/>
      </w:lvl>
    </w:lvlOverride>
  </w:num>
  <w:num w:numId="4">
    <w:abstractNumId w:val="5"/>
    <w:lvlOverride w:ilvl="0">
      <w:lvl w:ilvl="0">
        <w:numFmt w:val="decimal"/>
        <w:lvlText w:val="%1."/>
        <w:lvlJc w:val="left"/>
      </w:lvl>
    </w:lvlOverride>
  </w:num>
  <w:num w:numId="5">
    <w:abstractNumId w:val="2"/>
    <w:lvlOverride w:ilvl="0">
      <w:lvl w:ilvl="0">
        <w:numFmt w:val="decimal"/>
        <w:lvlText w:val="%1."/>
        <w:lvlJc w:val="left"/>
      </w:lvl>
    </w:lvlOverride>
  </w:num>
  <w:num w:numId="6">
    <w:abstractNumId w:val="3"/>
    <w:lvlOverride w:ilvl="0">
      <w:lvl w:ilvl="0">
        <w:numFmt w:val="decimal"/>
        <w:lvlText w:val="%1."/>
        <w:lvlJc w:val="left"/>
      </w:lvl>
    </w:lvlOverride>
  </w:num>
  <w:num w:numId="7">
    <w:abstractNumId w:val="6"/>
  </w:num>
  <w:num w:numId="8">
    <w:abstractNumId w:val="4"/>
  </w:num>
  <w:num w:numId="9">
    <w:abstractNumId w:val="13"/>
  </w:num>
  <w:num w:numId="10">
    <w:abstractNumId w:val="11"/>
  </w:num>
  <w:num w:numId="11">
    <w:abstractNumId w:val="7"/>
  </w:num>
  <w:num w:numId="12">
    <w:abstractNumId w:val="12"/>
  </w:num>
  <w:num w:numId="13">
    <w:abstractNumId w:val="1"/>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060F"/>
    <w:rsid w:val="00040770"/>
    <w:rsid w:val="00067E66"/>
    <w:rsid w:val="00075D5E"/>
    <w:rsid w:val="0009127F"/>
    <w:rsid w:val="000B1AD5"/>
    <w:rsid w:val="000B620B"/>
    <w:rsid w:val="000E22CA"/>
    <w:rsid w:val="000E25C9"/>
    <w:rsid w:val="000E6E1D"/>
    <w:rsid w:val="000F7021"/>
    <w:rsid w:val="0011596D"/>
    <w:rsid w:val="0013294B"/>
    <w:rsid w:val="0017280F"/>
    <w:rsid w:val="00174EF6"/>
    <w:rsid w:val="001A30FD"/>
    <w:rsid w:val="001D43DA"/>
    <w:rsid w:val="001D619D"/>
    <w:rsid w:val="0023188C"/>
    <w:rsid w:val="002324D1"/>
    <w:rsid w:val="002521B1"/>
    <w:rsid w:val="00263A1D"/>
    <w:rsid w:val="002B700A"/>
    <w:rsid w:val="002D258C"/>
    <w:rsid w:val="002D37F9"/>
    <w:rsid w:val="00305F4F"/>
    <w:rsid w:val="00310344"/>
    <w:rsid w:val="003348F5"/>
    <w:rsid w:val="003446FA"/>
    <w:rsid w:val="003722C5"/>
    <w:rsid w:val="00376928"/>
    <w:rsid w:val="003819C1"/>
    <w:rsid w:val="003B5634"/>
    <w:rsid w:val="003D0FCF"/>
    <w:rsid w:val="003D20CF"/>
    <w:rsid w:val="003D61E5"/>
    <w:rsid w:val="003E727E"/>
    <w:rsid w:val="00411D45"/>
    <w:rsid w:val="004166E0"/>
    <w:rsid w:val="00446BF9"/>
    <w:rsid w:val="004618A6"/>
    <w:rsid w:val="00472B3E"/>
    <w:rsid w:val="004C4BD3"/>
    <w:rsid w:val="004C5D56"/>
    <w:rsid w:val="004D78CA"/>
    <w:rsid w:val="004E15D2"/>
    <w:rsid w:val="004E3A00"/>
    <w:rsid w:val="004E7D34"/>
    <w:rsid w:val="004F03D4"/>
    <w:rsid w:val="004F6967"/>
    <w:rsid w:val="0050060C"/>
    <w:rsid w:val="0050323C"/>
    <w:rsid w:val="00512270"/>
    <w:rsid w:val="00527DD8"/>
    <w:rsid w:val="00534FAA"/>
    <w:rsid w:val="00550523"/>
    <w:rsid w:val="00560962"/>
    <w:rsid w:val="0056725C"/>
    <w:rsid w:val="0059280B"/>
    <w:rsid w:val="005B3436"/>
    <w:rsid w:val="005C455F"/>
    <w:rsid w:val="005C5EFE"/>
    <w:rsid w:val="005D2262"/>
    <w:rsid w:val="005D5F34"/>
    <w:rsid w:val="005E23F2"/>
    <w:rsid w:val="00602857"/>
    <w:rsid w:val="00620A02"/>
    <w:rsid w:val="00627E68"/>
    <w:rsid w:val="00645235"/>
    <w:rsid w:val="00655D51"/>
    <w:rsid w:val="00695472"/>
    <w:rsid w:val="006A0E4E"/>
    <w:rsid w:val="006B5377"/>
    <w:rsid w:val="006D6CD3"/>
    <w:rsid w:val="006F0C2D"/>
    <w:rsid w:val="006F3166"/>
    <w:rsid w:val="00732C7B"/>
    <w:rsid w:val="00741B3C"/>
    <w:rsid w:val="007578E3"/>
    <w:rsid w:val="007647DD"/>
    <w:rsid w:val="00772722"/>
    <w:rsid w:val="00780DF1"/>
    <w:rsid w:val="00787860"/>
    <w:rsid w:val="007B14D9"/>
    <w:rsid w:val="007D4DA1"/>
    <w:rsid w:val="007D6626"/>
    <w:rsid w:val="00812C49"/>
    <w:rsid w:val="008264CF"/>
    <w:rsid w:val="008513D6"/>
    <w:rsid w:val="00883802"/>
    <w:rsid w:val="00883BE4"/>
    <w:rsid w:val="008B0D23"/>
    <w:rsid w:val="008B2F2E"/>
    <w:rsid w:val="008B348E"/>
    <w:rsid w:val="008C51BD"/>
    <w:rsid w:val="008D6CB8"/>
    <w:rsid w:val="008E1B37"/>
    <w:rsid w:val="00937D98"/>
    <w:rsid w:val="009525F8"/>
    <w:rsid w:val="00952854"/>
    <w:rsid w:val="009534FF"/>
    <w:rsid w:val="00997F8B"/>
    <w:rsid w:val="009A7386"/>
    <w:rsid w:val="009B3945"/>
    <w:rsid w:val="009B692C"/>
    <w:rsid w:val="009C65E1"/>
    <w:rsid w:val="009E533A"/>
    <w:rsid w:val="00A05E5E"/>
    <w:rsid w:val="00A33D3E"/>
    <w:rsid w:val="00A55BA5"/>
    <w:rsid w:val="00A6054F"/>
    <w:rsid w:val="00A824A1"/>
    <w:rsid w:val="00A87DA1"/>
    <w:rsid w:val="00A9613B"/>
    <w:rsid w:val="00AA207E"/>
    <w:rsid w:val="00B06D6E"/>
    <w:rsid w:val="00B15A2F"/>
    <w:rsid w:val="00B45B79"/>
    <w:rsid w:val="00B6284F"/>
    <w:rsid w:val="00B67877"/>
    <w:rsid w:val="00BA763D"/>
    <w:rsid w:val="00BB3023"/>
    <w:rsid w:val="00BC7DA4"/>
    <w:rsid w:val="00BE09E1"/>
    <w:rsid w:val="00BE1DE1"/>
    <w:rsid w:val="00BE3605"/>
    <w:rsid w:val="00C049AF"/>
    <w:rsid w:val="00C16F43"/>
    <w:rsid w:val="00C3566F"/>
    <w:rsid w:val="00C531D5"/>
    <w:rsid w:val="00C725D2"/>
    <w:rsid w:val="00C82816"/>
    <w:rsid w:val="00C903FA"/>
    <w:rsid w:val="00C9060F"/>
    <w:rsid w:val="00C94329"/>
    <w:rsid w:val="00C94F83"/>
    <w:rsid w:val="00CB7AA1"/>
    <w:rsid w:val="00D05602"/>
    <w:rsid w:val="00D2111C"/>
    <w:rsid w:val="00D232FE"/>
    <w:rsid w:val="00D405AE"/>
    <w:rsid w:val="00D415C3"/>
    <w:rsid w:val="00DB2CE2"/>
    <w:rsid w:val="00DD6D42"/>
    <w:rsid w:val="00DE0691"/>
    <w:rsid w:val="00DF6F7C"/>
    <w:rsid w:val="00E031F8"/>
    <w:rsid w:val="00E177C4"/>
    <w:rsid w:val="00E32A5A"/>
    <w:rsid w:val="00E64C63"/>
    <w:rsid w:val="00EA167B"/>
    <w:rsid w:val="00EC6C08"/>
    <w:rsid w:val="00ED1DD2"/>
    <w:rsid w:val="00EF562A"/>
    <w:rsid w:val="00F112FE"/>
    <w:rsid w:val="00F11B0B"/>
    <w:rsid w:val="00F157A0"/>
    <w:rsid w:val="00F20584"/>
    <w:rsid w:val="00F23BD8"/>
    <w:rsid w:val="00FC381B"/>
    <w:rsid w:val="00FC6C1B"/>
    <w:rsid w:val="00FE15F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060F"/>
    <w:pPr>
      <w:ind w:left="720"/>
      <w:contextualSpacing/>
    </w:pPr>
  </w:style>
  <w:style w:type="paragraph" w:styleId="BalloonText">
    <w:name w:val="Balloon Text"/>
    <w:basedOn w:val="Normal"/>
    <w:link w:val="BalloonTextChar"/>
    <w:uiPriority w:val="99"/>
    <w:semiHidden/>
    <w:unhideWhenUsed/>
    <w:rsid w:val="00174E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4EF6"/>
    <w:rPr>
      <w:rFonts w:ascii="Tahoma" w:hAnsi="Tahoma" w:cs="Tahoma"/>
      <w:sz w:val="16"/>
      <w:szCs w:val="16"/>
    </w:rPr>
  </w:style>
  <w:style w:type="character" w:styleId="CommentReference">
    <w:name w:val="annotation reference"/>
    <w:basedOn w:val="DefaultParagraphFont"/>
    <w:uiPriority w:val="99"/>
    <w:semiHidden/>
    <w:unhideWhenUsed/>
    <w:rsid w:val="00A33D3E"/>
    <w:rPr>
      <w:sz w:val="16"/>
      <w:szCs w:val="16"/>
    </w:rPr>
  </w:style>
  <w:style w:type="paragraph" w:styleId="CommentText">
    <w:name w:val="annotation text"/>
    <w:basedOn w:val="Normal"/>
    <w:link w:val="CommentTextChar"/>
    <w:uiPriority w:val="99"/>
    <w:semiHidden/>
    <w:unhideWhenUsed/>
    <w:rsid w:val="00A33D3E"/>
    <w:pPr>
      <w:spacing w:line="240" w:lineRule="auto"/>
    </w:pPr>
    <w:rPr>
      <w:sz w:val="20"/>
      <w:szCs w:val="20"/>
    </w:rPr>
  </w:style>
  <w:style w:type="character" w:customStyle="1" w:styleId="CommentTextChar">
    <w:name w:val="Comment Text Char"/>
    <w:basedOn w:val="DefaultParagraphFont"/>
    <w:link w:val="CommentText"/>
    <w:uiPriority w:val="99"/>
    <w:semiHidden/>
    <w:rsid w:val="00A33D3E"/>
    <w:rPr>
      <w:sz w:val="20"/>
      <w:szCs w:val="20"/>
    </w:rPr>
  </w:style>
  <w:style w:type="paragraph" w:styleId="CommentSubject">
    <w:name w:val="annotation subject"/>
    <w:basedOn w:val="CommentText"/>
    <w:next w:val="CommentText"/>
    <w:link w:val="CommentSubjectChar"/>
    <w:uiPriority w:val="99"/>
    <w:semiHidden/>
    <w:unhideWhenUsed/>
    <w:rsid w:val="00A33D3E"/>
    <w:rPr>
      <w:b/>
      <w:bCs/>
    </w:rPr>
  </w:style>
  <w:style w:type="character" w:customStyle="1" w:styleId="CommentSubjectChar">
    <w:name w:val="Comment Subject Char"/>
    <w:basedOn w:val="CommentTextChar"/>
    <w:link w:val="CommentSubject"/>
    <w:uiPriority w:val="99"/>
    <w:semiHidden/>
    <w:rsid w:val="00A33D3E"/>
    <w:rPr>
      <w:b/>
      <w:bCs/>
      <w:sz w:val="20"/>
      <w:szCs w:val="20"/>
    </w:rPr>
  </w:style>
  <w:style w:type="paragraph" w:styleId="NormalWeb">
    <w:name w:val="Normal (Web)"/>
    <w:basedOn w:val="Normal"/>
    <w:uiPriority w:val="99"/>
    <w:unhideWhenUsed/>
    <w:rsid w:val="00F11B0B"/>
    <w:pPr>
      <w:spacing w:before="100" w:beforeAutospacing="1" w:after="100" w:afterAutospacing="1" w:line="240" w:lineRule="auto"/>
    </w:pPr>
    <w:rPr>
      <w:rFonts w:ascii="Times New Roman" w:eastAsiaTheme="minorEastAsia" w:hAnsi="Times New Roman" w:cs="Times New Roman"/>
      <w:sz w:val="24"/>
      <w:szCs w:val="24"/>
      <w:lang w:eastAsia="en-GB"/>
    </w:rPr>
  </w:style>
  <w:style w:type="table" w:styleId="TableGrid">
    <w:name w:val="Table Grid"/>
    <w:basedOn w:val="TableNormal"/>
    <w:uiPriority w:val="59"/>
    <w:rsid w:val="00A87DA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231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23188C"/>
    <w:rPr>
      <w:rFonts w:ascii="Courier New" w:eastAsia="Times New Roman" w:hAnsi="Courier New" w:cs="Courier New"/>
      <w:sz w:val="20"/>
      <w:szCs w:val="20"/>
      <w:lang w:eastAsia="en-GB"/>
    </w:rPr>
  </w:style>
  <w:style w:type="character" w:styleId="PlaceholderText">
    <w:name w:val="Placeholder Text"/>
    <w:basedOn w:val="DefaultParagraphFont"/>
    <w:uiPriority w:val="99"/>
    <w:semiHidden/>
    <w:rsid w:val="00040770"/>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060F"/>
    <w:pPr>
      <w:ind w:left="720"/>
      <w:contextualSpacing/>
    </w:pPr>
  </w:style>
  <w:style w:type="paragraph" w:styleId="BalloonText">
    <w:name w:val="Balloon Text"/>
    <w:basedOn w:val="Normal"/>
    <w:link w:val="BalloonTextChar"/>
    <w:uiPriority w:val="99"/>
    <w:semiHidden/>
    <w:unhideWhenUsed/>
    <w:rsid w:val="00174E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4EF6"/>
    <w:rPr>
      <w:rFonts w:ascii="Tahoma" w:hAnsi="Tahoma" w:cs="Tahoma"/>
      <w:sz w:val="16"/>
      <w:szCs w:val="16"/>
    </w:rPr>
  </w:style>
  <w:style w:type="character" w:styleId="CommentReference">
    <w:name w:val="annotation reference"/>
    <w:basedOn w:val="DefaultParagraphFont"/>
    <w:uiPriority w:val="99"/>
    <w:semiHidden/>
    <w:unhideWhenUsed/>
    <w:rsid w:val="00A33D3E"/>
    <w:rPr>
      <w:sz w:val="16"/>
      <w:szCs w:val="16"/>
    </w:rPr>
  </w:style>
  <w:style w:type="paragraph" w:styleId="CommentText">
    <w:name w:val="annotation text"/>
    <w:basedOn w:val="Normal"/>
    <w:link w:val="CommentTextChar"/>
    <w:uiPriority w:val="99"/>
    <w:semiHidden/>
    <w:unhideWhenUsed/>
    <w:rsid w:val="00A33D3E"/>
    <w:pPr>
      <w:spacing w:line="240" w:lineRule="auto"/>
    </w:pPr>
    <w:rPr>
      <w:sz w:val="20"/>
      <w:szCs w:val="20"/>
    </w:rPr>
  </w:style>
  <w:style w:type="character" w:customStyle="1" w:styleId="CommentTextChar">
    <w:name w:val="Comment Text Char"/>
    <w:basedOn w:val="DefaultParagraphFont"/>
    <w:link w:val="CommentText"/>
    <w:uiPriority w:val="99"/>
    <w:semiHidden/>
    <w:rsid w:val="00A33D3E"/>
    <w:rPr>
      <w:sz w:val="20"/>
      <w:szCs w:val="20"/>
    </w:rPr>
  </w:style>
  <w:style w:type="paragraph" w:styleId="CommentSubject">
    <w:name w:val="annotation subject"/>
    <w:basedOn w:val="CommentText"/>
    <w:next w:val="CommentText"/>
    <w:link w:val="CommentSubjectChar"/>
    <w:uiPriority w:val="99"/>
    <w:semiHidden/>
    <w:unhideWhenUsed/>
    <w:rsid w:val="00A33D3E"/>
    <w:rPr>
      <w:b/>
      <w:bCs/>
    </w:rPr>
  </w:style>
  <w:style w:type="character" w:customStyle="1" w:styleId="CommentSubjectChar">
    <w:name w:val="Comment Subject Char"/>
    <w:basedOn w:val="CommentTextChar"/>
    <w:link w:val="CommentSubject"/>
    <w:uiPriority w:val="99"/>
    <w:semiHidden/>
    <w:rsid w:val="00A33D3E"/>
    <w:rPr>
      <w:b/>
      <w:bCs/>
      <w:sz w:val="20"/>
      <w:szCs w:val="20"/>
    </w:rPr>
  </w:style>
  <w:style w:type="paragraph" w:styleId="NormalWeb">
    <w:name w:val="Normal (Web)"/>
    <w:basedOn w:val="Normal"/>
    <w:uiPriority w:val="99"/>
    <w:unhideWhenUsed/>
    <w:rsid w:val="00F11B0B"/>
    <w:pPr>
      <w:spacing w:before="100" w:beforeAutospacing="1" w:after="100" w:afterAutospacing="1" w:line="240" w:lineRule="auto"/>
    </w:pPr>
    <w:rPr>
      <w:rFonts w:ascii="Times New Roman" w:eastAsiaTheme="minorEastAsia" w:hAnsi="Times New Roman" w:cs="Times New Roman"/>
      <w:sz w:val="24"/>
      <w:szCs w:val="24"/>
      <w:lang w:eastAsia="en-GB"/>
    </w:rPr>
  </w:style>
  <w:style w:type="table" w:styleId="TableGrid">
    <w:name w:val="Table Grid"/>
    <w:basedOn w:val="TableNormal"/>
    <w:uiPriority w:val="59"/>
    <w:rsid w:val="00A87DA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231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23188C"/>
    <w:rPr>
      <w:rFonts w:ascii="Courier New" w:eastAsia="Times New Roman" w:hAnsi="Courier New" w:cs="Courier New"/>
      <w:sz w:val="20"/>
      <w:szCs w:val="20"/>
      <w:lang w:eastAsia="en-GB"/>
    </w:rPr>
  </w:style>
  <w:style w:type="character" w:styleId="PlaceholderText">
    <w:name w:val="Placeholder Text"/>
    <w:basedOn w:val="DefaultParagraphFont"/>
    <w:uiPriority w:val="99"/>
    <w:semiHidden/>
    <w:rsid w:val="0004077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743512">
      <w:bodyDiv w:val="1"/>
      <w:marLeft w:val="0"/>
      <w:marRight w:val="0"/>
      <w:marTop w:val="0"/>
      <w:marBottom w:val="0"/>
      <w:divBdr>
        <w:top w:val="none" w:sz="0" w:space="0" w:color="auto"/>
        <w:left w:val="none" w:sz="0" w:space="0" w:color="auto"/>
        <w:bottom w:val="none" w:sz="0" w:space="0" w:color="auto"/>
        <w:right w:val="none" w:sz="0" w:space="0" w:color="auto"/>
      </w:divBdr>
      <w:divsChild>
        <w:div w:id="1041898004">
          <w:marLeft w:val="0"/>
          <w:marRight w:val="0"/>
          <w:marTop w:val="0"/>
          <w:marBottom w:val="0"/>
          <w:divBdr>
            <w:top w:val="none" w:sz="0" w:space="0" w:color="auto"/>
            <w:left w:val="none" w:sz="0" w:space="0" w:color="auto"/>
            <w:bottom w:val="none" w:sz="0" w:space="0" w:color="auto"/>
            <w:right w:val="none" w:sz="0" w:space="0" w:color="auto"/>
          </w:divBdr>
          <w:divsChild>
            <w:div w:id="1124805885">
              <w:marLeft w:val="0"/>
              <w:marRight w:val="0"/>
              <w:marTop w:val="0"/>
              <w:marBottom w:val="0"/>
              <w:divBdr>
                <w:top w:val="none" w:sz="0" w:space="0" w:color="auto"/>
                <w:left w:val="none" w:sz="0" w:space="0" w:color="auto"/>
                <w:bottom w:val="none" w:sz="0" w:space="0" w:color="auto"/>
                <w:right w:val="none" w:sz="0" w:space="0" w:color="auto"/>
              </w:divBdr>
              <w:divsChild>
                <w:div w:id="1754473905">
                  <w:marLeft w:val="0"/>
                  <w:marRight w:val="0"/>
                  <w:marTop w:val="0"/>
                  <w:marBottom w:val="0"/>
                  <w:divBdr>
                    <w:top w:val="none" w:sz="0" w:space="0" w:color="auto"/>
                    <w:left w:val="none" w:sz="0" w:space="0" w:color="auto"/>
                    <w:bottom w:val="none" w:sz="0" w:space="0" w:color="auto"/>
                    <w:right w:val="none" w:sz="0" w:space="0" w:color="auto"/>
                  </w:divBdr>
                  <w:divsChild>
                    <w:div w:id="2048873457">
                      <w:marLeft w:val="0"/>
                      <w:marRight w:val="0"/>
                      <w:marTop w:val="0"/>
                      <w:marBottom w:val="0"/>
                      <w:divBdr>
                        <w:top w:val="none" w:sz="0" w:space="0" w:color="auto"/>
                        <w:left w:val="none" w:sz="0" w:space="0" w:color="auto"/>
                        <w:bottom w:val="none" w:sz="0" w:space="0" w:color="auto"/>
                        <w:right w:val="none" w:sz="0" w:space="0" w:color="auto"/>
                      </w:divBdr>
                      <w:divsChild>
                        <w:div w:id="649676098">
                          <w:marLeft w:val="0"/>
                          <w:marRight w:val="0"/>
                          <w:marTop w:val="0"/>
                          <w:marBottom w:val="0"/>
                          <w:divBdr>
                            <w:top w:val="none" w:sz="0" w:space="0" w:color="auto"/>
                            <w:left w:val="none" w:sz="0" w:space="0" w:color="auto"/>
                            <w:bottom w:val="none" w:sz="0" w:space="0" w:color="auto"/>
                            <w:right w:val="none" w:sz="0" w:space="0" w:color="auto"/>
                          </w:divBdr>
                          <w:divsChild>
                            <w:div w:id="330763404">
                              <w:marLeft w:val="0"/>
                              <w:marRight w:val="0"/>
                              <w:marTop w:val="0"/>
                              <w:marBottom w:val="0"/>
                              <w:divBdr>
                                <w:top w:val="none" w:sz="0" w:space="0" w:color="auto"/>
                                <w:left w:val="none" w:sz="0" w:space="0" w:color="auto"/>
                                <w:bottom w:val="none" w:sz="0" w:space="0" w:color="auto"/>
                                <w:right w:val="none" w:sz="0" w:space="0" w:color="auto"/>
                              </w:divBdr>
                              <w:divsChild>
                                <w:div w:id="1299259310">
                                  <w:marLeft w:val="0"/>
                                  <w:marRight w:val="0"/>
                                  <w:marTop w:val="0"/>
                                  <w:marBottom w:val="0"/>
                                  <w:divBdr>
                                    <w:top w:val="none" w:sz="0" w:space="0" w:color="auto"/>
                                    <w:left w:val="none" w:sz="0" w:space="0" w:color="auto"/>
                                    <w:bottom w:val="none" w:sz="0" w:space="0" w:color="auto"/>
                                    <w:right w:val="none" w:sz="0" w:space="0" w:color="auto"/>
                                  </w:divBdr>
                                  <w:divsChild>
                                    <w:div w:id="220794559">
                                      <w:marLeft w:val="0"/>
                                      <w:marRight w:val="0"/>
                                      <w:marTop w:val="0"/>
                                      <w:marBottom w:val="0"/>
                                      <w:divBdr>
                                        <w:top w:val="none" w:sz="0" w:space="0" w:color="auto"/>
                                        <w:left w:val="none" w:sz="0" w:space="0" w:color="auto"/>
                                        <w:bottom w:val="none" w:sz="0" w:space="0" w:color="auto"/>
                                        <w:right w:val="none" w:sz="0" w:space="0" w:color="auto"/>
                                      </w:divBdr>
                                      <w:divsChild>
                                        <w:div w:id="601960183">
                                          <w:marLeft w:val="0"/>
                                          <w:marRight w:val="0"/>
                                          <w:marTop w:val="0"/>
                                          <w:marBottom w:val="0"/>
                                          <w:divBdr>
                                            <w:top w:val="none" w:sz="0" w:space="0" w:color="auto"/>
                                            <w:left w:val="none" w:sz="0" w:space="0" w:color="auto"/>
                                            <w:bottom w:val="none" w:sz="0" w:space="0" w:color="auto"/>
                                            <w:right w:val="none" w:sz="0" w:space="0" w:color="auto"/>
                                          </w:divBdr>
                                          <w:divsChild>
                                            <w:div w:id="1727096923">
                                              <w:marLeft w:val="0"/>
                                              <w:marRight w:val="0"/>
                                              <w:marTop w:val="0"/>
                                              <w:marBottom w:val="0"/>
                                              <w:divBdr>
                                                <w:top w:val="none" w:sz="0" w:space="0" w:color="auto"/>
                                                <w:left w:val="none" w:sz="0" w:space="0" w:color="auto"/>
                                                <w:bottom w:val="none" w:sz="0" w:space="0" w:color="auto"/>
                                                <w:right w:val="none" w:sz="0" w:space="0" w:color="auto"/>
                                              </w:divBdr>
                                              <w:divsChild>
                                                <w:div w:id="1363550193">
                                                  <w:marLeft w:val="0"/>
                                                  <w:marRight w:val="0"/>
                                                  <w:marTop w:val="0"/>
                                                  <w:marBottom w:val="0"/>
                                                  <w:divBdr>
                                                    <w:top w:val="none" w:sz="0" w:space="0" w:color="auto"/>
                                                    <w:left w:val="none" w:sz="0" w:space="0" w:color="auto"/>
                                                    <w:bottom w:val="none" w:sz="0" w:space="0" w:color="auto"/>
                                                    <w:right w:val="none" w:sz="0" w:space="0" w:color="auto"/>
                                                  </w:divBdr>
                                                  <w:divsChild>
                                                    <w:div w:id="1662587958">
                                                      <w:marLeft w:val="0"/>
                                                      <w:marRight w:val="0"/>
                                                      <w:marTop w:val="0"/>
                                                      <w:marBottom w:val="0"/>
                                                      <w:divBdr>
                                                        <w:top w:val="none" w:sz="0" w:space="0" w:color="auto"/>
                                                        <w:left w:val="none" w:sz="0" w:space="0" w:color="auto"/>
                                                        <w:bottom w:val="none" w:sz="0" w:space="0" w:color="auto"/>
                                                        <w:right w:val="none" w:sz="0" w:space="0" w:color="auto"/>
                                                      </w:divBdr>
                                                      <w:divsChild>
                                                        <w:div w:id="655567844">
                                                          <w:marLeft w:val="0"/>
                                                          <w:marRight w:val="0"/>
                                                          <w:marTop w:val="0"/>
                                                          <w:marBottom w:val="0"/>
                                                          <w:divBdr>
                                                            <w:top w:val="none" w:sz="0" w:space="0" w:color="auto"/>
                                                            <w:left w:val="none" w:sz="0" w:space="0" w:color="auto"/>
                                                            <w:bottom w:val="none" w:sz="0" w:space="0" w:color="auto"/>
                                                            <w:right w:val="none" w:sz="0" w:space="0" w:color="auto"/>
                                                          </w:divBdr>
                                                          <w:divsChild>
                                                            <w:div w:id="123356551">
                                                              <w:marLeft w:val="0"/>
                                                              <w:marRight w:val="0"/>
                                                              <w:marTop w:val="0"/>
                                                              <w:marBottom w:val="0"/>
                                                              <w:divBdr>
                                                                <w:top w:val="none" w:sz="0" w:space="0" w:color="auto"/>
                                                                <w:left w:val="none" w:sz="0" w:space="0" w:color="auto"/>
                                                                <w:bottom w:val="none" w:sz="0" w:space="0" w:color="auto"/>
                                                                <w:right w:val="none" w:sz="0" w:space="0" w:color="auto"/>
                                                              </w:divBdr>
                                                              <w:divsChild>
                                                                <w:div w:id="848060395">
                                                                  <w:marLeft w:val="0"/>
                                                                  <w:marRight w:val="0"/>
                                                                  <w:marTop w:val="0"/>
                                                                  <w:marBottom w:val="0"/>
                                                                  <w:divBdr>
                                                                    <w:top w:val="none" w:sz="0" w:space="0" w:color="auto"/>
                                                                    <w:left w:val="none" w:sz="0" w:space="0" w:color="auto"/>
                                                                    <w:bottom w:val="none" w:sz="0" w:space="0" w:color="auto"/>
                                                                    <w:right w:val="none" w:sz="0" w:space="0" w:color="auto"/>
                                                                  </w:divBdr>
                                                                </w:div>
                                                                <w:div w:id="1195115031">
                                                                  <w:marLeft w:val="0"/>
                                                                  <w:marRight w:val="0"/>
                                                                  <w:marTop w:val="0"/>
                                                                  <w:marBottom w:val="0"/>
                                                                  <w:divBdr>
                                                                    <w:top w:val="none" w:sz="0" w:space="0" w:color="auto"/>
                                                                    <w:left w:val="none" w:sz="0" w:space="0" w:color="auto"/>
                                                                    <w:bottom w:val="none" w:sz="0" w:space="0" w:color="auto"/>
                                                                    <w:right w:val="none" w:sz="0" w:space="0" w:color="auto"/>
                                                                  </w:divBdr>
                                                                  <w:divsChild>
                                                                    <w:div w:id="1161965948">
                                                                      <w:marLeft w:val="0"/>
                                                                      <w:marRight w:val="0"/>
                                                                      <w:marTop w:val="0"/>
                                                                      <w:marBottom w:val="0"/>
                                                                      <w:divBdr>
                                                                        <w:top w:val="none" w:sz="0" w:space="0" w:color="auto"/>
                                                                        <w:left w:val="none" w:sz="0" w:space="0" w:color="auto"/>
                                                                        <w:bottom w:val="none" w:sz="0" w:space="0" w:color="auto"/>
                                                                        <w:right w:val="none" w:sz="0" w:space="0" w:color="auto"/>
                                                                      </w:divBdr>
                                                                      <w:divsChild>
                                                                        <w:div w:id="71396908">
                                                                          <w:marLeft w:val="0"/>
                                                                          <w:marRight w:val="0"/>
                                                                          <w:marTop w:val="0"/>
                                                                          <w:marBottom w:val="0"/>
                                                                          <w:divBdr>
                                                                            <w:top w:val="none" w:sz="0" w:space="0" w:color="auto"/>
                                                                            <w:left w:val="none" w:sz="0" w:space="0" w:color="auto"/>
                                                                            <w:bottom w:val="none" w:sz="0" w:space="0" w:color="auto"/>
                                                                            <w:right w:val="none" w:sz="0" w:space="0" w:color="auto"/>
                                                                          </w:divBdr>
                                                                          <w:divsChild>
                                                                            <w:div w:id="2083217211">
                                                                              <w:marLeft w:val="0"/>
                                                                              <w:marRight w:val="0"/>
                                                                              <w:marTop w:val="0"/>
                                                                              <w:marBottom w:val="0"/>
                                                                              <w:divBdr>
                                                                                <w:top w:val="none" w:sz="0" w:space="0" w:color="auto"/>
                                                                                <w:left w:val="none" w:sz="0" w:space="0" w:color="auto"/>
                                                                                <w:bottom w:val="none" w:sz="0" w:space="0" w:color="auto"/>
                                                                                <w:right w:val="none" w:sz="0" w:space="0" w:color="auto"/>
                                                                              </w:divBdr>
                                                                              <w:divsChild>
                                                                                <w:div w:id="1636329436">
                                                                                  <w:marLeft w:val="0"/>
                                                                                  <w:marRight w:val="0"/>
                                                                                  <w:marTop w:val="0"/>
                                                                                  <w:marBottom w:val="0"/>
                                                                                  <w:divBdr>
                                                                                    <w:top w:val="none" w:sz="0" w:space="0" w:color="auto"/>
                                                                                    <w:left w:val="none" w:sz="0" w:space="0" w:color="auto"/>
                                                                                    <w:bottom w:val="none" w:sz="0" w:space="0" w:color="auto"/>
                                                                                    <w:right w:val="none" w:sz="0" w:space="0" w:color="auto"/>
                                                                                  </w:divBdr>
                                                                                  <w:divsChild>
                                                                                    <w:div w:id="452748896">
                                                                                      <w:marLeft w:val="0"/>
                                                                                      <w:marRight w:val="0"/>
                                                                                      <w:marTop w:val="0"/>
                                                                                      <w:marBottom w:val="0"/>
                                                                                      <w:divBdr>
                                                                                        <w:top w:val="none" w:sz="0" w:space="0" w:color="auto"/>
                                                                                        <w:left w:val="none" w:sz="0" w:space="0" w:color="auto"/>
                                                                                        <w:bottom w:val="none" w:sz="0" w:space="0" w:color="auto"/>
                                                                                        <w:right w:val="none" w:sz="0" w:space="0" w:color="auto"/>
                                                                                      </w:divBdr>
                                                                                      <w:divsChild>
                                                                                        <w:div w:id="724988384">
                                                                                          <w:marLeft w:val="0"/>
                                                                                          <w:marRight w:val="0"/>
                                                                                          <w:marTop w:val="0"/>
                                                                                          <w:marBottom w:val="0"/>
                                                                                          <w:divBdr>
                                                                                            <w:top w:val="none" w:sz="0" w:space="0" w:color="auto"/>
                                                                                            <w:left w:val="none" w:sz="0" w:space="0" w:color="auto"/>
                                                                                            <w:bottom w:val="none" w:sz="0" w:space="0" w:color="auto"/>
                                                                                            <w:right w:val="none" w:sz="0" w:space="0" w:color="auto"/>
                                                                                          </w:divBdr>
                                                                                          <w:divsChild>
                                                                                            <w:div w:id="531842120">
                                                                                              <w:marLeft w:val="0"/>
                                                                                              <w:marRight w:val="0"/>
                                                                                              <w:marTop w:val="0"/>
                                                                                              <w:marBottom w:val="0"/>
                                                                                              <w:divBdr>
                                                                                                <w:top w:val="none" w:sz="0" w:space="0" w:color="auto"/>
                                                                                                <w:left w:val="none" w:sz="0" w:space="0" w:color="auto"/>
                                                                                                <w:bottom w:val="none" w:sz="0" w:space="0" w:color="auto"/>
                                                                                                <w:right w:val="none" w:sz="0" w:space="0" w:color="auto"/>
                                                                                              </w:divBdr>
                                                                                              <w:divsChild>
                                                                                                <w:div w:id="304436339">
                                                                                                  <w:marLeft w:val="0"/>
                                                                                                  <w:marRight w:val="0"/>
                                                                                                  <w:marTop w:val="0"/>
                                                                                                  <w:marBottom w:val="0"/>
                                                                                                  <w:divBdr>
                                                                                                    <w:top w:val="none" w:sz="0" w:space="0" w:color="auto"/>
                                                                                                    <w:left w:val="none" w:sz="0" w:space="0" w:color="auto"/>
                                                                                                    <w:bottom w:val="none" w:sz="0" w:space="0" w:color="auto"/>
                                                                                                    <w:right w:val="none" w:sz="0" w:space="0" w:color="auto"/>
                                                                                                  </w:divBdr>
                                                                                                  <w:divsChild>
                                                                                                    <w:div w:id="1331367614">
                                                                                                      <w:marLeft w:val="0"/>
                                                                                                      <w:marRight w:val="0"/>
                                                                                                      <w:marTop w:val="0"/>
                                                                                                      <w:marBottom w:val="0"/>
                                                                                                      <w:divBdr>
                                                                                                        <w:top w:val="none" w:sz="0" w:space="0" w:color="auto"/>
                                                                                                        <w:left w:val="none" w:sz="0" w:space="0" w:color="auto"/>
                                                                                                        <w:bottom w:val="none" w:sz="0" w:space="0" w:color="auto"/>
                                                                                                        <w:right w:val="none" w:sz="0" w:space="0" w:color="auto"/>
                                                                                                      </w:divBdr>
                                                                                                      <w:divsChild>
                                                                                                        <w:div w:id="1978607586">
                                                                                                          <w:marLeft w:val="0"/>
                                                                                                          <w:marRight w:val="0"/>
                                                                                                          <w:marTop w:val="0"/>
                                                                                                          <w:marBottom w:val="0"/>
                                                                                                          <w:divBdr>
                                                                                                            <w:top w:val="none" w:sz="0" w:space="0" w:color="auto"/>
                                                                                                            <w:left w:val="none" w:sz="0" w:space="0" w:color="auto"/>
                                                                                                            <w:bottom w:val="none" w:sz="0" w:space="0" w:color="auto"/>
                                                                                                            <w:right w:val="none" w:sz="0" w:space="0" w:color="auto"/>
                                                                                                          </w:divBdr>
                                                                                                          <w:divsChild>
                                                                                                            <w:div w:id="177619365">
                                                                                                              <w:marLeft w:val="0"/>
                                                                                                              <w:marRight w:val="0"/>
                                                                                                              <w:marTop w:val="0"/>
                                                                                                              <w:marBottom w:val="0"/>
                                                                                                              <w:divBdr>
                                                                                                                <w:top w:val="none" w:sz="0" w:space="0" w:color="auto"/>
                                                                                                                <w:left w:val="none" w:sz="0" w:space="0" w:color="auto"/>
                                                                                                                <w:bottom w:val="none" w:sz="0" w:space="0" w:color="auto"/>
                                                                                                                <w:right w:val="none" w:sz="0" w:space="0" w:color="auto"/>
                                                                                                              </w:divBdr>
                                                                                                              <w:divsChild>
                                                                                                                <w:div w:id="1648314864">
                                                                                                                  <w:marLeft w:val="0"/>
                                                                                                                  <w:marRight w:val="0"/>
                                                                                                                  <w:marTop w:val="0"/>
                                                                                                                  <w:marBottom w:val="0"/>
                                                                                                                  <w:divBdr>
                                                                                                                    <w:top w:val="none" w:sz="0" w:space="0" w:color="auto"/>
                                                                                                                    <w:left w:val="none" w:sz="0" w:space="0" w:color="auto"/>
                                                                                                                    <w:bottom w:val="none" w:sz="0" w:space="0" w:color="auto"/>
                                                                                                                    <w:right w:val="none" w:sz="0" w:space="0" w:color="auto"/>
                                                                                                                  </w:divBdr>
                                                                                                                  <w:divsChild>
                                                                                                                    <w:div w:id="175120430">
                                                                                                                      <w:marLeft w:val="0"/>
                                                                                                                      <w:marRight w:val="0"/>
                                                                                                                      <w:marTop w:val="0"/>
                                                                                                                      <w:marBottom w:val="0"/>
                                                                                                                      <w:divBdr>
                                                                                                                        <w:top w:val="none" w:sz="0" w:space="0" w:color="auto"/>
                                                                                                                        <w:left w:val="none" w:sz="0" w:space="0" w:color="auto"/>
                                                                                                                        <w:bottom w:val="none" w:sz="0" w:space="0" w:color="auto"/>
                                                                                                                        <w:right w:val="none" w:sz="0" w:space="0" w:color="auto"/>
                                                                                                                      </w:divBdr>
                                                                                                                      <w:divsChild>
                                                                                                                        <w:div w:id="2054110524">
                                                                                                                          <w:marLeft w:val="0"/>
                                                                                                                          <w:marRight w:val="0"/>
                                                                                                                          <w:marTop w:val="0"/>
                                                                                                                          <w:marBottom w:val="0"/>
                                                                                                                          <w:divBdr>
                                                                                                                            <w:top w:val="none" w:sz="0" w:space="0" w:color="auto"/>
                                                                                                                            <w:left w:val="none" w:sz="0" w:space="0" w:color="auto"/>
                                                                                                                            <w:bottom w:val="none" w:sz="0" w:space="0" w:color="auto"/>
                                                                                                                            <w:right w:val="none" w:sz="0" w:space="0" w:color="auto"/>
                                                                                                                          </w:divBdr>
                                                                                                                          <w:divsChild>
                                                                                                                            <w:div w:id="1271741624">
                                                                                                                              <w:marLeft w:val="0"/>
                                                                                                                              <w:marRight w:val="0"/>
                                                                                                                              <w:marTop w:val="0"/>
                                                                                                                              <w:marBottom w:val="0"/>
                                                                                                                              <w:divBdr>
                                                                                                                                <w:top w:val="none" w:sz="0" w:space="0" w:color="auto"/>
                                                                                                                                <w:left w:val="none" w:sz="0" w:space="0" w:color="auto"/>
                                                                                                                                <w:bottom w:val="none" w:sz="0" w:space="0" w:color="auto"/>
                                                                                                                                <w:right w:val="none" w:sz="0" w:space="0" w:color="auto"/>
                                                                                                                              </w:divBdr>
                                                                                                                              <w:divsChild>
                                                                                                                                <w:div w:id="886649703">
                                                                                                                                  <w:marLeft w:val="0"/>
                                                                                                                                  <w:marRight w:val="0"/>
                                                                                                                                  <w:marTop w:val="0"/>
                                                                                                                                  <w:marBottom w:val="0"/>
                                                                                                                                  <w:divBdr>
                                                                                                                                    <w:top w:val="none" w:sz="0" w:space="0" w:color="auto"/>
                                                                                                                                    <w:left w:val="none" w:sz="0" w:space="0" w:color="auto"/>
                                                                                                                                    <w:bottom w:val="none" w:sz="0" w:space="0" w:color="auto"/>
                                                                                                                                    <w:right w:val="none" w:sz="0" w:space="0" w:color="auto"/>
                                                                                                                                  </w:divBdr>
                                                                                                                                  <w:divsChild>
                                                                                                                                    <w:div w:id="1705865147">
                                                                                                                                      <w:marLeft w:val="0"/>
                                                                                                                                      <w:marRight w:val="0"/>
                                                                                                                                      <w:marTop w:val="0"/>
                                                                                                                                      <w:marBottom w:val="0"/>
                                                                                                                                      <w:divBdr>
                                                                                                                                        <w:top w:val="none" w:sz="0" w:space="0" w:color="auto"/>
                                                                                                                                        <w:left w:val="none" w:sz="0" w:space="0" w:color="auto"/>
                                                                                                                                        <w:bottom w:val="none" w:sz="0" w:space="0" w:color="auto"/>
                                                                                                                                        <w:right w:val="none" w:sz="0" w:space="0" w:color="auto"/>
                                                                                                                                      </w:divBdr>
                                                                                                                                      <w:divsChild>
                                                                                                                                        <w:div w:id="721371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11840931">
      <w:bodyDiv w:val="1"/>
      <w:marLeft w:val="0"/>
      <w:marRight w:val="0"/>
      <w:marTop w:val="0"/>
      <w:marBottom w:val="0"/>
      <w:divBdr>
        <w:top w:val="none" w:sz="0" w:space="0" w:color="auto"/>
        <w:left w:val="none" w:sz="0" w:space="0" w:color="auto"/>
        <w:bottom w:val="none" w:sz="0" w:space="0" w:color="auto"/>
        <w:right w:val="none" w:sz="0" w:space="0" w:color="auto"/>
      </w:divBdr>
    </w:div>
    <w:div w:id="552544721">
      <w:bodyDiv w:val="1"/>
      <w:marLeft w:val="0"/>
      <w:marRight w:val="0"/>
      <w:marTop w:val="0"/>
      <w:marBottom w:val="0"/>
      <w:divBdr>
        <w:top w:val="none" w:sz="0" w:space="0" w:color="auto"/>
        <w:left w:val="none" w:sz="0" w:space="0" w:color="auto"/>
        <w:bottom w:val="none" w:sz="0" w:space="0" w:color="auto"/>
        <w:right w:val="none" w:sz="0" w:space="0" w:color="auto"/>
      </w:divBdr>
    </w:div>
    <w:div w:id="746616595">
      <w:bodyDiv w:val="1"/>
      <w:marLeft w:val="0"/>
      <w:marRight w:val="0"/>
      <w:marTop w:val="0"/>
      <w:marBottom w:val="0"/>
      <w:divBdr>
        <w:top w:val="none" w:sz="0" w:space="0" w:color="auto"/>
        <w:left w:val="none" w:sz="0" w:space="0" w:color="auto"/>
        <w:bottom w:val="none" w:sz="0" w:space="0" w:color="auto"/>
        <w:right w:val="none" w:sz="0" w:space="0" w:color="auto"/>
      </w:divBdr>
    </w:div>
    <w:div w:id="1500189705">
      <w:bodyDiv w:val="1"/>
      <w:marLeft w:val="0"/>
      <w:marRight w:val="0"/>
      <w:marTop w:val="0"/>
      <w:marBottom w:val="0"/>
      <w:divBdr>
        <w:top w:val="none" w:sz="0" w:space="0" w:color="auto"/>
        <w:left w:val="none" w:sz="0" w:space="0" w:color="auto"/>
        <w:bottom w:val="none" w:sz="0" w:space="0" w:color="auto"/>
        <w:right w:val="none" w:sz="0" w:space="0" w:color="auto"/>
      </w:divBdr>
    </w:div>
    <w:div w:id="1627005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0"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2DA3D5-5ADA-4ECC-80BC-E9B6C0C5B6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207</TotalTime>
  <Pages>1</Pages>
  <Words>35607</Words>
  <Characters>202966</Characters>
  <Application>Microsoft Office Word</Application>
  <DocSecurity>0</DocSecurity>
  <Lines>1691</Lines>
  <Paragraphs>476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238097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Phil Martin</dc:creator>
  <cp:lastModifiedBy>Phil Martin</cp:lastModifiedBy>
  <cp:revision>10</cp:revision>
  <dcterms:created xsi:type="dcterms:W3CDTF">2016-02-01T16:02:00Z</dcterms:created>
  <dcterms:modified xsi:type="dcterms:W3CDTF">2016-02-01T19:30:00Z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philip.martin.1981@gmail.com@www.mendeley.com</vt:lpwstr>
  </property>
  <property fmtid="{D5CDD505-2E9C-101B-9397-08002B2CF9AE}" pid="4" name="Mendeley Citation Style_1">
    <vt:lpwstr>http://csl.mendeley.com/styles/4604571/british-ecological-society</vt:lpwstr>
  </property>
  <property fmtid="{D5CDD505-2E9C-101B-9397-08002B2CF9AE}" pid="5" name="Mendeley Recent Style Id 0_1">
    <vt:lpwstr>http://www.zotero.org/styles/american-sociological-association</vt:lpwstr>
  </property>
  <property fmtid="{D5CDD505-2E9C-101B-9397-08002B2CF9AE}" pid="6" name="Mendeley Recent Style Name 0_1">
    <vt:lpwstr>American Sociological Association</vt:lpwstr>
  </property>
  <property fmtid="{D5CDD505-2E9C-101B-9397-08002B2CF9AE}" pid="7" name="Mendeley Recent Style Id 1_1">
    <vt:lpwstr>http://csl.mendeley.com/styles/4604571/british-ecological-society</vt:lpwstr>
  </property>
  <property fmtid="{D5CDD505-2E9C-101B-9397-08002B2CF9AE}" pid="8" name="Mendeley Recent Style Name 1_1">
    <vt:lpwstr>British Ecological Society - Philip Martin</vt:lpwstr>
  </property>
  <property fmtid="{D5CDD505-2E9C-101B-9397-08002B2CF9AE}" pid="9" name="Mendeley Recent Style Id 2_1">
    <vt:lpwstr>http://www.zotero.org/styles/chicago-author-date</vt:lpwstr>
  </property>
  <property fmtid="{D5CDD505-2E9C-101B-9397-08002B2CF9AE}" pid="10" name="Mendeley Recent Style Name 2_1">
    <vt:lpwstr>Chicago Manual of Style 16th edition (author-date)</vt:lpwstr>
  </property>
  <property fmtid="{D5CDD505-2E9C-101B-9397-08002B2CF9AE}" pid="11" name="Mendeley Recent Style Id 3_1">
    <vt:lpwstr>http://csl.mendeley.com/styles/4604571/elsevier-harvard</vt:lpwstr>
  </property>
  <property fmtid="{D5CDD505-2E9C-101B-9397-08002B2CF9AE}" pid="12" name="Mendeley Recent Style Name 3_1">
    <vt:lpwstr>Elsevier Harvard (with titles) - Philip Martin</vt:lpwstr>
  </property>
  <property fmtid="{D5CDD505-2E9C-101B-9397-08002B2CF9AE}" pid="13" name="Mendeley Recent Style Id 4_1">
    <vt:lpwstr>http://www.zotero.org/styles/forest-ecology-and-management</vt:lpwstr>
  </property>
  <property fmtid="{D5CDD505-2E9C-101B-9397-08002B2CF9AE}" pid="14" name="Mendeley Recent Style Name 4_1">
    <vt:lpwstr>Forest Ecology and Management</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