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78" w:rsidRPr="00E43D78" w:rsidRDefault="00FE512B" w:rsidP="005D53AF">
      <w:pPr>
        <w:contextualSpacing/>
        <w:rPr>
          <w:rFonts w:cs="Arial"/>
          <w:szCs w:val="22"/>
        </w:rPr>
      </w:pPr>
      <w:r w:rsidRPr="00BC050C">
        <w:rPr>
          <w:rFonts w:cs="Arial"/>
          <w:b/>
          <w:szCs w:val="22"/>
        </w:rPr>
        <w:t>Supplementary materials</w:t>
      </w:r>
      <w:r w:rsidR="000C272F">
        <w:rPr>
          <w:rFonts w:cs="Arial"/>
          <w:b/>
          <w:szCs w:val="22"/>
        </w:rPr>
        <w:t xml:space="preserve"> </w:t>
      </w:r>
    </w:p>
    <w:p w:rsidR="00FE512B" w:rsidRPr="001A15E3" w:rsidRDefault="00052639" w:rsidP="005D53AF">
      <w:r>
        <w:t>Table S1</w:t>
      </w:r>
      <w:r w:rsidR="00FE512B" w:rsidRPr="001A15E3">
        <w:t xml:space="preserve"> - Generalised linear mixed models </w:t>
      </w:r>
      <w:r w:rsidR="005D53AF">
        <w:t>used to estimate the relationships between aboveground biomass and the Y variables</w:t>
      </w:r>
      <w:r w:rsidR="00FE512B" w:rsidRPr="001A15E3">
        <w:t xml:space="preserve"> and associated measures of parsimony (</w:t>
      </w:r>
      <w:proofErr w:type="spellStart"/>
      <w:r w:rsidR="00FE512B" w:rsidRPr="001A15E3">
        <w:t>AICc</w:t>
      </w:r>
      <w:proofErr w:type="spellEnd"/>
      <w:r w:rsidR="00FE512B" w:rsidRPr="001A15E3">
        <w:t>), support (</w:t>
      </w:r>
      <w:proofErr w:type="spellStart"/>
      <w:r w:rsidR="00FE512B" w:rsidRPr="001A15E3">
        <w:t>ΔAICc</w:t>
      </w:r>
      <w:proofErr w:type="spellEnd"/>
      <w:r w:rsidR="00FE512B" w:rsidRPr="001A15E3">
        <w:t xml:space="preserve">, </w:t>
      </w:r>
      <w:proofErr w:type="spellStart"/>
      <w:r w:rsidR="00FE512B" w:rsidRPr="001A15E3">
        <w:t>AICc</w:t>
      </w:r>
      <w:proofErr w:type="spellEnd"/>
      <w:r w:rsidR="00FE512B" w:rsidRPr="001A15E3">
        <w:t xml:space="preserve"> weight) and goodness of fit (Marginal R</w:t>
      </w:r>
      <w:r w:rsidR="00FE512B" w:rsidRPr="001A15E3">
        <w:rPr>
          <w:vertAlign w:val="superscript"/>
        </w:rPr>
        <w:t>2</w:t>
      </w:r>
      <w:r w:rsidR="00FE512B" w:rsidRPr="001A15E3">
        <w:t>)</w:t>
      </w:r>
      <w:r w:rsidR="00B067E8">
        <w:t>.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418"/>
        <w:gridCol w:w="1182"/>
        <w:gridCol w:w="1268"/>
        <w:gridCol w:w="1302"/>
        <w:gridCol w:w="1524"/>
        <w:gridCol w:w="1302"/>
      </w:tblGrid>
      <w:tr w:rsidR="0077309C" w:rsidRPr="001A15E3" w:rsidTr="0077309C">
        <w:trPr>
          <w:trHeight w:val="288"/>
        </w:trPr>
        <w:tc>
          <w:tcPr>
            <w:tcW w:w="1809" w:type="dxa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color w:val="000000"/>
                <w:sz w:val="20"/>
                <w:szCs w:val="20"/>
                <w:lang w:eastAsia="en-GB" w:bidi="ar-SA"/>
              </w:rPr>
            </w:pPr>
            <w:r w:rsidRPr="0077309C">
              <w:rPr>
                <w:rFonts w:cs="Arial"/>
                <w:color w:val="000000"/>
                <w:sz w:val="20"/>
                <w:szCs w:val="20"/>
                <w:lang w:eastAsia="en-GB" w:bidi="ar-SA"/>
              </w:rPr>
              <w:t>Y Variable</w:t>
            </w:r>
          </w:p>
        </w:tc>
        <w:tc>
          <w:tcPr>
            <w:tcW w:w="1418" w:type="dxa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  <w:lang w:eastAsia="en-GB" w:bidi="ar-SA"/>
              </w:rPr>
              <w:t>Model structure</w:t>
            </w:r>
          </w:p>
        </w:tc>
        <w:tc>
          <w:tcPr>
            <w:tcW w:w="1182" w:type="dxa"/>
            <w:noWrap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Log likelihood</w:t>
            </w:r>
          </w:p>
        </w:tc>
        <w:tc>
          <w:tcPr>
            <w:tcW w:w="1268" w:type="dxa"/>
            <w:noWrap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77309C">
              <w:rPr>
                <w:rFonts w:cs="Arial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302" w:type="dxa"/>
            <w:noWrap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77309C">
              <w:rPr>
                <w:rFonts w:cs="Arial"/>
                <w:sz w:val="20"/>
                <w:szCs w:val="20"/>
              </w:rPr>
              <w:t>ΔAICc</w:t>
            </w:r>
            <w:proofErr w:type="spellEnd"/>
          </w:p>
        </w:tc>
        <w:tc>
          <w:tcPr>
            <w:tcW w:w="1524" w:type="dxa"/>
            <w:noWrap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77309C">
              <w:rPr>
                <w:rFonts w:cs="Arial"/>
                <w:sz w:val="20"/>
                <w:szCs w:val="20"/>
              </w:rPr>
              <w:t>AICc</w:t>
            </w:r>
            <w:proofErr w:type="spellEnd"/>
            <w:r w:rsidRPr="0077309C">
              <w:rPr>
                <w:rFonts w:cs="Arial"/>
                <w:sz w:val="20"/>
                <w:szCs w:val="20"/>
              </w:rPr>
              <w:t xml:space="preserve"> weight</w:t>
            </w:r>
          </w:p>
        </w:tc>
        <w:tc>
          <w:tcPr>
            <w:tcW w:w="1302" w:type="dxa"/>
            <w:noWrap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Marginal R</w:t>
            </w:r>
            <w:r w:rsidRPr="0077309C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Soil respiration rate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-90.92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190.58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-93.45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193.33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-91.96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195.05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Net mineralisation</w:t>
            </w:r>
          </w:p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-239.73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490.72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-241.57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491.96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-245.1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496.69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5.97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77309C">
              <w:rPr>
                <w:rFonts w:cs="Arial"/>
                <w:sz w:val="20"/>
                <w:szCs w:val="20"/>
              </w:rPr>
              <w:t>Ectomycorrhizal</w:t>
            </w:r>
            <w:proofErr w:type="spellEnd"/>
            <w:r w:rsidRPr="0077309C">
              <w:rPr>
                <w:rFonts w:cs="Arial"/>
                <w:sz w:val="20"/>
                <w:szCs w:val="20"/>
              </w:rPr>
              <w:t xml:space="preserve"> fungi richness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-151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310.75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0.5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-153.91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314.26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0.42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-183.05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370.32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59.57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Ground flora richness</w:t>
            </w:r>
          </w:p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-194.62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395.67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0.47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-194.53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397.79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0.46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-253.34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510.89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115.22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Epiphytic lichens richness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-241.98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492.69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-245.32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497.08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4.39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-261.67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527.55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34.86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Commercially harvested fungi richness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-58.42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123.28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-58.21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125.15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-64.03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132.28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Recreation values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-2152.12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4312.28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-2162.23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4334.53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22.25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-2170.47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4346.97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34.69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Aesthetic</w:t>
            </w:r>
            <w:r w:rsidRPr="0077309C">
              <w:rPr>
                <w:rFonts w:cs="Arial"/>
                <w:sz w:val="20"/>
                <w:szCs w:val="20"/>
              </w:rPr>
              <w:t xml:space="preserve"> values</w:t>
            </w: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Linear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-2124.17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4256.38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Quadratic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-2135.89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4281.84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25.46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</w:tr>
      <w:tr w:rsidR="0077309C" w:rsidRPr="001A15E3" w:rsidTr="0077309C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77309C" w:rsidRDefault="0077309C" w:rsidP="0077309C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18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-2249.16</w:t>
            </w:r>
          </w:p>
        </w:tc>
        <w:tc>
          <w:tcPr>
            <w:tcW w:w="1268" w:type="dxa"/>
            <w:noWrap/>
          </w:tcPr>
          <w:p w:rsidR="0077309C" w:rsidRPr="0077309C" w:rsidRDefault="0077309C" w:rsidP="0077309C">
            <w:pPr>
              <w:jc w:val="center"/>
              <w:rPr>
                <w:rFonts w:cs="Arial"/>
                <w:sz w:val="20"/>
                <w:szCs w:val="20"/>
              </w:rPr>
            </w:pPr>
            <w:r w:rsidRPr="0077309C">
              <w:rPr>
                <w:rFonts w:cs="Arial"/>
                <w:sz w:val="20"/>
                <w:szCs w:val="20"/>
              </w:rPr>
              <w:t>4504.35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247.97</w:t>
            </w:r>
          </w:p>
        </w:tc>
        <w:tc>
          <w:tcPr>
            <w:tcW w:w="1524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2" w:type="dxa"/>
            <w:noWrap/>
            <w:vAlign w:val="bottom"/>
          </w:tcPr>
          <w:p w:rsidR="0077309C" w:rsidRPr="0077309C" w:rsidRDefault="0077309C" w:rsidP="007730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77309C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</w:tr>
    </w:tbl>
    <w:p w:rsidR="00FE512B" w:rsidRPr="001A15E3" w:rsidRDefault="00FE512B" w:rsidP="00FE512B">
      <w:pPr>
        <w:contextualSpacing/>
        <w:rPr>
          <w:rFonts w:cs="Arial"/>
          <w:szCs w:val="22"/>
        </w:rPr>
      </w:pPr>
    </w:p>
    <w:p w:rsidR="00475388" w:rsidRDefault="00475388" w:rsidP="00FE512B">
      <w:pPr>
        <w:contextualSpacing/>
        <w:rPr>
          <w:rFonts w:cs="Arial"/>
          <w:szCs w:val="22"/>
        </w:rPr>
      </w:pPr>
    </w:p>
    <w:p w:rsidR="00475388" w:rsidRDefault="00475388" w:rsidP="00FE512B">
      <w:pPr>
        <w:contextualSpacing/>
        <w:rPr>
          <w:rFonts w:cs="Arial"/>
          <w:szCs w:val="22"/>
        </w:rPr>
      </w:pPr>
    </w:p>
    <w:p w:rsidR="00475388" w:rsidRDefault="00475388">
      <w:pPr>
        <w:widowControl/>
        <w:suppressAutoHyphens w:val="0"/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FE512B" w:rsidRPr="001A15E3" w:rsidRDefault="000114A6" w:rsidP="00FE512B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lastRenderedPageBreak/>
        <w:t>Table S2</w:t>
      </w:r>
      <w:r w:rsidR="00FE512B" w:rsidRPr="001A15E3">
        <w:rPr>
          <w:rFonts w:cs="Arial"/>
          <w:szCs w:val="22"/>
        </w:rPr>
        <w:t xml:space="preserve"> – </w:t>
      </w:r>
      <w:r w:rsidR="00AE65CD">
        <w:rPr>
          <w:rFonts w:cs="Arial"/>
          <w:szCs w:val="22"/>
        </w:rPr>
        <w:t>M</w:t>
      </w:r>
      <w:r w:rsidR="00AE65CD">
        <w:t>odel-averaged coefficients of the generalised linear mixed models fitted</w:t>
      </w:r>
      <w:r w:rsidR="003058CD">
        <w:t>.</w:t>
      </w:r>
    </w:p>
    <w:tbl>
      <w:tblPr>
        <w:tblW w:w="7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418"/>
        <w:gridCol w:w="1302"/>
        <w:gridCol w:w="1524"/>
        <w:gridCol w:w="1302"/>
      </w:tblGrid>
      <w:tr w:rsidR="00C516E3" w:rsidRPr="001A15E3" w:rsidTr="00645359">
        <w:trPr>
          <w:trHeight w:val="288"/>
        </w:trPr>
        <w:tc>
          <w:tcPr>
            <w:tcW w:w="1809" w:type="dxa"/>
            <w:vAlign w:val="center"/>
          </w:tcPr>
          <w:p w:rsidR="00C516E3" w:rsidRPr="00645359" w:rsidRDefault="00C516E3" w:rsidP="00645359">
            <w:pPr>
              <w:contextualSpacing/>
              <w:jc w:val="center"/>
              <w:rPr>
                <w:rFonts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  <w:lang w:eastAsia="en-GB" w:bidi="ar-SA"/>
              </w:rPr>
              <w:t>Y Variable</w:t>
            </w:r>
          </w:p>
        </w:tc>
        <w:tc>
          <w:tcPr>
            <w:tcW w:w="1418" w:type="dxa"/>
            <w:vAlign w:val="center"/>
          </w:tcPr>
          <w:p w:rsidR="00C516E3" w:rsidRPr="00645359" w:rsidRDefault="00C516E3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  <w:lang w:eastAsia="en-GB" w:bidi="ar-SA"/>
              </w:rPr>
              <w:t>Model parameter</w:t>
            </w:r>
          </w:p>
        </w:tc>
        <w:tc>
          <w:tcPr>
            <w:tcW w:w="1302" w:type="dxa"/>
            <w:noWrap/>
            <w:vAlign w:val="center"/>
          </w:tcPr>
          <w:p w:rsidR="00C516E3" w:rsidRPr="00645359" w:rsidRDefault="00C516E3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Estimate</w:t>
            </w:r>
          </w:p>
        </w:tc>
        <w:tc>
          <w:tcPr>
            <w:tcW w:w="1524" w:type="dxa"/>
            <w:noWrap/>
            <w:vAlign w:val="center"/>
          </w:tcPr>
          <w:p w:rsidR="00C516E3" w:rsidRPr="00645359" w:rsidRDefault="00C516E3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SE</w:t>
            </w:r>
          </w:p>
        </w:tc>
        <w:tc>
          <w:tcPr>
            <w:tcW w:w="1302" w:type="dxa"/>
            <w:noWrap/>
            <w:vAlign w:val="center"/>
          </w:tcPr>
          <w:p w:rsidR="00C516E3" w:rsidRPr="00645359" w:rsidRDefault="00C516E3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P value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Aesthetic values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-0.263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0.074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 w:rsidR="00645359">
              <w:rPr>
                <w:rFonts w:cs="Arial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="0077309C"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Commercially harvested fungi richness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0.019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0.004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0.771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45359">
              <w:rPr>
                <w:rFonts w:cs="Arial"/>
                <w:sz w:val="20"/>
                <w:szCs w:val="20"/>
              </w:rPr>
              <w:t>Ectomycorrhizal</w:t>
            </w:r>
            <w:proofErr w:type="spellEnd"/>
            <w:r w:rsidRPr="00645359">
              <w:rPr>
                <w:rFonts w:cs="Arial"/>
                <w:sz w:val="20"/>
                <w:szCs w:val="20"/>
              </w:rPr>
              <w:t xml:space="preserve"> fungi richness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2.15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0.08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0.39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0.06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0.112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Epiphytic lichens richness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0.064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Ground flora richness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  <w:bookmarkStart w:id="0" w:name="_GoBack"/>
            <w:bookmarkEnd w:id="0"/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0.843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Net mineralisation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20.79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6.15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-4.97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0.123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-0.4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1.96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0.843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Recreation values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645359" w:rsidP="00645359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GB" w:bidi="ar-SA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645359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r w:rsidRPr="00645359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645359">
              <w:rPr>
                <w:rFonts w:cs="Arial"/>
                <w:color w:val="000000"/>
                <w:sz w:val="20"/>
                <w:szCs w:val="20"/>
              </w:rPr>
              <w:t>0.997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 w:val="restart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Soil respiration rate</w:t>
            </w: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Intercept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4.25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2.04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4.25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-linear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0.32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0.2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0.117</w:t>
            </w:r>
          </w:p>
        </w:tc>
      </w:tr>
      <w:tr w:rsidR="0077309C" w:rsidRPr="001A15E3" w:rsidTr="00645359">
        <w:trPr>
          <w:trHeight w:val="288"/>
        </w:trPr>
        <w:tc>
          <w:tcPr>
            <w:tcW w:w="1809" w:type="dxa"/>
            <w:vMerge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7309C" w:rsidRPr="00645359" w:rsidRDefault="0077309C" w:rsidP="00645359">
            <w:pPr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AGB - quadratic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0.01</w:t>
            </w:r>
          </w:p>
        </w:tc>
        <w:tc>
          <w:tcPr>
            <w:tcW w:w="1524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0.04</w:t>
            </w:r>
          </w:p>
        </w:tc>
        <w:tc>
          <w:tcPr>
            <w:tcW w:w="1302" w:type="dxa"/>
            <w:noWrap/>
            <w:vAlign w:val="center"/>
          </w:tcPr>
          <w:p w:rsidR="0077309C" w:rsidRPr="00645359" w:rsidRDefault="0077309C" w:rsidP="00645359">
            <w:pPr>
              <w:jc w:val="center"/>
              <w:rPr>
                <w:rFonts w:cs="Arial"/>
                <w:sz w:val="20"/>
                <w:szCs w:val="20"/>
              </w:rPr>
            </w:pPr>
            <w:r w:rsidRPr="00645359">
              <w:rPr>
                <w:rFonts w:cs="Arial"/>
                <w:sz w:val="20"/>
                <w:szCs w:val="20"/>
              </w:rPr>
              <w:t>0.885</w:t>
            </w:r>
          </w:p>
        </w:tc>
      </w:tr>
    </w:tbl>
    <w:p w:rsidR="00FE512B" w:rsidRPr="001A15E3" w:rsidRDefault="00FE512B" w:rsidP="00FE512B">
      <w:pPr>
        <w:contextualSpacing/>
        <w:rPr>
          <w:rFonts w:cs="Arial"/>
          <w:szCs w:val="22"/>
        </w:rPr>
      </w:pPr>
    </w:p>
    <w:p w:rsidR="00A933FE" w:rsidRDefault="00A933FE" w:rsidP="00A933FE">
      <w:r>
        <w:t>Fig. S1</w:t>
      </w:r>
      <w:r w:rsidRPr="005531D3">
        <w:t xml:space="preserve">: Relationships between </w:t>
      </w:r>
      <w:r>
        <w:t>above ground biomass</w:t>
      </w:r>
      <w:r w:rsidRPr="005531D3">
        <w:t xml:space="preserve"> </w:t>
      </w:r>
      <w:r>
        <w:t>and</w:t>
      </w:r>
      <w:r w:rsidRPr="005531D3">
        <w:t xml:space="preserve"> a)</w:t>
      </w:r>
      <w:r>
        <w:t xml:space="preserve"> </w:t>
      </w:r>
      <w:r w:rsidR="00D93419">
        <w:t>aesthetic values (Aes),</w:t>
      </w:r>
      <w:r w:rsidRPr="005531D3">
        <w:t xml:space="preserve"> b)</w:t>
      </w:r>
      <w:r>
        <w:t xml:space="preserve"> </w:t>
      </w:r>
      <w:r w:rsidR="00D93419">
        <w:t>commercially harvested fungi richness (CHF),</w:t>
      </w:r>
      <w:r w:rsidR="00D93419" w:rsidRPr="005531D3">
        <w:t xml:space="preserve"> </w:t>
      </w:r>
      <w:r w:rsidRPr="005531D3">
        <w:t xml:space="preserve">c) </w:t>
      </w:r>
      <w:r w:rsidR="00D93419">
        <w:t xml:space="preserve">ectomycorrhizal fungi richness (ECM), </w:t>
      </w:r>
      <w:r w:rsidRPr="005531D3">
        <w:t xml:space="preserve">d) </w:t>
      </w:r>
      <w:r w:rsidR="00D93419">
        <w:t>epiphytic lichens richness (EL),</w:t>
      </w:r>
      <w:r w:rsidR="00814414">
        <w:t xml:space="preserve"> </w:t>
      </w:r>
      <w:r>
        <w:t>e</w:t>
      </w:r>
      <w:r w:rsidRPr="005531D3">
        <w:t xml:space="preserve">) </w:t>
      </w:r>
      <w:r w:rsidR="003A6390">
        <w:t>ground flora richness (GF)</w:t>
      </w:r>
      <w:r w:rsidR="00814414">
        <w:t xml:space="preserve">, </w:t>
      </w:r>
      <w:r w:rsidR="003A6390">
        <w:t>f</w:t>
      </w:r>
      <w:r w:rsidRPr="005531D3">
        <w:t xml:space="preserve">) </w:t>
      </w:r>
      <w:r w:rsidR="00D93419">
        <w:t>net mineralisation (NM),</w:t>
      </w:r>
      <w:r w:rsidR="00814414">
        <w:t xml:space="preserve"> </w:t>
      </w:r>
      <w:r w:rsidR="003A6390">
        <w:t>g</w:t>
      </w:r>
      <w:r w:rsidRPr="005531D3">
        <w:t xml:space="preserve">) </w:t>
      </w:r>
      <w:r w:rsidR="003A6390">
        <w:t xml:space="preserve">recreation values (Rec) </w:t>
      </w:r>
      <w:r w:rsidRPr="005531D3">
        <w:t>and</w:t>
      </w:r>
      <w:r w:rsidR="003A6390">
        <w:t xml:space="preserve"> h</w:t>
      </w:r>
      <w:r w:rsidR="003A6390" w:rsidRPr="005531D3">
        <w:t>)</w:t>
      </w:r>
      <w:r w:rsidRPr="005531D3">
        <w:t xml:space="preserve"> </w:t>
      </w:r>
      <w:r w:rsidR="00D93419">
        <w:t>soil respiration rate (SRR).</w:t>
      </w:r>
      <w:r w:rsidR="00D93419" w:rsidRPr="005531D3">
        <w:t xml:space="preserve"> </w:t>
      </w:r>
      <w:r w:rsidRPr="005531D3">
        <w:t xml:space="preserve">The black lines represent </w:t>
      </w:r>
      <w:r w:rsidR="00D93419">
        <w:t>the averaged model fit</w:t>
      </w:r>
      <w:r w:rsidRPr="005531D3">
        <w:t>.</w:t>
      </w:r>
      <w:r>
        <w:t xml:space="preserve"> </w:t>
      </w:r>
    </w:p>
    <w:p w:rsidR="00FE512B" w:rsidRPr="001A15E3" w:rsidRDefault="00FE512B" w:rsidP="00FE512B">
      <w:pPr>
        <w:widowControl/>
        <w:suppressAutoHyphens w:val="0"/>
        <w:rPr>
          <w:rFonts w:cs="Arial"/>
          <w:szCs w:val="22"/>
        </w:rPr>
      </w:pPr>
    </w:p>
    <w:sectPr w:rsidR="00FE512B" w:rsidRPr="001A15E3" w:rsidSect="00BC1659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218"/>
    <w:multiLevelType w:val="multilevel"/>
    <w:tmpl w:val="F8906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42D3470"/>
    <w:multiLevelType w:val="multilevel"/>
    <w:tmpl w:val="F5E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73CC9"/>
    <w:multiLevelType w:val="hybridMultilevel"/>
    <w:tmpl w:val="5E5A16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4B17"/>
    <w:multiLevelType w:val="hybridMultilevel"/>
    <w:tmpl w:val="D3D8AA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466A85"/>
    <w:multiLevelType w:val="multilevel"/>
    <w:tmpl w:val="9F1C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5">
    <w:nsid w:val="518C3D3E"/>
    <w:multiLevelType w:val="multilevel"/>
    <w:tmpl w:val="428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6">
    <w:nsid w:val="52A8348B"/>
    <w:multiLevelType w:val="multilevel"/>
    <w:tmpl w:val="0D0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7">
    <w:nsid w:val="569566E5"/>
    <w:multiLevelType w:val="multilevel"/>
    <w:tmpl w:val="3F6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8">
    <w:nsid w:val="5737319E"/>
    <w:multiLevelType w:val="multilevel"/>
    <w:tmpl w:val="13E0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C6D19DF"/>
    <w:multiLevelType w:val="hybridMultilevel"/>
    <w:tmpl w:val="12000E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74E6"/>
    <w:multiLevelType w:val="multilevel"/>
    <w:tmpl w:val="E04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1">
    <w:nsid w:val="7603339A"/>
    <w:multiLevelType w:val="multilevel"/>
    <w:tmpl w:val="C08E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2">
    <w:nsid w:val="77997FFB"/>
    <w:multiLevelType w:val="multilevel"/>
    <w:tmpl w:val="117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2B"/>
    <w:rsid w:val="00010525"/>
    <w:rsid w:val="000114A6"/>
    <w:rsid w:val="00052639"/>
    <w:rsid w:val="000C272F"/>
    <w:rsid w:val="000E7E06"/>
    <w:rsid w:val="0017562F"/>
    <w:rsid w:val="001B25D8"/>
    <w:rsid w:val="00242961"/>
    <w:rsid w:val="00256633"/>
    <w:rsid w:val="002640B2"/>
    <w:rsid w:val="002C6EE8"/>
    <w:rsid w:val="003058CD"/>
    <w:rsid w:val="003A6390"/>
    <w:rsid w:val="00475388"/>
    <w:rsid w:val="004979B5"/>
    <w:rsid w:val="005D53AF"/>
    <w:rsid w:val="005F77E4"/>
    <w:rsid w:val="00616497"/>
    <w:rsid w:val="00645359"/>
    <w:rsid w:val="00697421"/>
    <w:rsid w:val="006D74B2"/>
    <w:rsid w:val="00703845"/>
    <w:rsid w:val="0077309C"/>
    <w:rsid w:val="00786B3B"/>
    <w:rsid w:val="00814414"/>
    <w:rsid w:val="00936D37"/>
    <w:rsid w:val="009B128C"/>
    <w:rsid w:val="00A51B2A"/>
    <w:rsid w:val="00A933FE"/>
    <w:rsid w:val="00AE65CD"/>
    <w:rsid w:val="00B067E8"/>
    <w:rsid w:val="00BC1659"/>
    <w:rsid w:val="00C078F6"/>
    <w:rsid w:val="00C516E3"/>
    <w:rsid w:val="00C922FA"/>
    <w:rsid w:val="00D93419"/>
    <w:rsid w:val="00E0225E"/>
    <w:rsid w:val="00E43D78"/>
    <w:rsid w:val="00E96247"/>
    <w:rsid w:val="00EA1A0E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37968-2657-4880-BD85-16790A09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AF"/>
    <w:pPr>
      <w:widowControl w:val="0"/>
      <w:suppressAutoHyphens/>
      <w:spacing w:after="0" w:line="360" w:lineRule="auto"/>
    </w:pPr>
    <w:rPr>
      <w:rFonts w:ascii="Arial" w:eastAsia="SimSun" w:hAnsi="Arial" w:cs="Mangal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9"/>
    <w:qFormat/>
    <w:rsid w:val="00FE512B"/>
    <w:pPr>
      <w:widowControl/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E512B"/>
    <w:rPr>
      <w:rFonts w:ascii="Times New Roman" w:eastAsia="SimSu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ullets">
    <w:name w:val="Bullets"/>
    <w:uiPriority w:val="99"/>
    <w:rsid w:val="00FE512B"/>
    <w:rPr>
      <w:rFonts w:ascii="OpenSymbol" w:hAnsi="OpenSymbol"/>
    </w:rPr>
  </w:style>
  <w:style w:type="character" w:customStyle="1" w:styleId="ListLabel1">
    <w:name w:val="ListLabel 1"/>
    <w:uiPriority w:val="99"/>
    <w:rsid w:val="00FE512B"/>
  </w:style>
  <w:style w:type="character" w:customStyle="1" w:styleId="ListLabel2">
    <w:name w:val="ListLabel 2"/>
    <w:uiPriority w:val="99"/>
    <w:rsid w:val="00FE512B"/>
  </w:style>
  <w:style w:type="character" w:customStyle="1" w:styleId="ListLabel3">
    <w:name w:val="ListLabel 3"/>
    <w:uiPriority w:val="99"/>
    <w:rsid w:val="00FE512B"/>
  </w:style>
  <w:style w:type="character" w:customStyle="1" w:styleId="ListLabel4">
    <w:name w:val="ListLabel 4"/>
    <w:uiPriority w:val="99"/>
    <w:rsid w:val="00FE512B"/>
  </w:style>
  <w:style w:type="paragraph" w:customStyle="1" w:styleId="Heading">
    <w:name w:val="Heading"/>
    <w:basedOn w:val="Normal"/>
    <w:next w:val="TextBody"/>
    <w:uiPriority w:val="99"/>
    <w:rsid w:val="00FE512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FE512B"/>
    <w:pPr>
      <w:spacing w:after="140" w:line="288" w:lineRule="auto"/>
    </w:pPr>
  </w:style>
  <w:style w:type="paragraph" w:styleId="List">
    <w:name w:val="List"/>
    <w:basedOn w:val="TextBody"/>
    <w:uiPriority w:val="99"/>
    <w:rsid w:val="00FE512B"/>
  </w:style>
  <w:style w:type="paragraph" w:styleId="Caption">
    <w:name w:val="caption"/>
    <w:basedOn w:val="Normal"/>
    <w:uiPriority w:val="99"/>
    <w:qFormat/>
    <w:rsid w:val="00FE51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FE512B"/>
    <w:pPr>
      <w:suppressLineNumbers/>
    </w:pPr>
  </w:style>
  <w:style w:type="table" w:styleId="TableGrid">
    <w:name w:val="Table Grid"/>
    <w:basedOn w:val="TableNormal"/>
    <w:uiPriority w:val="99"/>
    <w:rsid w:val="00FE512B"/>
    <w:pPr>
      <w:spacing w:after="0" w:line="240" w:lineRule="auto"/>
    </w:pPr>
    <w:rPr>
      <w:rFonts w:ascii="Liberation Serif" w:eastAsia="SimSun" w:hAnsi="Liberation Serif" w:cs="Mangal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E512B"/>
    <w:rPr>
      <w:rFonts w:ascii="Tahoma" w:hAnsi="Tahoma" w:cs="Times New Roman"/>
      <w:sz w:val="14"/>
      <w:szCs w:val="20"/>
      <w:lang w:eastAsia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2B"/>
    <w:rPr>
      <w:rFonts w:ascii="Tahoma" w:eastAsia="SimSun" w:hAnsi="Tahoma" w:cs="Times New Roman"/>
      <w:color w:val="00000A"/>
      <w:sz w:val="14"/>
      <w:szCs w:val="20"/>
      <w:lang w:eastAsia="en-GB"/>
    </w:rPr>
  </w:style>
  <w:style w:type="paragraph" w:styleId="NormalWeb">
    <w:name w:val="Normal (Web)"/>
    <w:basedOn w:val="Normal"/>
    <w:uiPriority w:val="99"/>
    <w:rsid w:val="00FE512B"/>
    <w:pPr>
      <w:widowControl/>
      <w:suppressAutoHyphens w:val="0"/>
      <w:spacing w:before="100" w:beforeAutospacing="1" w:after="142" w:line="288" w:lineRule="auto"/>
    </w:pPr>
    <w:rPr>
      <w:rFonts w:ascii="Times New Roman" w:hAnsi="Times New Roman" w:cs="Times New Roman"/>
      <w:lang w:eastAsia="en-GB" w:bidi="ar-SA"/>
    </w:rPr>
  </w:style>
  <w:style w:type="character" w:styleId="LineNumber">
    <w:name w:val="line number"/>
    <w:uiPriority w:val="99"/>
    <w:semiHidden/>
    <w:rsid w:val="00FE512B"/>
    <w:rPr>
      <w:rFonts w:cs="Times New Roman"/>
    </w:rPr>
  </w:style>
  <w:style w:type="character" w:styleId="PlaceholderText">
    <w:name w:val="Placeholder Text"/>
    <w:uiPriority w:val="99"/>
    <w:semiHidden/>
    <w:rsid w:val="00FE512B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FE512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512B"/>
    <w:rPr>
      <w:rFonts w:cs="Times New Roman"/>
      <w:sz w:val="18"/>
      <w:szCs w:val="20"/>
      <w:lang w:eastAsia="en-GB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2B"/>
    <w:rPr>
      <w:rFonts w:ascii="Liberation Serif" w:eastAsia="SimSun" w:hAnsi="Liberation Serif" w:cs="Times New Roman"/>
      <w:color w:val="00000A"/>
      <w:sz w:val="18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E512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2B"/>
    <w:rPr>
      <w:rFonts w:ascii="Liberation Serif" w:eastAsia="SimSun" w:hAnsi="Liberation Serif" w:cs="Times New Roman"/>
      <w:b/>
      <w:color w:val="00000A"/>
      <w:sz w:val="18"/>
      <w:szCs w:val="20"/>
      <w:lang w:eastAsia="en-GB"/>
    </w:rPr>
  </w:style>
  <w:style w:type="paragraph" w:customStyle="1" w:styleId="Default">
    <w:name w:val="Default"/>
    <w:uiPriority w:val="99"/>
    <w:rsid w:val="00FE512B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n-GB"/>
    </w:rPr>
  </w:style>
  <w:style w:type="character" w:styleId="Emphasis">
    <w:name w:val="Emphasis"/>
    <w:uiPriority w:val="99"/>
    <w:qFormat/>
    <w:rsid w:val="00FE512B"/>
    <w:rPr>
      <w:rFonts w:cs="Times New Roman"/>
      <w:i/>
    </w:rPr>
  </w:style>
  <w:style w:type="character" w:styleId="Strong">
    <w:name w:val="Strong"/>
    <w:uiPriority w:val="99"/>
    <w:qFormat/>
    <w:rsid w:val="00FE512B"/>
    <w:rPr>
      <w:rFonts w:cs="Times New Roman"/>
      <w:b/>
    </w:rPr>
  </w:style>
  <w:style w:type="character" w:customStyle="1" w:styleId="citationjournal">
    <w:name w:val="citation journal"/>
    <w:uiPriority w:val="99"/>
    <w:rsid w:val="00FE512B"/>
  </w:style>
  <w:style w:type="character" w:customStyle="1" w:styleId="apple-converted-space">
    <w:name w:val="apple-converted-space"/>
    <w:uiPriority w:val="99"/>
    <w:rsid w:val="00FE512B"/>
  </w:style>
  <w:style w:type="character" w:styleId="Hyperlink">
    <w:name w:val="Hyperlink"/>
    <w:uiPriority w:val="99"/>
    <w:rsid w:val="00FE512B"/>
    <w:rPr>
      <w:rFonts w:cs="Times New Roman"/>
      <w:color w:val="0000FF"/>
      <w:u w:val="single"/>
    </w:rPr>
  </w:style>
  <w:style w:type="character" w:customStyle="1" w:styleId="reference-accessdate">
    <w:name w:val="reference-accessdate"/>
    <w:uiPriority w:val="99"/>
    <w:rsid w:val="00FE512B"/>
  </w:style>
  <w:style w:type="character" w:customStyle="1" w:styleId="nowrap">
    <w:name w:val="nowrap"/>
    <w:uiPriority w:val="99"/>
    <w:rsid w:val="00FE512B"/>
  </w:style>
  <w:style w:type="character" w:customStyle="1" w:styleId="mw-cite-backlink">
    <w:name w:val="mw-cite-backlink"/>
    <w:uiPriority w:val="99"/>
    <w:rsid w:val="00FE512B"/>
  </w:style>
  <w:style w:type="character" w:customStyle="1" w:styleId="cite-accessibility-label">
    <w:name w:val="cite-accessibility-label"/>
    <w:uiPriority w:val="99"/>
    <w:rsid w:val="00FE512B"/>
  </w:style>
  <w:style w:type="paragraph" w:customStyle="1" w:styleId="EndNoteBibliography">
    <w:name w:val="EndNote Bibliography"/>
    <w:basedOn w:val="Normal"/>
    <w:link w:val="EndNoteBibliographyChar"/>
    <w:uiPriority w:val="99"/>
    <w:rsid w:val="00FE512B"/>
    <w:pPr>
      <w:widowControl/>
      <w:suppressAutoHyphens w:val="0"/>
    </w:pPr>
    <w:rPr>
      <w:rFonts w:cs="Times New Roman"/>
      <w:noProof/>
      <w:szCs w:val="20"/>
      <w:lang w:eastAsia="en-GB" w:bidi="ar-SA"/>
    </w:rPr>
  </w:style>
  <w:style w:type="character" w:customStyle="1" w:styleId="EndNoteBibliographyChar">
    <w:name w:val="EndNote Bibliography Char"/>
    <w:link w:val="EndNoteBibliography"/>
    <w:uiPriority w:val="99"/>
    <w:locked/>
    <w:rsid w:val="00FE512B"/>
    <w:rPr>
      <w:rFonts w:ascii="Arial" w:eastAsia="SimSun" w:hAnsi="Arial" w:cs="Times New Roman"/>
      <w:noProof/>
      <w:sz w:val="24"/>
      <w:szCs w:val="20"/>
      <w:lang w:eastAsia="en-GB"/>
    </w:rPr>
  </w:style>
  <w:style w:type="character" w:customStyle="1" w:styleId="doi">
    <w:name w:val="doi"/>
    <w:uiPriority w:val="99"/>
    <w:rsid w:val="00FE512B"/>
  </w:style>
  <w:style w:type="character" w:customStyle="1" w:styleId="pagination">
    <w:name w:val="pagination"/>
    <w:uiPriority w:val="99"/>
    <w:rsid w:val="00FE512B"/>
  </w:style>
  <w:style w:type="paragraph" w:styleId="BodyText">
    <w:name w:val="Body Text"/>
    <w:basedOn w:val="Normal"/>
    <w:link w:val="BodyTextChar"/>
    <w:uiPriority w:val="99"/>
    <w:rsid w:val="00FE512B"/>
    <w:pPr>
      <w:widowControl/>
      <w:suppressAutoHyphens w:val="0"/>
      <w:jc w:val="center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E512B"/>
    <w:rPr>
      <w:rFonts w:ascii="Liberation Serif" w:eastAsia="SimSun" w:hAnsi="Liberation Serif" w:cs="Times New Roman"/>
      <w:color w:val="00000A"/>
      <w:sz w:val="21"/>
      <w:szCs w:val="20"/>
      <w:lang w:eastAsia="zh-CN"/>
    </w:rPr>
  </w:style>
  <w:style w:type="character" w:styleId="FollowedHyperlink">
    <w:name w:val="FollowedHyperlink"/>
    <w:uiPriority w:val="99"/>
    <w:semiHidden/>
    <w:rsid w:val="00FE512B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FE512B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rsid w:val="00FE5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12B"/>
    <w:rPr>
      <w:rFonts w:ascii="Courier New" w:eastAsia="SimSun" w:hAnsi="Courier New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99"/>
    <w:qFormat/>
    <w:rsid w:val="00FE512B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Arial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163F-09AC-4E3F-BFA0-EDEF22FC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Martin</dc:creator>
  <cp:lastModifiedBy>Phil</cp:lastModifiedBy>
  <cp:revision>21</cp:revision>
  <dcterms:created xsi:type="dcterms:W3CDTF">2016-04-08T13:13:00Z</dcterms:created>
  <dcterms:modified xsi:type="dcterms:W3CDTF">2016-04-14T17:06:00Z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philip.martin.1981@gmail.com@www.mendeley.com</vt:lpwstr>
  </property>
  <property fmtid="{D5CDD505-2E9C-101B-9397-08002B2CF9AE}" pid="4" name="Mendeley Citation Style_1">
    <vt:lpwstr>http://www.zotero.org/styles/forest-ecology-and-management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http://csl.mendeley.com/styles/4604571/british-ecological-society</vt:lpwstr>
  </property>
  <property fmtid="{D5CDD505-2E9C-101B-9397-08002B2CF9AE}" pid="8" name="Mendeley Recent Style Name 1_1">
    <vt:lpwstr>British Ecological Society - Philip Martin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http://csl.mendeley.com/styles/4604571/elsevier-harvard</vt:lpwstr>
  </property>
  <property fmtid="{D5CDD505-2E9C-101B-9397-08002B2CF9AE}" pid="12" name="Mendeley Recent Style Name 3_1">
    <vt:lpwstr>Elsevier Harvard (with titles) - Philip Martin</vt:lpwstr>
  </property>
  <property fmtid="{D5CDD505-2E9C-101B-9397-08002B2CF9AE}" pid="13" name="Mendeley Recent Style Id 4_1">
    <vt:lpwstr>http://www.zotero.org/styles/forest-ecology-and-management</vt:lpwstr>
  </property>
  <property fmtid="{D5CDD505-2E9C-101B-9397-08002B2CF9AE}" pid="14" name="Mendeley Recent Style Name 4_1">
    <vt:lpwstr>Forest Ecology and Management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