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drawing>
          <wp:inline xmlns:a="http://schemas.openxmlformats.org/drawingml/2006/main" xmlns:pic="http://schemas.openxmlformats.org/drawingml/2006/picture">
            <wp:extent cx="2520000" cy="2520000"/>
            <wp:docPr id="1" name="Picture 1"/>
            <wp:cNvGraphicFramePr>
              <a:graphicFrameLocks noChangeAspect="1"/>
            </wp:cNvGraphicFramePr>
            <a:graphic>
              <a:graphicData uri="http://schemas.openxmlformats.org/drawingml/2006/picture">
                <pic:pic>
                  <pic:nvPicPr>
                    <pic:cNvPr id="0" name="noezys_logo.png"/>
                    <pic:cNvPicPr/>
                  </pic:nvPicPr>
                  <pic:blipFill>
                    <a:blip r:embed="rId11"/>
                    <a:stretch>
                      <a:fillRect/>
                    </a:stretch>
                  </pic:blipFill>
                  <pic:spPr>
                    <a:xfrm>
                      <a:off x="0" y="0"/>
                      <a:ext cx="2520000" cy="2520000"/>
                    </a:xfrm>
                    <a:prstGeom prst="rect"/>
                  </pic:spPr>
                </pic:pic>
              </a:graphicData>
            </a:graphic>
          </wp:inline>
        </w:drawing>
      </w:r>
    </w:p>
    <w:p>
      <w:pPr>
        <w:spacing w:after="120" w:before="360"/>
        <w:jc w:val="center"/>
      </w:pPr>
      <w:r>
        <w:rPr>
          <w:rFonts w:ascii="Aptos" w:hAnsi="Aptos" w:cs="Aptos" w:eastAsia="Aptos"/>
          <w:b w:val="0"/>
          <w:i w:val="0"/>
          <w:color w:val="605E5C"/>
          <w:sz w:val="28"/>
        </w:rPr>
        <w:t>Technical report</w:t>
      </w:r>
    </w:p>
    <w:p>
      <w:pPr>
        <w:spacing w:after="120" w:before="0"/>
        <w:jc w:val="center"/>
      </w:pPr>
      <w:r>
        <w:rPr>
          <w:rFonts w:ascii="Aptos Display" w:hAnsi="Aptos Display" w:cs="Aptos Display" w:eastAsia="Aptos Display"/>
          <w:b/>
          <w:i w:val="0"/>
          <w:color w:val="5B4FC7"/>
          <w:sz w:val="56"/>
        </w:rPr>
        <w:t>WANKOE</w:t>
      </w:r>
    </w:p>
    <w:p>
      <w:pPr>
        <w:spacing w:after="480" w:before="0"/>
        <w:jc w:val="center"/>
      </w:pPr>
      <w:r>
        <w:rPr>
          <w:rFonts w:ascii="Aptos" w:hAnsi="Aptos" w:cs="Aptos" w:eastAsia="Aptos"/>
          <w:b w:val="0"/>
          <w:i w:val="0"/>
          <w:color w:val="3FB8E0"/>
          <w:sz w:val="28"/>
        </w:rPr>
        <w:t>Limestone processing line, design confirmation study</w:t>
      </w:r>
    </w:p>
    <w:p>
      <w:pPr>
        <w:spacing w:after="80"/>
        <w:jc w:val="center"/>
      </w:pPr>
      <w:r>
        <w:rPr>
          <w:rFonts w:ascii="Aptos" w:hAnsi="Aptos" w:cs="Aptos" w:eastAsia="Aptos"/>
          <w:b/>
          <w:i w:val="0"/>
          <w:sz w:val="22"/>
        </w:rPr>
        <w:t>Préparée pour Philippe Marechal</w:t>
      </w:r>
    </w:p>
    <w:p>
      <w:pPr>
        <w:spacing w:after="360"/>
        <w:jc w:val="center"/>
      </w:pPr>
      <w:r>
        <w:rPr>
          <w:rFonts w:ascii="Aptos" w:hAnsi="Aptos" w:cs="Aptos" w:eastAsia="Aptos"/>
          <w:b w:val="0"/>
          <w:i w:val="0"/>
          <w:sz w:val="22"/>
        </w:rPr>
        <w:t>WANKOE project</w:t>
      </w:r>
    </w:p>
    <w:p>
      <w:pPr>
        <w:spacing w:after="80"/>
        <w:jc w:val="center"/>
      </w:pPr>
      <w:r>
        <w:rPr>
          <w:rFonts w:ascii="Aptos" w:hAnsi="Aptos" w:cs="Aptos" w:eastAsia="Aptos"/>
          <w:b/>
          <w:i w:val="0"/>
          <w:sz w:val="22"/>
        </w:rPr>
        <w:t>Émise par NOEZYS LTD,</w:t>
      </w:r>
    </w:p>
    <w:p>
      <w:pPr>
        <w:spacing w:after="80"/>
        <w:jc w:val="center"/>
      </w:pPr>
      <w:r>
        <w:rPr>
          <w:rFonts w:ascii="Aptos" w:hAnsi="Aptos" w:cs="Aptos" w:eastAsia="Aptos"/>
          <w:b w:val="0"/>
          <w:i w:val="0"/>
          <w:sz w:val="22"/>
        </w:rPr>
        <w:t>Romain Hault</w:t>
      </w:r>
    </w:p>
    <w:p>
      <w:pPr>
        <w:spacing w:after="480"/>
        <w:jc w:val="center"/>
      </w:pPr>
      <w:r>
        <w:rPr>
          <w:rFonts w:ascii="Aptos" w:hAnsi="Aptos" w:cs="Aptos" w:eastAsia="Aptos"/>
          <w:b w:val="0"/>
          <w:i w:val="0"/>
          <w:sz w:val="22"/>
        </w:rPr>
        <w:t>August 2026</w:t>
      </w:r>
    </w:p>
    <w:p>
      <w:pPr>
        <w:jc w:val="center"/>
      </w:pPr>
      <w:r>
        <w:rPr>
          <w:rFonts w:ascii="Aptos" w:hAnsi="Aptos" w:cs="Aptos" w:eastAsia="Aptos"/>
          <w:b w:val="0"/>
          <w:i/>
          <w:color w:val="605E5C"/>
          <w:sz w:val="22"/>
        </w:rPr>
        <w:t>Nos valeurs : Authenticité, Impact, Créativité</w:t>
      </w:r>
    </w:p>
    <w:p>
      <w:r>
        <w:br w:type="page"/>
      </w:r>
    </w:p>
    <w:p>
      <w:pPr>
        <w:spacing w:before="360" w:after="120"/>
      </w:pPr>
      <w:r>
        <w:rPr>
          <w:rFonts w:ascii="Aptos Display" w:hAnsi="Aptos Display" w:cs="Aptos Display" w:eastAsia="Aptos Display"/>
          <w:b/>
          <w:color w:val="5B4FC7"/>
          <w:sz w:val="36"/>
        </w:rPr>
        <w:t>Dear Philippe,</w:t>
      </w:r>
    </w:p>
    <w:p>
      <w:pPr>
        <w:spacing w:after="120"/>
      </w:pPr>
      <w:r>
        <w:rPr>
          <w:rFonts w:ascii="Aptos" w:hAnsi="Aptos" w:cs="Aptos" w:eastAsia="Aptos"/>
          <w:b w:val="0"/>
          <w:i w:val="0"/>
          <w:sz w:val="22"/>
        </w:rPr>
        <w:t>This report is the final deliverable of the WANKOE mathematical model: the design confirmation study of the new limestone processing line (zones 1.1, 1.2 and 1.3). The line is a new process under construction; the model exists to confirm the line design and the machine selection, fed exclusively by belt-cut size analyses taken at the primary crusher outlet.</w:t>
      </w:r>
    </w:p>
    <w:p>
      <w:pPr>
        <w:spacing w:after="120"/>
      </w:pPr>
      <w:r>
        <w:rPr>
          <w:rFonts w:ascii="Aptos" w:hAnsi="Aptos" w:cs="Aptos" w:eastAsia="Aptos"/>
          <w:b w:val="0"/>
          <w:i w:val="0"/>
          <w:sz w:val="22"/>
        </w:rPr>
        <w:t>The study rests on a static deterministic flowsheet model built to your specification (cahier des charges of 8 August 2026, nine chapters): the established engineering laws of the mineral industry (Rosin-Rammler, Bond, screen partition curves, VSMA sizing, JKMRC impact breakage, first-principles drying, Lapple cyclone), your machine codification, and the first real measurement, the belt cut of 8 August 2026 (d50 32 mm, d80 180 mm, moisture 7 percent). The model closes mass and water balances on every run, reproduces your chapter 9 reference case, and passed a 554-scenario stress campaign and two adversarial expert reviews (100 automated tests). All figures below are computed at the governing case: measured feed curve, 250 t/h to zone 1.1, 100 t/h reclaim, 30 t/h to drying, mode 1A/2A, dry weather.</w:t>
      </w:r>
    </w:p>
    <w:p>
      <w:pPr>
        <w:spacing w:before="360" w:after="120"/>
      </w:pPr>
      <w:r>
        <w:rPr>
          <w:rFonts w:ascii="Aptos Display" w:hAnsi="Aptos Display" w:cs="Aptos Display" w:eastAsia="Aptos Display"/>
          <w:b/>
          <w:color w:val="5B4FC7"/>
          <w:sz w:val="36"/>
        </w:rPr>
        <w:t>1. What the line delivers at the governing case</w:t>
      </w:r>
    </w:p>
    <w:p>
      <w:pPr>
        <w:spacing w:after="120"/>
      </w:pPr>
      <w:r>
        <w:rPr>
          <w:rFonts w:ascii="Aptos" w:hAnsi="Aptos" w:cs="Aptos" w:eastAsia="Aptos"/>
          <w:b w:val="0"/>
          <w:i w:val="0"/>
          <w:sz w:val="22"/>
        </w:rPr>
        <w:t>The synchronized photo of the line, per operating hour.</w:t>
      </w:r>
    </w:p>
    <w:p>
      <w:pPr>
        <w:spacing w:before="240" w:after="120"/>
      </w:pPr>
      <w:r>
        <w:rPr>
          <w:rFonts w:ascii="Aptos Display" w:hAnsi="Aptos Display" w:cs="Aptos Display" w:eastAsia="Aptos Display"/>
          <w:b/>
          <w:color w:val="3FB8E0"/>
          <w:sz w:val="24"/>
        </w:rPr>
        <w:t>Products</w:t>
      </w:r>
    </w:p>
    <w:p>
      <w:pPr>
        <w:spacing w:after="120"/>
      </w:pPr>
      <w:r>
        <w:rPr>
          <w:rFonts w:ascii="Aptos" w:hAnsi="Aptos" w:cs="Aptos" w:eastAsia="Aptos"/>
          <w:b w:val="0"/>
          <w:i w:val="0"/>
          <w:sz w:val="22"/>
        </w:rPr>
        <w:t>KFS 20/35: 53.7 t/h wet (21.5 percent of the feed). AgLime 0/1.7: 54.9 t/h wet at 100 t/h of reclaim. FeedLime grits 2/4: 10.2 t/h dry. FeedLime fines 0/1.5: 16.4 t/h dry. UltraFin below 100 um: 1.33 t/h dry. All zone mass balances and the water balance close exactly; the dryer evaporates 1.96 t/h of water.</w:t>
      </w:r>
    </w:p>
    <w:p>
      <w:pPr>
        <w:spacing w:before="240" w:after="120"/>
      </w:pPr>
      <w:r>
        <w:rPr>
          <w:rFonts w:ascii="Aptos Display" w:hAnsi="Aptos Display" w:cs="Aptos Display" w:eastAsia="Aptos Display"/>
          <w:b/>
          <w:color w:val="3FB8E0"/>
          <w:sz w:val="24"/>
        </w:rPr>
        <w:t>Product quality</w:t>
      </w:r>
    </w:p>
    <w:p>
      <w:pPr>
        <w:spacing w:after="120"/>
      </w:pPr>
      <w:r>
        <w:rPr>
          <w:rFonts w:ascii="Aptos" w:hAnsi="Aptos" w:cs="Aptos" w:eastAsia="Aptos"/>
          <w:b w:val="0"/>
          <w:i w:val="0"/>
          <w:sz w:val="22"/>
        </w:rPr>
        <w:t>AgLime, FeedLime fines and UltraFin sit comfortably inside their cuts (95, 93 and 100 percent in-cut respectively). KFS reads 30.8 / 54.3 / 14.9 percent (below / in / above the 20-35 cut) against the 30/55/15 envelope: two thresholds are within one point of their limit. Grits carry 26.9 percent above 4 mm, a direct consequence of screening sharpness. Both observations point at the same design lever, screen efficiency, discussed in section 4.</w:t>
      </w:r>
    </w:p>
    <w:p>
      <w:pPr>
        <w:spacing w:before="360" w:after="120"/>
      </w:pPr>
      <w:r>
        <w:rPr>
          <w:rFonts w:ascii="Aptos Display" w:hAnsi="Aptos Display" w:cs="Aptos Display" w:eastAsia="Aptos Display"/>
          <w:b/>
          <w:color w:val="5B4FC7"/>
          <w:sz w:val="36"/>
        </w:rPr>
        <w:t>2. Machine duty requirements</w:t>
      </w:r>
    </w:p>
    <w:p>
      <w:pPr>
        <w:spacing w:after="120"/>
      </w:pPr>
      <w:r>
        <w:rPr>
          <w:rFonts w:ascii="Aptos" w:hAnsi="Aptos" w:cs="Aptos" w:eastAsia="Aptos"/>
          <w:b w:val="0"/>
          <w:i w:val="0"/>
          <w:sz w:val="22"/>
        </w:rPr>
        <w:t>What the model requires from each machine at the governing case. These computed duties are the design specification; the selected equipment must cover them with the usual 25 to 30 percent engineering margin. Where your vendor sheets provide the installed values, the model compares automatically (the two limits already known are verified below).</w:t>
      </w:r>
    </w:p>
    <w:p>
      <w:pPr>
        <w:spacing w:before="240" w:after="120"/>
      </w:pPr>
      <w:r>
        <w:rPr>
          <w:rFonts w:ascii="Aptos Display" w:hAnsi="Aptos Display" w:cs="Aptos Display" w:eastAsia="Aptos Display"/>
          <w:b/>
          <w:color w:val="3FB8E0"/>
          <w:sz w:val="24"/>
        </w:rPr>
        <w:t>Zone 1.1, crushing and primary screening</w:t>
      </w:r>
    </w:p>
    <w:p>
      <w:pPr>
        <w:spacing w:after="120"/>
      </w:pPr>
      <w:r>
        <w:rPr>
          <w:rFonts w:ascii="Aptos" w:hAnsi="Aptos" w:cs="Aptos" w:eastAsia="Aptos"/>
          <w:b w:val="0"/>
          <w:i w:val="0"/>
          <w:sz w:val="22"/>
        </w:rPr>
        <w:t>CR.5009 toothed roll crusher: 141 kW installed power required at 232 t/h through the machine; recommend a motor of at least 175 kW. Attention: the measured feed F80 of 181 mm EXCEEDS the 150 mm nip limit stated for this machine; this is the one confirmed nonconformity of the study (section 4). CR.5011 impact crusher (HAZEMAG AP-S 1010): the closed-circuit load settles at 35 t/h, well within the 125 t/h real capacity, verdict OK; 17 kW at loop equilibrium, about 45 kW when evaluated at nameplate capacity, consistent with your specification basis. SR.5007 double-deck screen: 7.5 m2 of screening area required; recommend at least 9.5 m2 installed.</w:t>
      </w:r>
    </w:p>
    <w:p>
      <w:pPr>
        <w:spacing w:before="240" w:after="120"/>
      </w:pPr>
      <w:r>
        <w:rPr>
          <w:rFonts w:ascii="Aptos Display" w:hAnsi="Aptos Display" w:cs="Aptos Display" w:eastAsia="Aptos Display"/>
          <w:b/>
          <w:color w:val="3FB8E0"/>
          <w:sz w:val="24"/>
        </w:rPr>
        <w:t>Zone 1.2, reclaim and AgLime</w:t>
      </w:r>
    </w:p>
    <w:p>
      <w:pPr>
        <w:spacing w:after="120"/>
      </w:pPr>
      <w:r>
        <w:rPr>
          <w:rFonts w:ascii="Aptos" w:hAnsi="Aptos" w:cs="Aptos" w:eastAsia="Aptos"/>
          <w:b w:val="0"/>
          <w:i w:val="0"/>
          <w:sz w:val="22"/>
        </w:rPr>
        <w:t>SR.5105 reclaim screen: 3.7 m2 required. CR.5107 impact crusher of the AgLime loop: 180 kW installed power required at 43 t/h of circulating load; recommend at least 225 kW, this is the largest crusher motor of the line because of the fine 1 mm product. SR.5115 closing screen at 1.7 mm: 9.2 m2 required, the largest screening area of the line, driven by the fine cut; recommend at least 11.5 m2. Under rain the 1.7 mm cut degrades beyond use and the line must run in mode 2B, exactly as your specification anticipates.</w:t>
      </w:r>
    </w:p>
    <w:p>
      <w:pPr>
        <w:spacing w:before="240" w:after="120"/>
      </w:pPr>
      <w:r>
        <w:rPr>
          <w:rFonts w:ascii="Aptos Display" w:hAnsi="Aptos Display" w:cs="Aptos Display" w:eastAsia="Aptos Display"/>
          <w:b/>
          <w:color w:val="3FB8E0"/>
          <w:sz w:val="24"/>
        </w:rPr>
        <w:t>Zone 1.3, drying, grits and UltraFin</w:t>
      </w:r>
    </w:p>
    <w:p>
      <w:pPr>
        <w:spacing w:after="120"/>
      </w:pPr>
      <w:r>
        <w:rPr>
          <w:rFonts w:ascii="Aptos" w:hAnsi="Aptos" w:cs="Aptos" w:eastAsia="Aptos"/>
          <w:b w:val="0"/>
          <w:i w:val="0"/>
          <w:sz w:val="22"/>
        </w:rPr>
        <w:t>DY.03 rotary dryer at 30 t/h wet feed, 7 to 0.5 percent moisture: burner duty 3.47 MW, recommend at least 4.3 MW installed; drum volume 44 m3, recommend about 55 m3. ML.26 roller mill: 33.7 t/h of circulating load and 53 kW required, recommend at least 75 kW. SN.21 classification screen: 3.6 m2 required. SP.36 air classifier: 2 650 m3/h of process air for the UltraFin extraction. CL.38 cyclone sizing awaits the vendor inlet geometry.</w:t>
      </w:r>
    </w:p>
    <w:p>
      <w:pPr>
        <w:spacing w:before="360" w:after="120"/>
      </w:pPr>
      <w:r>
        <w:rPr>
          <w:rFonts w:ascii="Aptos Display" w:hAnsi="Aptos Display" w:cs="Aptos Display" w:eastAsia="Aptos Display"/>
          <w:b/>
          <w:color w:val="5B4FC7"/>
          <w:sz w:val="36"/>
        </w:rPr>
        <w:t>3. Operating plan, hours set by the production targets</w:t>
      </w:r>
    </w:p>
    <w:p>
      <w:pPr>
        <w:spacing w:after="120"/>
      </w:pPr>
      <w:r>
        <w:rPr>
          <w:rFonts w:ascii="Aptos" w:hAnsi="Aptos" w:cs="Aptos" w:eastAsia="Aptos"/>
          <w:b w:val="0"/>
          <w:i w:val="0"/>
          <w:sz w:val="22"/>
        </w:rPr>
        <w:t>Following your rule, operating hours are computed from the targets, never the reverse. Shift regimes act as capacity ceilings (zone 1.1: 2 000 h/y single shift; zones 1.2 and 1.3: 7 500 h/y continuous; 80 percent availability).</w:t>
      </w:r>
    </w:p>
    <w:p>
      <w:pPr>
        <w:spacing w:before="240" w:after="120"/>
      </w:pPr>
      <w:r>
        <w:rPr>
          <w:rFonts w:ascii="Aptos Display" w:hAnsi="Aptos Display" w:cs="Aptos Display" w:eastAsia="Aptos Display"/>
          <w:b/>
          <w:color w:val="3FB8E0"/>
          <w:sz w:val="24"/>
        </w:rPr>
        <w:t>Required hours and utilization</w:t>
      </w:r>
    </w:p>
    <w:p>
      <w:pPr>
        <w:spacing w:after="120"/>
      </w:pPr>
      <w:r>
        <w:rPr>
          <w:rFonts w:ascii="Aptos" w:hAnsi="Aptos" w:cs="Aptos" w:eastAsia="Aptos"/>
          <w:b w:val="0"/>
          <w:i w:val="0"/>
          <w:sz w:val="22"/>
        </w:rPr>
        <w:t>Zone 1.1 must run 1 979 h of its 2 000 h ceiling (98.9 percent utilization) to deliver the firm 85 000 t of KFS. Zone 1.2 runs 3 156 h of 7 500 (42 percent), producing the full 135 000 t AgLime market volume in the dry season plus the FeedLime the downstream needs. Zone 1.3 runs 4 894 h of 7 500 (65 percent) for the firm 40 000 t of grits. All firm targets are reachable within the ceilings.</w:t>
      </w:r>
    </w:p>
    <w:p>
      <w:pPr>
        <w:spacing w:before="240" w:after="120"/>
      </w:pPr>
      <w:r>
        <w:rPr>
          <w:rFonts w:ascii="Aptos Display" w:hAnsi="Aptos Display" w:cs="Aptos Display" w:eastAsia="Aptos Display"/>
          <w:b/>
          <w:color w:val="3FB8E0"/>
          <w:sz w:val="24"/>
        </w:rPr>
        <w:t>Yearly balance and co-products</w:t>
      </w:r>
    </w:p>
    <w:p>
      <w:pPr>
        <w:spacing w:after="120"/>
      </w:pPr>
      <w:r>
        <w:rPr>
          <w:rFonts w:ascii="Aptos" w:hAnsi="Aptos" w:cs="Aptos" w:eastAsia="Aptos"/>
          <w:b w:val="0"/>
          <w:i w:val="0"/>
          <w:sz w:val="22"/>
        </w:rPr>
        <w:t>Production lands exactly on the targets: 85 000 t KFS, 135 000 t AgLime, 40 000 t grits, plus 64 000 t of FeedLime fines (about 8 000 t above the 56 000 t market estimate) and 5 200 t of UltraFin. The 0/20 stockpile grows by 58 300 t per year: this is the mechanical surplus your specification chapter 7.3 asked the model to expose, and it needs a commercial or mining decision. A flow-rate optimization (reclaim 45 t/h, drying feed 19 t/h) reduces the unsellable fines surplus to about 5 000 t while keeping every firm target.</w:t>
      </w:r>
    </w:p>
    <w:p>
      <w:pPr>
        <w:spacing w:before="360" w:after="120"/>
      </w:pPr>
      <w:r>
        <w:rPr>
          <w:rFonts w:ascii="Aptos Display" w:hAnsi="Aptos Display" w:cs="Aptos Display" w:eastAsia="Aptos Display"/>
          <w:b/>
          <w:color w:val="5B4FC7"/>
          <w:sz w:val="36"/>
        </w:rPr>
        <w:t>4. Findings that need design attention</w:t>
      </w:r>
    </w:p>
    <w:p>
      <w:pPr>
        <w:spacing w:after="120"/>
      </w:pPr>
      <w:r>
        <w:rPr>
          <w:rFonts w:ascii="Aptos" w:hAnsi="Aptos" w:cs="Aptos" w:eastAsia="Aptos"/>
          <w:b w:val="0"/>
          <w:i w:val="0"/>
          <w:sz w:val="22"/>
        </w:rPr>
        <w:t>Four findings, ranked. None of them invalidates the line concept; each has a concrete lever.</w:t>
      </w:r>
    </w:p>
    <w:p>
      <w:pPr>
        <w:spacing w:before="240" w:after="120"/>
      </w:pPr>
      <w:r>
        <w:rPr>
          <w:rFonts w:ascii="Aptos Display" w:hAnsi="Aptos Display" w:cs="Aptos Display" w:eastAsia="Aptos Display"/>
          <w:b/>
          <w:color w:val="3FB8E0"/>
          <w:sz w:val="24"/>
        </w:rPr>
        <w:t>4.1 CR.5009 nip size versus real feed (nonconformity)</w:t>
      </w:r>
    </w:p>
    <w:p>
      <w:pPr>
        <w:spacing w:after="120"/>
      </w:pPr>
      <w:r>
        <w:rPr>
          <w:rFonts w:ascii="Aptos" w:hAnsi="Aptos" w:cs="Aptos" w:eastAsia="Aptos"/>
          <w:b w:val="0"/>
          <w:i w:val="0"/>
          <w:sz w:val="22"/>
        </w:rPr>
        <w:t>The measured primary product (d80 180 mm, 19 percent above 200 mm) exceeds the 150 mm feed limit of the toothed roll crusher. Levers: tighten the jaw crusher closed-side setting, or scalp the plus 150 mm ahead of CR.5009. This is the first decision the design team should take.</w:t>
      </w:r>
    </w:p>
    <w:p>
      <w:pPr>
        <w:spacing w:before="240" w:after="120"/>
      </w:pPr>
      <w:r>
        <w:rPr>
          <w:rFonts w:ascii="Aptos Display" w:hAnsi="Aptos Display" w:cs="Aptos Display" w:eastAsia="Aptos Display"/>
          <w:b/>
          <w:color w:val="3FB8E0"/>
          <w:sz w:val="24"/>
        </w:rPr>
        <w:t>4.2 KFS commercial margin</w:t>
      </w:r>
    </w:p>
    <w:p>
      <w:pPr>
        <w:spacing w:after="120"/>
      </w:pPr>
      <w:r>
        <w:rPr>
          <w:rFonts w:ascii="Aptos" w:hAnsi="Aptos" w:cs="Aptos" w:eastAsia="Aptos"/>
          <w:b w:val="0"/>
          <w:i w:val="0"/>
          <w:sz w:val="22"/>
        </w:rPr>
        <w:t>The firm 85 000 t KFS consumes 98.9 percent of the zone 1.1 hour ceiling. Any incident, availability below 80 percent, or a coarser feed campaign breaks the commitment. Levers: a partial second shift, a slightly higher feed rate (275 t/h brings utilization to about 90 percent), or tighter screen apertures.</w:t>
      </w:r>
    </w:p>
    <w:p>
      <w:pPr>
        <w:spacing w:before="240" w:after="120"/>
      </w:pPr>
      <w:r>
        <w:rPr>
          <w:rFonts w:ascii="Aptos Display" w:hAnsi="Aptos Display" w:cs="Aptos Display" w:eastAsia="Aptos Display"/>
          <w:b/>
          <w:color w:val="3FB8E0"/>
          <w:sz w:val="24"/>
        </w:rPr>
        <w:t>4.3 KFS envelope needs sharp screening</w:t>
      </w:r>
    </w:p>
    <w:p>
      <w:pPr>
        <w:spacing w:after="120"/>
      </w:pPr>
      <w:r>
        <w:rPr>
          <w:rFonts w:ascii="Aptos" w:hAnsi="Aptos" w:cs="Aptos" w:eastAsia="Aptos"/>
          <w:b w:val="0"/>
          <w:i w:val="0"/>
          <w:sz w:val="22"/>
        </w:rPr>
        <w:t>Meeting the 30/55/15 envelope requires a screen imperfection around 0.3, meaning genuinely sharp industrial screens; at looser efficiency the KFS carries too much sub-20 mm. This should be an explicit performance requirement in the SR.5007 procurement, and the model will verify it the day a KFS sample is sieved.</w:t>
      </w:r>
    </w:p>
    <w:p>
      <w:pPr>
        <w:spacing w:before="240" w:after="120"/>
      </w:pPr>
      <w:r>
        <w:rPr>
          <w:rFonts w:ascii="Aptos Display" w:hAnsi="Aptos Display" w:cs="Aptos Display" w:eastAsia="Aptos Display"/>
          <w:b/>
          <w:color w:val="3FB8E0"/>
          <w:sz w:val="24"/>
        </w:rPr>
        <w:t>4.4 The ML.26 model is the least certain link</w:t>
      </w:r>
    </w:p>
    <w:p>
      <w:pPr>
        <w:spacing w:after="120"/>
      </w:pPr>
      <w:r>
        <w:rPr>
          <w:rFonts w:ascii="Aptos" w:hAnsi="Aptos" w:cs="Aptos" w:eastAsia="Aptos"/>
          <w:b w:val="0"/>
          <w:i w:val="0"/>
          <w:sz w:val="22"/>
        </w:rPr>
        <w:t>Your specification left the roller mill law under-defined; the model uses a documented, bounded, fitted hypothesis. The grits/fines split it predicts is therefore the least certain figure of the chain. A vendor performance curve for ML.26 plugs directly into the data and removes this reservation.</w:t>
      </w:r>
    </w:p>
    <w:p>
      <w:pPr>
        <w:spacing w:before="360" w:after="120"/>
      </w:pPr>
      <w:r>
        <w:rPr>
          <w:rFonts w:ascii="Aptos Display" w:hAnsi="Aptos Display" w:cs="Aptos Display" w:eastAsia="Aptos Display"/>
          <w:b/>
          <w:color w:val="5B4FC7"/>
          <w:sz w:val="36"/>
        </w:rPr>
        <w:t>5. Verdict</w:t>
      </w:r>
    </w:p>
    <w:p>
      <w:pPr>
        <w:spacing w:after="120"/>
      </w:pPr>
      <w:r>
        <w:rPr>
          <w:rFonts w:ascii="Aptos" w:hAnsi="Aptos" w:cs="Aptos" w:eastAsia="Aptos"/>
          <w:b w:val="0"/>
          <w:i w:val="0"/>
          <w:sz w:val="22"/>
        </w:rPr>
        <w:t>The design confirmation verdict, on the evidence available today.</w:t>
      </w:r>
    </w:p>
    <w:p>
      <w:pPr>
        <w:spacing w:before="240" w:after="120"/>
      </w:pPr>
      <w:r>
        <w:rPr>
          <w:rFonts w:ascii="Aptos Display" w:hAnsi="Aptos Display" w:cs="Aptos Display" w:eastAsia="Aptos Display"/>
          <w:b/>
          <w:color w:val="3FB8E0"/>
          <w:sz w:val="24"/>
        </w:rPr>
        <w:t>Verdict</w:t>
      </w:r>
    </w:p>
    <w:p>
      <w:pPr>
        <w:spacing w:after="120"/>
      </w:pPr>
      <w:r>
        <w:rPr>
          <w:rFonts w:ascii="Aptos" w:hAnsi="Aptos" w:cs="Aptos" w:eastAsia="Aptos"/>
          <w:b w:val="0"/>
          <w:i w:val="0"/>
          <w:sz w:val="22"/>
        </w:rPr>
        <w:t>The line concept holds: every firm production target is reachable within the declared shift regimes, product qualities are achievable, and the computed machine duties are within the range of standard equipment. One confirmed nonconformity must be resolved (CR.5009 feed size), one commercial risk must be arbitrated (KFS hour margin), and two procurement requirements follow from the model (screen sharpness, ML.26 performance data). Every figure in this report regenerates automatically from the model as your future belt-cut analyses and vendor sheets arrive; the design verdict will sharpen with each of them, without any code change.</w:t>
      </w:r>
    </w:p>
    <w:p>
      <w:pPr>
        <w:spacing w:before="240" w:after="120"/>
      </w:pPr>
      <w:r>
        <w:rPr>
          <w:rFonts w:ascii="Aptos Display" w:hAnsi="Aptos Display" w:cs="Aptos Display" w:eastAsia="Aptos Display"/>
          <w:b/>
          <w:color w:val="5B4FC7"/>
          <w:sz w:val="28"/>
        </w:rPr>
        <w:t>Next steps</w:t>
      </w:r>
    </w:p>
    <w:p>
      <w:pPr>
        <w:spacing w:after="240"/>
      </w:pPr>
      <w:r>
        <w:rPr>
          <w:rFonts w:ascii="Aptos" w:hAnsi="Aptos" w:cs="Aptos" w:eastAsia="Aptos"/>
          <w:b w:val="0"/>
          <w:i w:val="0"/>
          <w:sz w:val="22"/>
        </w:rPr>
        <w:t>Three inputs will sharpen this study whenever they become available, none of them blocking: the vendor machine sheets (installed powers, screen areas, dryer capacity) to turn every duty requirement into an automatic margin check; the next belt-cut analyses to build the governing rock envelope; and a decision on the plus 150 mm feed handling ahead of CR.5009. The model, its web interface, its stress harness and its full documentation are delivered in the project repository and remain ready to absorb every evolution of this living project.</w:t>
      </w:r>
    </w:p>
    <w:p>
      <w:pPr>
        <w:spacing w:after="80" w:before="360"/>
      </w:pPr>
      <w:r>
        <w:rPr>
          <w:rFonts w:ascii="Aptos" w:hAnsi="Aptos" w:cs="Aptos" w:eastAsia="Aptos"/>
          <w:b w:val="0"/>
          <w:i w:val="0"/>
          <w:sz w:val="22"/>
        </w:rPr>
        <w:t>Cordialement,</w:t>
      </w:r>
    </w:p>
    <w:p>
      <w:pPr>
        <w:spacing w:after="40"/>
      </w:pPr>
      <w:r>
        <w:rPr>
          <w:rFonts w:ascii="Aptos" w:hAnsi="Aptos" w:cs="Aptos" w:eastAsia="Aptos"/>
          <w:b/>
          <w:i w:val="0"/>
          <w:sz w:val="22"/>
        </w:rPr>
        <w:t>Romain Hault</w:t>
      </w:r>
    </w:p>
    <w:p>
      <w:r>
        <w:rPr>
          <w:rFonts w:ascii="Aptos" w:hAnsi="Aptos" w:cs="Aptos" w:eastAsia="Aptos"/>
          <w:b w:val="0"/>
          <w:i w:val="0"/>
          <w:color w:val="605E5C"/>
          <w:sz w:val="22"/>
        </w:rPr>
        <w:t>NOEZYS LTD, AI Innovation Lab</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sz w:val="18"/>
      </w:rPr>
      <w:t xml:space="preserve">NOEZYS LTD  •  romain.hault@noezys.com  •  Page </w:t>
    </w:r>
    <w:r>
      <w:fldChar w:fldCharType="begin"/>
      <w:instrText> PAGE </w:instrText>
      <w:fldChar w:fldCharType="end"/>
    </w:r>
    <w:r>
      <w:rPr>
        <w:rFonts w:ascii="Aptos" w:hAnsi="Aptos" w:cs="Aptos" w:eastAsia="Aptos"/>
        <w:sz w:val="18"/>
      </w:rPr>
      <w:t xml:space="preserve"> / </w:t>
    </w:r>
    <w:r>
      <w:fldChar w:fldCharType="begin"/>
      <w:instrText> NUMPAGES </w:instrText>
      <w:fldChar w:fldCharType="end"/>
    </w:r>
  </w:p>
  <w:p>
    <w:pPr>
      <w:jc w:val="center"/>
    </w:pPr>
    <w:r>
      <w:rPr>
        <w:rFonts w:ascii="Aptos" w:hAnsi="Aptos" w:cs="Aptos" w:eastAsia="Aptos"/>
        <w:b/>
        <w:sz w:val="16"/>
      </w:rPr>
      <w:t>NOEZYS LTD</w:t>
    </w:r>
    <w:r>
      <w:rPr>
        <w:rFonts w:ascii="Aptos" w:hAnsi="Aptos" w:cs="Aptos" w:eastAsia="Aptos"/>
        <w:sz w:val="16"/>
      </w:rPr>
      <w:t>, société de droit maltais constituée sous le Companies Act 1995, n° d'enregistrement C 115556, siège statutaire au 170 Pater House, Level 1, Suite A369, Triq Salvu Psaila, Birkirkara BKR 9077, Malta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i/>
        <w:color w:val="605E5C"/>
        <w:sz w:val="18"/>
      </w:rPr>
      <w:t xml:space="preserve">Technical report, </w:t>
    </w:r>
    <w:r>
      <w:rPr>
        <w:rFonts w:ascii="Aptos" w:hAnsi="Aptos" w:cs="Aptos" w:eastAsia="Aptos"/>
        <w:b/>
        <w:i/>
        <w:color w:val="605E5C"/>
        <w:sz w:val="18"/>
      </w:rPr>
      <w:t>WANKOE line, design confirmation study</w:t>
    </w:r>
  </w:p>
  <w:p>
    <w:pPr>
      <w:jc w:val="right"/>
    </w:pPr>
    <w:r>
      <w:rPr>
        <w:rFonts w:ascii="Aptos" w:hAnsi="Aptos" w:cs="Aptos" w:eastAsia="Aptos"/>
        <w:i/>
        <w:color w:val="605E5C"/>
        <w:sz w:val="18"/>
      </w:rPr>
      <w:t>NOEZYS LTD,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