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rFonts w:ascii="Arial" w:cs="Arial" w:eastAsia="Arial" w:hAnsi="Arial"/>
          <w:b/>
          <w:bCs/>
          <w:color w:val="c8962a"/>
          <w:spacing w:val="60"/>
          <w:sz w:val="26"/>
          <w:szCs w:val="26"/>
        </w:rPr>
        <w:t xml:space="preserve">PROJET WANKOE</w:t>
      </w:r>
    </w:p>
    <w:p>
      <w:pPr>
        <w:spacing w:before="120"/>
        <w:jc w:val="center"/>
      </w:pPr>
      <w:r>
        <w:rPr>
          <w:rFonts w:ascii="Arial" w:cs="Arial" w:eastAsia="Arial" w:hAnsi="Arial"/>
          <w:b/>
          <w:bCs/>
          <w:color w:val="1b2a4a"/>
          <w:sz w:val="48"/>
          <w:szCs w:val="48"/>
        </w:rPr>
        <w:t xml:space="preserve">Cahier des charges du modèle de calcul</w:t>
      </w:r>
    </w:p>
    <w:p>
      <w:pPr>
        <w:spacing w:before="120"/>
        <w:jc w:val="center"/>
      </w:pPr>
      <w:r>
        <w:rPr>
          <w:rFonts w:ascii="Arial" w:cs="Arial" w:eastAsia="Arial" w:hAnsi="Arial"/>
          <w:color w:val="22406e"/>
          <w:sz w:val="24"/>
          <w:szCs w:val="24"/>
        </w:rPr>
        <w:t xml:space="preserve">Ligne de traitement calcaire — zones 1.1 / 1.2 / 1.3</w:t>
      </w:r>
    </w:p>
    <w:p>
      <w:pPr>
        <w:spacing w:before="360"/>
        <w:jc w:val="center"/>
      </w:pPr>
      <w:r>
        <w:rPr>
          <w:rFonts w:ascii="Arial" w:cs="Arial" w:eastAsia="Arial" w:hAnsi="Arial"/>
          <w:b/>
          <w:bCs/>
          <w:sz w:val="20"/>
          <w:szCs w:val="20"/>
        </w:rPr>
        <w:t xml:space="preserve">Spécification complète pour l'équipe de développement Python</w:t>
      </w:r>
    </w:p>
    <w:p>
      <w:pPr>
        <w:spacing w:before="900"/>
        <w:jc w:val="center"/>
      </w:pPr>
      <w:r>
        <w:rPr>
          <w:rFonts w:ascii="Arial" w:cs="Arial" w:eastAsia="Arial" w:hAnsi="Arial"/>
          <w:color w:val="5b6675"/>
          <w:sz w:val="18"/>
          <w:szCs w:val="18"/>
        </w:rPr>
        <w:t xml:space="preserve">Version de travail — 8 août 2026</w:t>
      </w:r>
    </w:p>
    <w:p>
      <w:pPr>
        <w:spacing w:before="40"/>
        <w:jc w:val="center"/>
      </w:pPr>
      <w:r>
        <w:rPr>
          <w:rFonts w:ascii="Arial" w:cs="Arial" w:eastAsia="Arial" w:hAnsi="Arial"/>
          <w:color w:val="5b6675"/>
          <w:sz w:val="16"/>
          <w:szCs w:val="16"/>
        </w:rPr>
        <w:t xml:space="preserve">© Philippe Maréchal — confidentiel</w:t>
      </w:r>
    </w:p>
    <w:p>
      <w:pPr>
        <w:pStyle w:val="Heading1"/>
        <w:spacing w:after="130" w:before="300"/>
      </w:pPr>
      <w:r>
        <w:rPr>
          <w:rFonts w:ascii="Arial" w:cs="Arial" w:eastAsia="Arial" w:hAnsi="Arial"/>
          <w:b/>
          <w:bCs/>
          <w:color w:val="1b2a4a"/>
          <w:sz w:val="28"/>
          <w:szCs w:val="28"/>
        </w:rPr>
        <w:t xml:space="preserve">Préambule</w:t>
      </w:r>
    </w:p>
    <w:p>
      <w:pPr>
        <w:spacing w:after="110" w:before="0" w:line="274"/>
      </w:pPr>
      <w:r>
        <w:rPr>
          <w:rFonts w:ascii="Arial" w:cs="Arial" w:eastAsia="Arial" w:hAnsi="Arial"/>
          <w:b w:val="false"/>
          <w:bCs w:val="false"/>
          <w:i w:val="false"/>
          <w:iCs w:val="false"/>
          <w:color w:val="1c2530"/>
          <w:sz w:val="20"/>
          <w:szCs w:val="20"/>
        </w:rPr>
        <w:t xml:space="preserve">Ce document spécifie le modèle de calcul déterministe de la ligne WANKOE (zones 1.1, 1.2, 1.3), destiné aux développeurs Python. Il suit exactement la structure de cahier des charges d'entrée définie avec l'équipe de programmation, en neuf chapitres.</w:t>
      </w:r>
    </w:p>
    <w:p>
      <w:pPr>
        <w:pStyle w:val="Heading2"/>
        <w:spacing w:after="70" w:before="180"/>
      </w:pPr>
      <w:r>
        <w:rPr>
          <w:rFonts w:ascii="Arial" w:cs="Arial" w:eastAsia="Arial" w:hAnsi="Arial"/>
          <w:b/>
          <w:bCs/>
          <w:color w:val="22406e"/>
          <w:sz w:val="23"/>
          <w:szCs w:val="23"/>
        </w:rPr>
        <w:t xml:space="preserve">Nature du modèle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Flowsheet STATIQUE DÉTERMINISTE des trois zones : pour un jeu de paramètres (un « scénario ») et une base de temps au choix, il calcule la « photo » synchronisée de toute la ligne — flux, granulométries, bilan matière et eau, dimensionnement des machines, écarts aux objectifs et aux plafonds de marché.</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Aucune dynamique, aucun aléa. Chaque exécution = un scénario. L'utilisateur définit chaque scénario et compare les photos ; le moteur n'optimise pas seul et n'IMPOSE aucun choix d'exploitation (météo, mode, réglage, objectif).</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Structure fixe (fidèle aux schémas de principe en blocs), avec blocs et modes activables par paramètre on/off. Interface web ; module d'auto-calibration sur mesures.</w:t>
      </w:r>
    </w:p>
    <w:p>
      <w:pPr>
        <w:pStyle w:val="Heading2"/>
        <w:spacing w:after="70" w:before="180"/>
      </w:pPr>
      <w:r>
        <w:rPr>
          <w:rFonts w:ascii="Arial" w:cs="Arial" w:eastAsia="Arial" w:hAnsi="Arial"/>
          <w:b/>
          <w:bCs/>
          <w:color w:val="22406e"/>
          <w:sz w:val="23"/>
          <w:szCs w:val="23"/>
        </w:rPr>
        <w:t xml:space="preserve">Trois règles d'or</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Chaque symbole d'une formule est défini (nom, unité). Un symbole non défini est renvoyé sous forme de question, jamais deviné.</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Un abaque ou une courbe constructeur est fourni en tableau de valeurs, avec le mode d'interpolation (linéaire ou log).</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Les données d'entrée sont SÉPARÉES du code : tout paramètre est modifiable sans reprogrammation.</w:t>
      </w:r>
    </w:p>
    <w:p>
      <w:pPr>
        <w:pStyle w:val="Heading2"/>
        <w:spacing w:after="70" w:before="180"/>
      </w:pPr>
      <w:r>
        <w:rPr>
          <w:rFonts w:ascii="Arial" w:cs="Arial" w:eastAsia="Arial" w:hAnsi="Arial"/>
          <w:b/>
          <w:bCs/>
          <w:color w:val="22406e"/>
          <w:sz w:val="23"/>
          <w:szCs w:val="23"/>
        </w:rPr>
        <w:t xml:space="preserve">Frontière paramètres / codé en dur</w:t>
      </w:r>
    </w:p>
    <w:p>
      <w:pPr>
        <w:pStyle w:val="ListParagraph"/>
        <w:numPr>
          <w:ilvl w:val="0"/>
          <w:numId w:val="2"/>
        </w:numPr>
        <w:spacing w:after="60" w:line="268"/>
      </w:pPr>
      <w:r>
        <w:rPr>
          <w:rFonts w:ascii="Arial" w:cs="Arial" w:eastAsia="Arial" w:hAnsi="Arial"/>
          <w:b/>
          <w:bCs/>
          <w:i w:val="false"/>
          <w:iCs w:val="false"/>
          <w:color w:val="1c2530"/>
          <w:sz w:val="20"/>
          <w:szCs w:val="20"/>
        </w:rPr>
        <w:t xml:space="preserve">Codé en dur (moteur) : </w:t>
      </w:r>
      <w:r>
        <w:rPr>
          <w:rFonts w:ascii="Arial" w:cs="Arial" w:eastAsia="Arial" w:hAnsi="Arial"/>
          <w:b w:val="false"/>
          <w:bCs w:val="false"/>
          <w:i w:val="false"/>
          <w:iCs w:val="false"/>
          <w:color w:val="1c2530"/>
          <w:sz w:val="20"/>
          <w:szCs w:val="20"/>
        </w:rPr>
        <w:t xml:space="preserve">lois physiques et identités mathématiques — conservation masse et eau, concassage (Rosin-Rammler), loi de Bond, partition de crible (Karra), logique de circuit fermé, séchage ; grille de mailles unique ; STRUCTURE des blocs.</w:t>
      </w:r>
    </w:p>
    <w:p>
      <w:pPr>
        <w:pStyle w:val="ListParagraph"/>
        <w:numPr>
          <w:ilvl w:val="0"/>
          <w:numId w:val="2"/>
        </w:numPr>
        <w:spacing w:after="60" w:line="268"/>
      </w:pPr>
      <w:r>
        <w:rPr>
          <w:rFonts w:ascii="Arial" w:cs="Arial" w:eastAsia="Arial" w:hAnsi="Arial"/>
          <w:b/>
          <w:bCs/>
          <w:i w:val="false"/>
          <w:iCs w:val="false"/>
          <w:color w:val="1c2530"/>
          <w:sz w:val="20"/>
          <w:szCs w:val="20"/>
        </w:rPr>
        <w:t xml:space="preserve">Paramètres (libres) : </w:t>
      </w:r>
      <w:r>
        <w:rPr>
          <w:rFonts w:ascii="Arial" w:cs="Arial" w:eastAsia="Arial" w:hAnsi="Arial"/>
          <w:b w:val="false"/>
          <w:bCs w:val="false"/>
          <w:i w:val="false"/>
          <w:iCs w:val="false"/>
          <w:color w:val="1c2530"/>
          <w:sz w:val="20"/>
          <w:szCs w:val="20"/>
        </w:rPr>
        <w:t xml:space="preserve">granulo mesurée, humidités, saisons/météo, modes, réglages machines, plafonds de marché, objectifs, coefficients de calibration, capacités installées, heures/disponibilité.</w:t>
      </w:r>
    </w:p>
    <w:p>
      <w:pPr>
        <w:pStyle w:val="Heading2"/>
        <w:spacing w:after="70" w:before="180"/>
      </w:pPr>
      <w:r>
        <w:rPr>
          <w:rFonts w:ascii="Arial" w:cs="Arial" w:eastAsia="Arial" w:hAnsi="Arial"/>
          <w:b/>
          <w:bCs/>
          <w:color w:val="22406e"/>
          <w:sz w:val="23"/>
          <w:szCs w:val="23"/>
        </w:rPr>
        <w:t xml:space="preserve">Critères d'acceptation</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Bouclage masse + eau automatique à chaque scénario (tolérance stricte).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Reproduction des cas de référence documentés (chapitre 9).</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Tests automatisés + cas de référence livrés avec le code.</w:t>
      </w:r>
    </w:p>
    <w:p>
      <w:pPr>
        <w:pStyle w:val="Heading1"/>
        <w:pageBreakBefore/>
        <w:spacing w:after="130" w:before="300"/>
      </w:pPr>
      <w:r>
        <w:rPr>
          <w:rFonts w:ascii="Arial" w:cs="Arial" w:eastAsia="Arial" w:hAnsi="Arial"/>
          <w:b/>
          <w:bCs/>
          <w:color w:val="1b2a4a"/>
          <w:sz w:val="28"/>
          <w:szCs w:val="28"/>
        </w:rPr>
        <w:t xml:space="preserve">1.  Conventions générales</w:t>
      </w:r>
    </w:p>
    <w:p>
      <w:pPr>
        <w:pStyle w:val="Heading2"/>
        <w:spacing w:after="70" w:before="180"/>
      </w:pPr>
      <w:r>
        <w:rPr>
          <w:rFonts w:ascii="Arial" w:cs="Arial" w:eastAsia="Arial" w:hAnsi="Arial"/>
          <w:b/>
          <w:bCs/>
          <w:color w:val="22406e"/>
          <w:sz w:val="23"/>
          <w:szCs w:val="23"/>
        </w:rPr>
        <w:t xml:space="preserve">1.1  Unités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Grandeur</w:t>
            </w:r>
          </w:p>
        </w:tc>
        <w:tc>
          <w:tcPr>
            <w:tcW w:type="dxa" w:w="2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4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Remarque</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Débits massiques</w:t>
            </w:r>
          </w:p>
        </w:tc>
        <w:tc>
          <w:tcPr>
            <w:tcW w:type="dxa" w:w="2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w:t>
            </w:r>
          </w:p>
        </w:tc>
        <w:tc>
          <w:tcPr>
            <w:tcW w:type="dxa" w:w="4300"/>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Tailles / mailles</w:t>
            </w:r>
          </w:p>
        </w:tc>
        <w:tc>
          <w:tcPr>
            <w:tcW w:type="dxa" w:w="2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Puissances</w:t>
            </w:r>
          </w:p>
        </w:tc>
        <w:tc>
          <w:tcPr>
            <w:tcW w:type="dxa" w:w="2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kW</w:t>
            </w:r>
          </w:p>
        </w:tc>
        <w:tc>
          <w:tcPr>
            <w:tcW w:type="dxa" w:w="4300"/>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Proportions</w:t>
            </w:r>
          </w:p>
        </w:tc>
        <w:tc>
          <w:tcPr>
            <w:tcW w:type="dxa" w:w="2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MASSIQUES sauf mention « vol. »</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Densités apparentes</w:t>
            </w:r>
          </w:p>
        </w:tc>
        <w:tc>
          <w:tcPr>
            <w:tcW w:type="dxa" w:w="2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t/m³</w:t>
            </w:r>
          </w:p>
        </w:tc>
        <w:tc>
          <w:tcPr>
            <w:tcW w:type="dxa" w:w="4300"/>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Énergie spécifique</w:t>
            </w:r>
          </w:p>
        </w:tc>
        <w:tc>
          <w:tcPr>
            <w:tcW w:type="dxa" w:w="2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kWh/t</w:t>
            </w:r>
          </w:p>
        </w:tc>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Températures</w:t>
            </w:r>
          </w:p>
        </w:tc>
        <w:tc>
          <w:tcPr>
            <w:tcW w:type="dxa" w:w="2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w:t>
            </w:r>
          </w:p>
        </w:tc>
        <w:tc>
          <w:tcPr>
            <w:tcW w:type="dxa" w:w="4300"/>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Temps</w:t>
            </w:r>
          </w:p>
        </w:tc>
        <w:tc>
          <w:tcPr>
            <w:tcW w:type="dxa" w:w="2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h</w:t>
            </w:r>
          </w:p>
        </w:tc>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Tonnages par période</w:t>
            </w:r>
          </w:p>
        </w:tc>
        <w:tc>
          <w:tcPr>
            <w:tcW w:type="dxa" w:w="2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w:t>
            </w:r>
          </w:p>
        </w:tc>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sur la base de temps choisie</w:t>
            </w:r>
          </w:p>
        </w:tc>
      </w:tr>
    </w:tbl>
    <w:p>
      <w:pPr>
        <w:pStyle w:val="Heading2"/>
        <w:spacing w:after="70" w:before="180"/>
      </w:pPr>
      <w:r>
        <w:rPr>
          <w:rFonts w:ascii="Arial" w:cs="Arial" w:eastAsia="Arial" w:hAnsi="Arial"/>
          <w:b/>
          <w:bCs/>
          <w:color w:val="22406e"/>
          <w:sz w:val="23"/>
          <w:szCs w:val="23"/>
        </w:rPr>
        <w:t xml:space="preserve">1.2  Série de mailles de référence (validée)</w:t>
      </w:r>
    </w:p>
    <w:p>
      <w:pPr>
        <w:spacing w:after="110" w:before="0" w:line="274"/>
      </w:pPr>
      <w:r>
        <w:rPr>
          <w:rFonts w:ascii="Arial" w:cs="Arial" w:eastAsia="Arial" w:hAnsi="Arial"/>
          <w:b w:val="false"/>
          <w:bCs w:val="false"/>
          <w:i w:val="false"/>
          <w:iCs w:val="false"/>
          <w:color w:val="1c2530"/>
          <w:sz w:val="20"/>
          <w:szCs w:val="20"/>
        </w:rPr>
        <w:t xml:space="preserve">Toutes les courbes du modèle sont exprimées sur cette série unique, qui porte chaque point de coupe de l'usine (0,1 · 1,5 · 1,7 · 2 · 4 · 5 · 15 · 20 · 35 · 40 · 80 mm) et couvre le tout-venant jusqu'à ~200 mm :</w:t>
      </w:r>
    </w:p>
    <w:p>
      <w:pPr>
        <w:spacing w:after="60" w:before="40" w:line="264"/>
        <w:ind w:left="200"/>
      </w:pPr>
      <w:r>
        <w:rPr>
          <w:rFonts w:ascii="Consolas" w:cs="Consolas" w:eastAsia="Consolas" w:hAnsi="Consolas"/>
          <w:color w:val="1b2a4a"/>
          <w:sz w:val="19"/>
          <w:szCs w:val="19"/>
        </w:rPr>
        <w:t xml:space="preserve">0,063 – 0,100 – 0,125 – 0,25 – 0,5 – 1,0 – 1,5 – 1,7 – 2,0 – 2,8 – 4,0 – 5,0 – 6,3 – 8,0 – 10 – 12,5 – 15 – 20 – 25 – 31,5 – 35 – 40 – 50 – 63 – 80 – 100 – 125 – 160 – 200  mm</w:t>
      </w:r>
    </w:p>
    <w:p>
      <w:pPr>
        <w:pStyle w:val="Heading2"/>
        <w:spacing w:after="70" w:before="180"/>
      </w:pPr>
      <w:r>
        <w:rPr>
          <w:rFonts w:ascii="Arial" w:cs="Arial" w:eastAsia="Arial" w:hAnsi="Arial"/>
          <w:b/>
          <w:bCs/>
          <w:color w:val="22406e"/>
          <w:sz w:val="23"/>
          <w:szCs w:val="23"/>
        </w:rPr>
        <w:t xml:space="preserve">1.3  Convention de courbe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Courbe granulométrique = % PASSANT CUMULÉ à chaque maille.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Représentation : mailles en log, passant linéaire 0–100 %.</w:t>
      </w:r>
    </w:p>
    <w:p>
      <w:pPr>
        <w:pStyle w:val="Heading2"/>
        <w:spacing w:after="70" w:before="180"/>
      </w:pPr>
      <w:r>
        <w:rPr>
          <w:rFonts w:ascii="Arial" w:cs="Arial" w:eastAsia="Arial" w:hAnsi="Arial"/>
          <w:b/>
          <w:bCs/>
          <w:color w:val="22406e"/>
          <w:sz w:val="23"/>
          <w:szCs w:val="23"/>
        </w:rPr>
        <w:t xml:space="preserve">1.4  Humidité et matière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Humidité en BASE HUMIDE : 8 % = 8 kg d'eau / 100 kg de matière humide.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Grandeur conservée = SOLIDE SEC ; l'eau est un flux séparé, retirée uniquement au séchoir.</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Bilan bouclé : solides secs entrée = sortie ; eau entrée = eau des produits humides + vapeur.</w:t>
      </w:r>
    </w:p>
    <w:p>
      <w:pPr>
        <w:pStyle w:val="Heading1"/>
        <w:pageBreakBefore/>
        <w:spacing w:after="130" w:before="300"/>
      </w:pPr>
      <w:r>
        <w:rPr>
          <w:rFonts w:ascii="Arial" w:cs="Arial" w:eastAsia="Arial" w:hAnsi="Arial"/>
          <w:b/>
          <w:bCs/>
          <w:color w:val="1b2a4a"/>
          <w:sz w:val="28"/>
          <w:szCs w:val="28"/>
        </w:rPr>
        <w:t xml:space="preserve">2.  Codification des machines</w:t>
      </w:r>
    </w:p>
    <w:p>
      <w:pPr>
        <w:spacing w:after="110" w:before="0" w:line="274"/>
      </w:pPr>
      <w:r>
        <w:rPr>
          <w:rFonts w:ascii="Arial" w:cs="Arial" w:eastAsia="Arial" w:hAnsi="Arial"/>
          <w:b w:val="false"/>
          <w:bCs w:val="false"/>
          <w:i w:val="false"/>
          <w:iCs w:val="false"/>
          <w:color w:val="1c2530"/>
          <w:sz w:val="20"/>
          <w:szCs w:val="20"/>
        </w:rPr>
        <w:t xml:space="preserve">Un code = une machine physique. Zone 1.3 : tags du bureau d'études (PFD « DBR »). Zones 1.1 / 1.2 : tags des PFD existants.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000"/>
      </w:tblGrid>
      <w:tr>
        <w:trPr>
          <w:tblHeader/>
        </w:trPr>
        <w:tc>
          <w:tcPr>
            <w:tcW w:type="dxa" w:w="1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Code</w:t>
            </w:r>
          </w:p>
        </w:tc>
        <w:tc>
          <w:tcPr>
            <w:tcW w:type="dxa" w:w="12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Zone</w:t>
            </w:r>
          </w:p>
        </w:tc>
        <w:tc>
          <w:tcPr>
            <w:tcW w:type="dxa" w:w="6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Type</w:t>
            </w:r>
          </w:p>
        </w:tc>
      </w:tr>
      <w:tr>
        <w:trPr>
          <w:tblHeader w:val="false"/>
        </w:trPr>
        <w:tc>
          <w:tcPr>
            <w:tcW w:type="dxa" w:w="1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CR.5003</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1.1</w:t>
            </w:r>
          </w:p>
        </w:tc>
        <w:tc>
          <w:tcPr>
            <w:tcW w:type="dxa" w:w="6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Concasseur à mâchoires</w:t>
            </w:r>
          </w:p>
        </w:tc>
      </w:tr>
      <w:tr>
        <w:trPr>
          <w:tblHeader w:val="false"/>
        </w:trPr>
        <w:tc>
          <w:tcPr>
            <w:tcW w:type="dxa" w:w="1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SR.5007</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1.1</w:t>
            </w:r>
          </w:p>
        </w:tc>
        <w:tc>
          <w:tcPr>
            <w:tcW w:type="dxa" w:w="6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Crible double étage (35 / 20 mm)</w:t>
            </w:r>
          </w:p>
        </w:tc>
      </w:tr>
      <w:tr>
        <w:trPr>
          <w:tblHeader w:val="false"/>
        </w:trPr>
        <w:tc>
          <w:tcPr>
            <w:tcW w:type="dxa" w:w="1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CR.5009</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1.1</w:t>
            </w:r>
          </w:p>
        </w:tc>
        <w:tc>
          <w:tcPr>
            <w:tcW w:type="dxa" w:w="6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Concasseur à rouleaux dentés</w:t>
            </w:r>
          </w:p>
        </w:tc>
      </w:tr>
      <w:tr>
        <w:trPr>
          <w:tblHeader w:val="false"/>
        </w:trPr>
        <w:tc>
          <w:tcPr>
            <w:tcW w:type="dxa" w:w="1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CR.5011</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1.1</w:t>
            </w:r>
          </w:p>
        </w:tc>
        <w:tc>
          <w:tcPr>
            <w:tcW w:type="dxa" w:w="6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Concasseur à percussion (HAZEMAG AP-S 1010)</w:t>
            </w:r>
          </w:p>
        </w:tc>
      </w:tr>
      <w:tr>
        <w:trPr>
          <w:tblHeader w:val="false"/>
        </w:trPr>
        <w:tc>
          <w:tcPr>
            <w:tcW w:type="dxa" w:w="1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DV-5099</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1.1</w:t>
            </w:r>
          </w:p>
        </w:tc>
        <w:tc>
          <w:tcPr>
            <w:tcW w:type="dxa" w:w="6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Clapet sélecteur de mode (KFS / broyage)</w:t>
            </w:r>
          </w:p>
        </w:tc>
      </w:tr>
      <w:tr>
        <w:trPr>
          <w:tblHeader w:val="false"/>
        </w:trPr>
        <w:tc>
          <w:tcPr>
            <w:tcW w:type="dxa" w:w="1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BF.5101</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1.2</w:t>
            </w:r>
          </w:p>
        </w:tc>
        <w:tc>
          <w:tcPr>
            <w:tcW w:type="dxa" w:w="6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Extracteur de reprise</w:t>
            </w:r>
          </w:p>
        </w:tc>
      </w:tr>
      <w:tr>
        <w:trPr>
          <w:tblHeader w:val="false"/>
        </w:trPr>
        <w:tc>
          <w:tcPr>
            <w:tcW w:type="dxa" w:w="1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SR.5105</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1.2</w:t>
            </w:r>
          </w:p>
        </w:tc>
        <w:tc>
          <w:tcPr>
            <w:tcW w:type="dxa" w:w="6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Crible de reprise (15 / 5 mm)</w:t>
            </w:r>
          </w:p>
        </w:tc>
      </w:tr>
      <w:tr>
        <w:trPr>
          <w:tblHeader w:val="false"/>
        </w:trPr>
        <w:tc>
          <w:tcPr>
            <w:tcW w:type="dxa" w:w="1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CR.5107</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1.2</w:t>
            </w:r>
          </w:p>
        </w:tc>
        <w:tc>
          <w:tcPr>
            <w:tcW w:type="dxa" w:w="6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Concasseur à percussion (boucle AgLime)</w:t>
            </w:r>
          </w:p>
        </w:tc>
      </w:tr>
      <w:tr>
        <w:trPr>
          <w:tblHeader w:val="false"/>
        </w:trPr>
        <w:tc>
          <w:tcPr>
            <w:tcW w:type="dxa" w:w="1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SR.5115</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1.2</w:t>
            </w:r>
          </w:p>
        </w:tc>
        <w:tc>
          <w:tcPr>
            <w:tcW w:type="dxa" w:w="6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Crible fermeur 1,7 mm</w:t>
            </w:r>
          </w:p>
        </w:tc>
      </w:tr>
      <w:tr>
        <w:trPr>
          <w:tblHeader w:val="false"/>
        </w:trPr>
        <w:tc>
          <w:tcPr>
            <w:tcW w:type="dxa" w:w="1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DY.03</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1.3</w:t>
            </w:r>
          </w:p>
        </w:tc>
        <w:tc>
          <w:tcPr>
            <w:tcW w:type="dxa" w:w="6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Séchoir rotatif (+ brûleur BU.04)</w:t>
            </w:r>
          </w:p>
        </w:tc>
      </w:tr>
      <w:tr>
        <w:trPr>
          <w:tblHeader w:val="false"/>
        </w:trPr>
        <w:tc>
          <w:tcPr>
            <w:tcW w:type="dxa" w:w="1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SN.21</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1.3</w:t>
            </w:r>
          </w:p>
        </w:tc>
        <w:tc>
          <w:tcPr>
            <w:tcW w:type="dxa" w:w="6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Crible de classification (4 / 2 / 1,5 mm)</w:t>
            </w:r>
          </w:p>
        </w:tc>
      </w:tr>
      <w:tr>
        <w:trPr>
          <w:tblHeader w:val="false"/>
        </w:trPr>
        <w:tc>
          <w:tcPr>
            <w:tcW w:type="dxa" w:w="1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ML.26</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1.3</w:t>
            </w:r>
          </w:p>
        </w:tc>
        <w:tc>
          <w:tcPr>
            <w:tcW w:type="dxa" w:w="6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Broyeur à cylindres dentés (grits, boucle fermée)</w:t>
            </w:r>
          </w:p>
        </w:tc>
      </w:tr>
      <w:tr>
        <w:trPr>
          <w:tblHeader w:val="false"/>
        </w:trPr>
        <w:tc>
          <w:tcPr>
            <w:tcW w:type="dxa" w:w="1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SP.36</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1.3</w:t>
            </w:r>
          </w:p>
        </w:tc>
        <w:tc>
          <w:tcPr>
            <w:tcW w:type="dxa" w:w="6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Séparateur à air (classification UltraFin)</w:t>
            </w:r>
          </w:p>
        </w:tc>
      </w:tr>
      <w:tr>
        <w:trPr>
          <w:tblHeader w:val="false"/>
        </w:trPr>
        <w:tc>
          <w:tcPr>
            <w:tcW w:type="dxa" w:w="1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CL.38</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1.3</w:t>
            </w:r>
          </w:p>
        </w:tc>
        <w:tc>
          <w:tcPr>
            <w:tcW w:type="dxa" w:w="6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Cyclones (produit fin UltraFin)</w:t>
            </w:r>
          </w:p>
        </w:tc>
      </w:tr>
    </w:tbl>
    <w:p>
      <w:pPr>
        <w:spacing w:after="110" w:before="0" w:line="274"/>
      </w:pPr>
      <w:r>
        <w:rPr>
          <w:rFonts w:ascii="Arial" w:cs="Arial" w:eastAsia="Arial" w:hAnsi="Arial"/>
          <w:b w:val="false"/>
          <w:bCs w:val="false"/>
          <w:i/>
          <w:iCs/>
          <w:color w:val="5b6675"/>
          <w:sz w:val="17"/>
          <w:szCs w:val="17"/>
        </w:rPr>
        <w:t xml:space="preserve">ML.30 (Unirotor) et DV.10 du PFD initial sont SUPPRIMÉS. L'UltraFin est obtenu par classification du 0-1,5 mm dans SP.36 + CL.38, sans broyage.</w:t>
      </w:r>
    </w:p>
    <w:p>
      <w:pPr>
        <w:pStyle w:val="Heading1"/>
        <w:pageBreakBefore/>
        <w:spacing w:after="130" w:before="300"/>
      </w:pPr>
      <w:r>
        <w:rPr>
          <w:rFonts w:ascii="Arial" w:cs="Arial" w:eastAsia="Arial" w:hAnsi="Arial"/>
          <w:b/>
          <w:bCs/>
          <w:color w:val="1b2a4a"/>
          <w:sz w:val="28"/>
          <w:szCs w:val="28"/>
        </w:rPr>
        <w:t xml:space="preserve">3.  Fiche par machine</w:t>
      </w:r>
    </w:p>
    <w:p>
      <w:pPr>
        <w:spacing w:after="110" w:before="0" w:line="274"/>
      </w:pPr>
      <w:r>
        <w:rPr>
          <w:rFonts w:ascii="Arial" w:cs="Arial" w:eastAsia="Arial" w:hAnsi="Arial"/>
          <w:b w:val="false"/>
          <w:bCs w:val="false"/>
          <w:i w:val="false"/>
          <w:iCs w:val="false"/>
          <w:color w:val="1c2530"/>
          <w:sz w:val="20"/>
          <w:szCs w:val="20"/>
        </w:rPr>
        <w:t xml:space="preserve">Les modèles de calcul communs (§ 3.0) portent le détail des formules et la définition de chaque symbole. Chaque fiche machine (§ 3.1 et suivants) renvoie au modèle utilisé et fournit ses paramètres. Les coefficients marqués [H] sont des valeurs par défaut issues de la littérature, à confirmer par essai (paramètres tunables, non codés en dur).</w:t>
      </w:r>
    </w:p>
    <w:p>
      <w:pPr>
        <w:pStyle w:val="Heading2"/>
        <w:spacing w:after="70" w:before="180"/>
      </w:pPr>
      <w:r>
        <w:rPr>
          <w:rFonts w:ascii="Arial" w:cs="Arial" w:eastAsia="Arial" w:hAnsi="Arial"/>
          <w:b/>
          <w:bCs/>
          <w:color w:val="22406e"/>
          <w:sz w:val="23"/>
          <w:szCs w:val="23"/>
        </w:rPr>
        <w:t xml:space="preserve">3.0  Modèles de calcul communs</w:t>
      </w:r>
    </w:p>
    <w:p>
      <w:pPr>
        <w:pStyle w:val="Heading3"/>
        <w:spacing w:after="50" w:before="140"/>
      </w:pPr>
      <w:r>
        <w:rPr>
          <w:rFonts w:ascii="Arial" w:cs="Arial" w:eastAsia="Arial" w:hAnsi="Arial"/>
          <w:b/>
          <w:bCs/>
          <w:color w:val="1c2530"/>
          <w:sz w:val="21"/>
          <w:szCs w:val="21"/>
        </w:rPr>
        <w:t xml:space="preserve">M1 — Concassage (produit Rosin-Rammler tronqué)</w:t>
      </w:r>
    </w:p>
    <w:p>
      <w:pPr>
        <w:spacing w:after="60" w:before="40" w:line="264"/>
        <w:ind w:left="200"/>
      </w:pPr>
      <w:r>
        <w:rPr>
          <w:rFonts w:ascii="Consolas" w:cs="Consolas" w:eastAsia="Consolas" w:hAnsi="Consolas"/>
          <w:color w:val="1b2a4a"/>
          <w:sz w:val="19"/>
          <w:szCs w:val="19"/>
        </w:rPr>
        <w:t xml:space="preserve">xc = x80 / (ln 5)^(1/n)</w:t>
      </w:r>
    </w:p>
    <w:p>
      <w:pPr>
        <w:spacing w:after="60" w:before="40" w:line="264"/>
        <w:ind w:left="200"/>
      </w:pPr>
      <w:r>
        <w:rPr>
          <w:rFonts w:ascii="Consolas" w:cs="Consolas" w:eastAsia="Consolas" w:hAnsi="Consolas"/>
          <w:color w:val="1b2a4a"/>
          <w:sz w:val="19"/>
          <w:szCs w:val="19"/>
        </w:rPr>
        <w:t xml:space="preserve">P(x) = 1 − exp( −(x / xc)^n )      (passant cumulé du produit)</w:t>
      </w:r>
    </w:p>
    <w:p>
      <w:pPr>
        <w:spacing w:after="110" w:before="0" w:line="274"/>
      </w:pPr>
      <w:r>
        <w:rPr>
          <w:rFonts w:ascii="Arial" w:cs="Arial" w:eastAsia="Arial" w:hAnsi="Arial"/>
          <w:b w:val="false"/>
          <w:bCs w:val="false"/>
          <w:i w:val="false"/>
          <w:iCs w:val="false"/>
          <w:color w:val="1c2530"/>
          <w:sz w:val="18"/>
          <w:szCs w:val="18"/>
        </w:rPr>
        <w:t xml:space="preserve">Le produit est tronqué au-dessus de 1,7·x80 (masse réétalée) ; la fraction du flux plus fine que x80 passe inchangée.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4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Symbole</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5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Définition</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taille de particule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x80</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passant 80 % du produit (fixée par la machine)</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n</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uniformité Rosin-Rammler</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xc</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taille caractéristique</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passant cumulé</w:t>
            </w:r>
          </w:p>
        </w:tc>
      </w:tr>
    </w:tbl>
    <w:p>
      <w:pPr>
        <w:pStyle w:val="Heading3"/>
        <w:spacing w:after="50" w:before="140"/>
      </w:pPr>
      <w:r>
        <w:rPr>
          <w:rFonts w:ascii="Arial" w:cs="Arial" w:eastAsia="Arial" w:hAnsi="Arial"/>
          <w:b/>
          <w:bCs/>
          <w:color w:val="1c2530"/>
          <w:sz w:val="21"/>
          <w:szCs w:val="21"/>
        </w:rPr>
        <w:t xml:space="preserve">M2 — Puissance (loi de Bond)</w:t>
      </w:r>
    </w:p>
    <w:p>
      <w:pPr>
        <w:spacing w:after="60" w:before="40" w:line="264"/>
        <w:ind w:left="200"/>
      </w:pPr>
      <w:r>
        <w:rPr>
          <w:rFonts w:ascii="Consolas" w:cs="Consolas" w:eastAsia="Consolas" w:hAnsi="Consolas"/>
          <w:color w:val="1b2a4a"/>
          <w:sz w:val="19"/>
          <w:szCs w:val="19"/>
        </w:rPr>
        <w:t xml:space="preserve">W = 10 · Wi · ( 1/√P80 − 1/√F80 )      [P80, F80 en µm]</w:t>
      </w:r>
    </w:p>
    <w:p>
      <w:pPr>
        <w:spacing w:after="60" w:before="40" w:line="264"/>
        <w:ind w:left="200"/>
      </w:pPr>
      <w:r>
        <w:rPr>
          <w:rFonts w:ascii="Consolas" w:cs="Consolas" w:eastAsia="Consolas" w:hAnsi="Consolas"/>
          <w:color w:val="1b2a4a"/>
          <w:sz w:val="19"/>
          <w:szCs w:val="19"/>
        </w:rPr>
        <w:t xml:space="preserve">P_net = W · Q     ;     P_inst = P_net / η_m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4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Symbole</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5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Définition</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kWh/t</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énergie spécifique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Wi</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kWh/t</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indice de Bond (défaut 12,54)</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F80 / P80</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µm</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passant 80 % alimentation / produit</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Q</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débit traité</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η_m</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rendement mécanique (net→installé, défaut 0,75)</w:t>
            </w:r>
          </w:p>
        </w:tc>
      </w:tr>
    </w:tbl>
    <w:p>
      <w:pPr>
        <w:pStyle w:val="Heading3"/>
        <w:spacing w:after="50" w:before="140"/>
      </w:pPr>
      <w:r>
        <w:rPr>
          <w:rFonts w:ascii="Arial" w:cs="Arial" w:eastAsia="Arial" w:hAnsi="Arial"/>
          <w:b/>
          <w:bCs/>
          <w:color w:val="1c2530"/>
          <w:sz w:val="21"/>
          <w:szCs w:val="21"/>
        </w:rPr>
        <w:t xml:space="preserve">M3 — Partition de crible (Karra)</w:t>
      </w:r>
    </w:p>
    <w:p>
      <w:pPr>
        <w:spacing w:after="60" w:before="40" w:line="264"/>
        <w:ind w:left="200"/>
      </w:pPr>
      <w:r>
        <w:rPr>
          <w:rFonts w:ascii="Consolas" w:cs="Consolas" w:eastAsia="Consolas" w:hAnsi="Consolas"/>
          <w:color w:val="1b2a4a"/>
          <w:sz w:val="19"/>
          <w:szCs w:val="19"/>
        </w:rPr>
        <w:t xml:space="preserve">d50c = a · k_d     ;     s = ln 9 / ln(1/I)</w:t>
      </w:r>
    </w:p>
    <w:p>
      <w:pPr>
        <w:spacing w:after="60" w:before="40" w:line="264"/>
        <w:ind w:left="200"/>
      </w:pPr>
      <w:r>
        <w:rPr>
          <w:rFonts w:ascii="Consolas" w:cs="Consolas" w:eastAsia="Consolas" w:hAnsi="Consolas"/>
          <w:color w:val="1b2a4a"/>
          <w:sz w:val="19"/>
          <w:szCs w:val="19"/>
        </w:rPr>
        <w:t xml:space="preserve">ro(x) = 1 / ( 1 + (d50c / x)^s )      refus = f·ro   ;   passant = f·(1−ro)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4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Symbole</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5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Définition</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du crible (réglage)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k_d</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facteur d50c (défaut 1,0)</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imperfection (défaut 0,60 sec ; augmente si humide)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netteté de coupure</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ro</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probabilité de refus</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débit de la tranche</w:t>
            </w:r>
          </w:p>
        </w:tc>
      </w:tr>
    </w:tbl>
    <w:p>
      <w:pPr>
        <w:spacing w:after="110" w:before="0" w:line="274"/>
      </w:pPr>
      <w:r>
        <w:rPr>
          <w:rFonts w:ascii="Arial" w:cs="Arial" w:eastAsia="Arial" w:hAnsi="Arial"/>
          <w:b w:val="false"/>
          <w:bCs w:val="false"/>
          <w:i/>
          <w:iCs/>
          <w:color w:val="5b6675"/>
          <w:sz w:val="17"/>
          <w:szCs w:val="17"/>
        </w:rPr>
        <w:t xml:space="preserve">Effet pluie : sur les coupures fines (1,7 mm humide), I se dégrade fortement (jusqu'à ~0,9) et la capacité chute — d'où l'impossibilité de faire l'AgLime sous la pluie.</w:t>
      </w:r>
    </w:p>
    <w:p>
      <w:pPr>
        <w:pStyle w:val="Heading3"/>
        <w:spacing w:after="50" w:before="140"/>
      </w:pPr>
      <w:r>
        <w:rPr>
          <w:rFonts w:ascii="Arial" w:cs="Arial" w:eastAsia="Arial" w:hAnsi="Arial"/>
          <w:b/>
          <w:bCs/>
          <w:color w:val="1c2530"/>
          <w:sz w:val="21"/>
          <w:szCs w:val="21"/>
        </w:rPr>
        <w:t xml:space="preserve">M4 — Surface de crible (VSMA / Fontaine)</w:t>
      </w:r>
    </w:p>
    <w:p>
      <w:pPr>
        <w:spacing w:after="60" w:before="40" w:line="264"/>
        <w:ind w:left="200"/>
      </w:pPr>
      <w:r>
        <w:rPr>
          <w:rFonts w:ascii="Consolas" w:cs="Consolas" w:eastAsia="Consolas" w:hAnsi="Consolas"/>
          <w:color w:val="1b2a4a"/>
          <w:sz w:val="19"/>
          <w:szCs w:val="19"/>
        </w:rPr>
        <w:t xml:space="preserve">Qb = 14 · a^0,6      ;      A = (U · f_p) / (Qb · f0)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4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Symbole</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5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Définition</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m²</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surface requise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Qb</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t/h/m²</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capacité de base</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débit de passant à travers l'étage</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f_p</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facteur de pointe (défaut 1,20)</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f0</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facteur de correction global (défaut 0,347 [H], calé sur SR.5007)</w:t>
            </w:r>
          </w:p>
        </w:tc>
      </w:tr>
    </w:tbl>
    <w:p>
      <w:pPr>
        <w:pStyle w:val="Heading3"/>
        <w:spacing w:after="50" w:before="140"/>
      </w:pPr>
      <w:r>
        <w:rPr>
          <w:rFonts w:ascii="Arial" w:cs="Arial" w:eastAsia="Arial" w:hAnsi="Arial"/>
          <w:b/>
          <w:bCs/>
          <w:color w:val="1c2530"/>
          <w:sz w:val="21"/>
          <w:szCs w:val="21"/>
        </w:rPr>
        <w:t xml:space="preserve">M5 — Fragmentation par impact (t10 → n)</w:t>
      </w:r>
    </w:p>
    <w:p>
      <w:pPr>
        <w:spacing w:after="60" w:before="40" w:line="264"/>
        <w:ind w:left="200"/>
      </w:pPr>
      <w:r>
        <w:rPr>
          <w:rFonts w:ascii="Consolas" w:cs="Consolas" w:eastAsia="Consolas" w:hAnsi="Consolas"/>
          <w:color w:val="1b2a4a"/>
          <w:sz w:val="19"/>
          <w:szCs w:val="19"/>
        </w:rPr>
        <w:t xml:space="preserve">Ecs = v² / 7200     ;     t10 = A_j · ( 1 − exp(−b_j · Ecs) )     ;     n = max( 0,65 ; (30 / t10)^0,30 )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4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Symbole</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5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Définition</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m/s</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vitesse périphérique de rotor (réglage, variateur)</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Ecs</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kWh/t</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énergie spécifique d'impact</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t10</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finesse JKMRC</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A_j , b_j</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paramètres JKMRC (défauts 60 ; 0,80 [H])</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n</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uniformité du produit (→ M1) ; x80 = CSS de la machine</w:t>
            </w:r>
          </w:p>
        </w:tc>
      </w:tr>
    </w:tbl>
    <w:p>
      <w:pPr>
        <w:pStyle w:val="Heading3"/>
        <w:spacing w:after="50" w:before="140"/>
      </w:pPr>
      <w:r>
        <w:rPr>
          <w:rFonts w:ascii="Arial" w:cs="Arial" w:eastAsia="Arial" w:hAnsi="Arial"/>
          <w:b/>
          <w:bCs/>
          <w:color w:val="1c2530"/>
          <w:sz w:val="21"/>
          <w:szCs w:val="21"/>
        </w:rPr>
        <w:t xml:space="preserve">M6 — Séchage (bilan hydrique + thermique)</w:t>
      </w:r>
    </w:p>
    <w:p>
      <w:pPr>
        <w:spacing w:after="60" w:before="40" w:line="264"/>
        <w:ind w:left="200"/>
      </w:pPr>
      <w:r>
        <w:rPr>
          <w:rFonts w:ascii="Consolas" w:cs="Consolas" w:eastAsia="Consolas" w:hAnsi="Consolas"/>
          <w:color w:val="1b2a4a"/>
          <w:sz w:val="19"/>
          <w:szCs w:val="19"/>
        </w:rPr>
        <w:t xml:space="preserve">sec = W_h·(1 − m_in/100)   ;   W_out = sec/(1 − m_out/100)   ;   E = W_h − W_out</w:t>
      </w:r>
    </w:p>
    <w:p>
      <w:pPr>
        <w:spacing w:after="60" w:before="40" w:line="264"/>
        <w:ind w:left="200"/>
      </w:pPr>
      <w:r>
        <w:rPr>
          <w:rFonts w:ascii="Consolas" w:cs="Consolas" w:eastAsia="Consolas" w:hAnsi="Consolas"/>
          <w:color w:val="1b2a4a"/>
          <w:sz w:val="19"/>
          <w:szCs w:val="19"/>
        </w:rPr>
        <w:t xml:space="preserve">Q = E·(L_v + c_e·ΔT_e) + sec·c_s·ΔT_s      ;      P_br = Q / η_th      ;      V_tambour = E / I_év</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4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Symbole</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5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Définition</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W_h</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débit humide entrée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m_in / m_out</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humidité base humide entrée / sortie (m_out défaut 0,5)</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sec</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solides secs</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t/h</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eau évaporée (vapeur)</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L_v</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kJ/kg</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chaleur latente eau (2257)</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c_e / c_s</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kJ/kg·K</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capacités eau (4,18) / solide (0,90)</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ΔT_e / ΔT_s</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échauffements eau / solide [H]</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η_th</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rendement thermique (défaut 0,60 [H])</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I_év</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kg/m³·h</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intensité d'évaporation (défaut 45 [H])</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P_br</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kW</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puissance brûleur</w:t>
            </w:r>
          </w:p>
        </w:tc>
      </w:tr>
    </w:tbl>
    <w:p>
      <w:pPr>
        <w:pStyle w:val="Heading3"/>
        <w:spacing w:after="50" w:before="140"/>
      </w:pPr>
      <w:r>
        <w:rPr>
          <w:rFonts w:ascii="Arial" w:cs="Arial" w:eastAsia="Arial" w:hAnsi="Arial"/>
          <w:b/>
          <w:bCs/>
          <w:color w:val="1c2530"/>
          <w:sz w:val="21"/>
          <w:szCs w:val="21"/>
        </w:rPr>
        <w:t xml:space="preserve">M7 — Broyeur à cylindres en lit (ML.26)</w:t>
      </w:r>
    </w:p>
    <w:p>
      <w:pPr>
        <w:spacing w:after="110" w:before="0" w:line="274"/>
      </w:pPr>
      <w:r>
        <w:rPr>
          <w:rFonts w:ascii="Arial" w:cs="Arial" w:eastAsia="Arial" w:hAnsi="Arial"/>
          <w:b w:val="false"/>
          <w:bCs w:val="false"/>
          <w:i w:val="false"/>
          <w:iCs w:val="false"/>
          <w:color w:val="1c2530"/>
          <w:sz w:val="18"/>
          <w:szCs w:val="18"/>
        </w:rPr>
        <w:t xml:space="preserve">En circuit fermé avec SN.21. Deux mécanismes par passe : (1) COMPRESSION du + gap → produit Rosin-Rammler (M1, x80 = gap) ; (2) ATTRITION inter-particulaire du lit → fines. Paramètres [H] : comp_lam (taux de compression, défaut 4,11), S_att (attrition par passe, défaut 0,206). À caler par essai ; fournir en abaque (interpolation linéaire) si disponible.</w:t>
      </w:r>
    </w:p>
    <w:p>
      <w:pPr>
        <w:pStyle w:val="Heading3"/>
        <w:spacing w:after="50" w:before="140"/>
      </w:pPr>
      <w:r>
        <w:rPr>
          <w:rFonts w:ascii="Arial" w:cs="Arial" w:eastAsia="Arial" w:hAnsi="Arial"/>
          <w:b/>
          <w:bCs/>
          <w:color w:val="1c2530"/>
          <w:sz w:val="21"/>
          <w:szCs w:val="21"/>
        </w:rPr>
        <w:t xml:space="preserve">M8 — Classification à air + cyclone (SP.36 + CL.38)</w:t>
      </w:r>
    </w:p>
    <w:p>
      <w:pPr>
        <w:spacing w:after="60" w:before="40" w:line="264"/>
        <w:ind w:left="200"/>
      </w:pPr>
      <w:r>
        <w:rPr>
          <w:rFonts w:ascii="Consolas" w:cs="Consolas" w:eastAsia="Consolas" w:hAnsi="Consolas"/>
          <w:color w:val="1b2a4a"/>
          <w:sz w:val="19"/>
          <w:szCs w:val="19"/>
        </w:rPr>
        <w:t xml:space="preserve">produit_fin = feed · Φ(&lt;coupe) · η_cl      ;      Q_air = produit_fin / λ</w:t>
      </w:r>
    </w:p>
    <w:p>
      <w:pPr>
        <w:spacing w:after="60" w:before="40" w:line="264"/>
        <w:ind w:left="200"/>
      </w:pPr>
      <w:r>
        <w:rPr>
          <w:rFonts w:ascii="Consolas" w:cs="Consolas" w:eastAsia="Consolas" w:hAnsi="Consolas"/>
          <w:color w:val="1b2a4a"/>
          <w:sz w:val="19"/>
          <w:szCs w:val="19"/>
        </w:rPr>
        <w:t xml:space="preserve">cyclone : d50 = √( 9·µ·b / (2π·N_e·v_in·(ρ_p − ρ_a))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4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Symbole</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5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Définition</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coupe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µm</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coupe du classificateur (≈ 0,65·d97 cible)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Φ(&lt;coupe)</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fraction naturelle du feed sous la coupe [À MESURER]</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η_cl</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rendement d'extraction (défaut 0,75 [H])</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λ</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kg/m³</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chargement solide de l'air (défaut 0,5 [H])</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Q_air</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m³/h</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débit d'air</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b</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largeur d'entrée cyclone</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N_e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nombre de tours effectifs (défaut 5)</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v_in</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m/s</w:t>
            </w:r>
          </w:p>
        </w:tc>
        <w:tc>
          <w:tcPr>
            <w:tcW w:type="dxa" w:w="5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vitesse d'entrée (défaut 15)</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ρ_p / ρ_a</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kg/m³</w:t>
            </w:r>
          </w:p>
        </w:tc>
        <w:tc>
          <w:tcPr>
            <w:tcW w:type="dxa" w:w="5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densité particule / air</w:t>
            </w:r>
          </w:p>
        </w:tc>
      </w:tr>
    </w:tbl>
    <w:p>
      <w:pPr>
        <w:pStyle w:val="Heading2"/>
        <w:spacing w:after="70" w:before="180"/>
      </w:pPr>
      <w:r>
        <w:rPr>
          <w:rFonts w:ascii="Arial" w:cs="Arial" w:eastAsia="Arial" w:hAnsi="Arial"/>
          <w:b/>
          <w:bCs/>
          <w:color w:val="22406e"/>
          <w:sz w:val="23"/>
          <w:szCs w:val="23"/>
        </w:rPr>
        <w:t xml:space="preserve">3.1 à 3.12  Fiches machines</w:t>
      </w:r>
    </w:p>
    <w:p>
      <w:pPr>
        <w:keepNext/>
        <w:spacing w:after="60" w:before="200"/>
      </w:pPr>
      <w:r>
        <w:rPr>
          <w:rFonts w:ascii="Arial" w:cs="Arial" w:eastAsia="Arial" w:hAnsi="Arial"/>
          <w:b/>
          <w:bCs/>
          <w:color w:val="c8962a"/>
          <w:sz w:val="22"/>
          <w:szCs w:val="22"/>
        </w:rPr>
        <w:t xml:space="preserve">CR.5003</w:t>
      </w:r>
      <w:r>
        <w:rPr>
          <w:rFonts w:ascii="Arial" w:cs="Arial" w:eastAsia="Arial" w:hAnsi="Arial"/>
          <w:b/>
          <w:bCs/>
          <w:color w:val="1b2a4a"/>
          <w:sz w:val="22"/>
          <w:szCs w:val="22"/>
        </w:rPr>
        <w:t xml:space="preserve">   — zone 1.1 — concasseur à mâchoires</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 (+80 mm)</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Ouverture (CSS)</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s_CSS</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175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x80 produit</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x80</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Produit : M1 avec x80 (défaut 150 mm) et n (défaut 1,15). Puissance : M2.</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alimentation + 80 mm (refus grizzly).</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alarme si F80 &gt; capacité mâchoires ; débit plafonné.</w:t>
      </w:r>
    </w:p>
    <w:p>
      <w:pPr>
        <w:keepNext/>
        <w:spacing w:after="60" w:before="200"/>
      </w:pPr>
      <w:r>
        <w:rPr>
          <w:rFonts w:ascii="Arial" w:cs="Arial" w:eastAsia="Arial" w:hAnsi="Arial"/>
          <w:b/>
          <w:bCs/>
          <w:color w:val="c8962a"/>
          <w:sz w:val="22"/>
          <w:szCs w:val="22"/>
        </w:rPr>
        <w:t xml:space="preserve">SR.5007</w:t>
      </w:r>
      <w:r>
        <w:rPr>
          <w:rFonts w:ascii="Arial" w:cs="Arial" w:eastAsia="Arial" w:hAnsi="Arial"/>
          <w:b/>
          <w:bCs/>
          <w:color w:val="1b2a4a"/>
          <w:sz w:val="22"/>
          <w:szCs w:val="22"/>
        </w:rPr>
        <w:t xml:space="preserve">   — zone 1.1 — crible double étage 35 / 20 mm</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étage haut</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a₁</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étage bas</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a₂</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30</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Imperfection</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0,4</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0,9</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0,60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Partition : M3 sur chaque étage (a₁ puis a₂). Surface : M4 (étage limitant).</w:t>
      </w:r>
    </w:p>
    <w:p>
      <w:pPr>
        <w:spacing w:after="40" w:before="0" w:line="274"/>
      </w:pPr>
      <w:r>
        <w:rPr>
          <w:rFonts w:ascii="Arial" w:cs="Arial" w:eastAsia="Arial" w:hAnsi="Arial"/>
          <w:b w:val="false"/>
          <w:bCs w:val="false"/>
          <w:i w:val="false"/>
          <w:iCs w:val="false"/>
          <w:color w:val="1c2530"/>
          <w:sz w:val="18"/>
          <w:szCs w:val="18"/>
        </w:rPr>
        <w:t xml:space="preserve">Sorties : +35 (refus), 20-35 (mid = KFS ou broyage), 0-20 (passant).</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coupes 20–35 mm.</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alerte si A requise &gt; surface installée.</w:t>
      </w:r>
    </w:p>
    <w:p>
      <w:pPr>
        <w:keepNext/>
        <w:spacing w:after="60" w:before="200"/>
      </w:pPr>
      <w:r>
        <w:rPr>
          <w:rFonts w:ascii="Arial" w:cs="Arial" w:eastAsia="Arial" w:hAnsi="Arial"/>
          <w:b/>
          <w:bCs/>
          <w:color w:val="c8962a"/>
          <w:sz w:val="22"/>
          <w:szCs w:val="22"/>
        </w:rPr>
        <w:t xml:space="preserve">CR.5009</w:t>
      </w:r>
      <w:r>
        <w:rPr>
          <w:rFonts w:ascii="Arial" w:cs="Arial" w:eastAsia="Arial" w:hAnsi="Arial"/>
          <w:b/>
          <w:bCs/>
          <w:color w:val="1b2a4a"/>
          <w:sz w:val="22"/>
          <w:szCs w:val="22"/>
        </w:rPr>
        <w:t xml:space="preserve">   — zone 1.1 — concasseur à rouleaux dentés</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Gap</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g</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60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x80 produit</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x80</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Produit : M1 avec x80 = f(gap) (défaut 40 mm), n (défaut 1,35). Puissance : M2.</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alimentation ≤ ~150 mm.</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saturation si gap &lt; alimentation nippable.</w:t>
      </w:r>
    </w:p>
    <w:p>
      <w:pPr>
        <w:keepNext/>
        <w:spacing w:after="60" w:before="200"/>
      </w:pPr>
      <w:r>
        <w:rPr>
          <w:rFonts w:ascii="Arial" w:cs="Arial" w:eastAsia="Arial" w:hAnsi="Arial"/>
          <w:b/>
          <w:bCs/>
          <w:color w:val="c8962a"/>
          <w:sz w:val="22"/>
          <w:szCs w:val="22"/>
        </w:rPr>
        <w:t xml:space="preserve">CR.5011</w:t>
      </w:r>
      <w:r>
        <w:rPr>
          <w:rFonts w:ascii="Arial" w:cs="Arial" w:eastAsia="Arial" w:hAnsi="Arial"/>
          <w:b/>
          <w:bCs/>
          <w:color w:val="1b2a4a"/>
          <w:sz w:val="22"/>
          <w:szCs w:val="22"/>
        </w:rPr>
        <w:t xml:space="preserve">   — zone 1.1 — concasseur à percussion (HAZEMAG AP-S 1010)</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 (refus +35)</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Vitesse rotor</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m/s</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60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CSS (x80)</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x80</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30</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Uniformité n : M5 (v → t10 → n). Produit : M1 (x80 = CSS, n). Puissance : M2.</w:t>
      </w:r>
    </w:p>
    <w:p>
      <w:pPr>
        <w:spacing w:after="40" w:before="0" w:line="274"/>
      </w:pPr>
      <w:r>
        <w:rPr>
          <w:rFonts w:ascii="Arial" w:cs="Arial" w:eastAsia="Arial" w:hAnsi="Arial"/>
          <w:b w:val="false"/>
          <w:bCs w:val="false"/>
          <w:i w:val="false"/>
          <w:iCs w:val="false"/>
          <w:color w:val="1c2530"/>
          <w:sz w:val="18"/>
          <w:szCs w:val="18"/>
        </w:rPr>
        <w:t xml:space="preserve">En boucle fermée sur SR.5007.</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capacité réelle ~125 t/h (mode A) ; alimentation +35 mm.</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au-delà de 125 t/h : goulot, alarme capacité.</w:t>
      </w:r>
    </w:p>
    <w:p>
      <w:pPr>
        <w:keepNext/>
        <w:spacing w:after="60" w:before="200"/>
      </w:pPr>
      <w:r>
        <w:rPr>
          <w:rFonts w:ascii="Arial" w:cs="Arial" w:eastAsia="Arial" w:hAnsi="Arial"/>
          <w:b/>
          <w:bCs/>
          <w:color w:val="c8962a"/>
          <w:sz w:val="22"/>
          <w:szCs w:val="22"/>
        </w:rPr>
        <w:t xml:space="preserve">SR.5105</w:t>
      </w:r>
      <w:r>
        <w:rPr>
          <w:rFonts w:ascii="Arial" w:cs="Arial" w:eastAsia="Arial" w:hAnsi="Arial"/>
          <w:b/>
          <w:bCs/>
          <w:color w:val="1b2a4a"/>
          <w:sz w:val="22"/>
          <w:szCs w:val="22"/>
        </w:rPr>
        <w:t xml:space="preserve">   — zone 1.2 — crible de reprise 15 / 5 mm</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 (0/20)</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haute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a₁</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basse</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a₂</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8</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Partition : M3 (a₁, a₂). Sorties : +15, 5-15 (mid), 0-5. Routage selon MODE 2A/2B/2C.</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coupes 5–15 mm.</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alerte surface (M4).</w:t>
      </w:r>
    </w:p>
    <w:p>
      <w:pPr>
        <w:keepNext/>
        <w:spacing w:after="60" w:before="200"/>
      </w:pPr>
      <w:r>
        <w:rPr>
          <w:rFonts w:ascii="Arial" w:cs="Arial" w:eastAsia="Arial" w:hAnsi="Arial"/>
          <w:b/>
          <w:bCs/>
          <w:color w:val="c8962a"/>
          <w:sz w:val="22"/>
          <w:szCs w:val="22"/>
        </w:rPr>
        <w:t xml:space="preserve">CR.5107</w:t>
      </w:r>
      <w:r>
        <w:rPr>
          <w:rFonts w:ascii="Arial" w:cs="Arial" w:eastAsia="Arial" w:hAnsi="Arial"/>
          <w:b/>
          <w:bCs/>
          <w:color w:val="1b2a4a"/>
          <w:sz w:val="22"/>
          <w:szCs w:val="22"/>
        </w:rPr>
        <w:t xml:space="preserve">   — zone 1.2 — concasseur à percussion (boucle AgLime)</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 (refus +1,7)</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Vitesse rotor</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m/s</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60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CSS (x80)</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x80</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3,0</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0,1</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Uniformité n : M5. Produit : M1 (x80 = CSS). Puissance : M2. En boucle fermée sur SR.5115.</w:t>
      </w:r>
    </w:p>
    <w:p>
      <w:pPr>
        <w:spacing w:after="40" w:before="0" w:line="274"/>
      </w:pPr>
      <w:r>
        <w:rPr>
          <w:rFonts w:ascii="Arial" w:cs="Arial" w:eastAsia="Arial" w:hAnsi="Arial"/>
          <w:b w:val="false"/>
          <w:bCs w:val="false"/>
          <w:i w:val="false"/>
          <w:iCs w:val="false"/>
          <w:color w:val="1c2530"/>
          <w:sz w:val="18"/>
          <w:szCs w:val="18"/>
        </w:rPr>
        <w:t xml:space="preserve">Réglage recommandé (charge circulante mini) : CSS ≈ 1,0–1,2 mm, v ≈ 40 m/s.</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fermeture à 1,7 mm ; alimentation +1,7 mm.</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CSS trop grand (&gt;gap utile) → charge circulante explose : alarme.</w:t>
      </w:r>
    </w:p>
    <w:p>
      <w:pPr>
        <w:keepNext/>
        <w:spacing w:after="60" w:before="200"/>
      </w:pPr>
      <w:r>
        <w:rPr>
          <w:rFonts w:ascii="Arial" w:cs="Arial" w:eastAsia="Arial" w:hAnsi="Arial"/>
          <w:b/>
          <w:bCs/>
          <w:color w:val="c8962a"/>
          <w:sz w:val="22"/>
          <w:szCs w:val="22"/>
        </w:rPr>
        <w:t xml:space="preserve">SR.5115</w:t>
      </w:r>
      <w:r>
        <w:rPr>
          <w:rFonts w:ascii="Arial" w:cs="Arial" w:eastAsia="Arial" w:hAnsi="Arial"/>
          <w:b/>
          <w:bCs/>
          <w:color w:val="1b2a4a"/>
          <w:sz w:val="22"/>
          <w:szCs w:val="22"/>
        </w:rPr>
        <w:t xml:space="preserve">   — zone 1.2 — crible fermeur 1,7 mm</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1,7</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0,1</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Imperfection</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0,4</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0,9</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0,60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Partition : M3. Passant 0-1,7 = AgLime ; refus → CR.5107. Surface : M4 (coupe fine → capacité réduite si humide).</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temps sec ; sous la pluie I se dégrade → coupe impossible (mode 2B forcé).</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si humide : refus de calcul AgLime, bascule mode 2B.</w:t>
      </w:r>
    </w:p>
    <w:p>
      <w:pPr>
        <w:keepNext/>
        <w:spacing w:after="60" w:before="200"/>
      </w:pPr>
      <w:r>
        <w:rPr>
          <w:rFonts w:ascii="Arial" w:cs="Arial" w:eastAsia="Arial" w:hAnsi="Arial"/>
          <w:b/>
          <w:bCs/>
          <w:color w:val="c8962a"/>
          <w:sz w:val="22"/>
          <w:szCs w:val="22"/>
        </w:rPr>
        <w:t xml:space="preserve">DY.03</w:t>
      </w:r>
      <w:r>
        <w:rPr>
          <w:rFonts w:ascii="Arial" w:cs="Arial" w:eastAsia="Arial" w:hAnsi="Arial"/>
          <w:b/>
          <w:bCs/>
          <w:color w:val="1b2a4a"/>
          <w:sz w:val="22"/>
          <w:szCs w:val="22"/>
        </w:rPr>
        <w:t xml:space="preserve">   — zone 1.3 — séchoir rotatif</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humide (t/h), humidité (%), courbe granulo</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Humidité sortie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m_out</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0,3</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0,1</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Bilan : M6. Sorties : débit sec, eau évaporée (vapeur), puissance brûleur, volume tambour.</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humidité entrée = paramètre (défaut 8 %).</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si débit &gt; capacité séchoir : goulot, alarme.</w:t>
      </w:r>
    </w:p>
    <w:p>
      <w:pPr>
        <w:keepNext/>
        <w:spacing w:after="60" w:before="200"/>
      </w:pPr>
      <w:r>
        <w:rPr>
          <w:rFonts w:ascii="Arial" w:cs="Arial" w:eastAsia="Arial" w:hAnsi="Arial"/>
          <w:b/>
          <w:bCs/>
          <w:color w:val="c8962a"/>
          <w:sz w:val="22"/>
          <w:szCs w:val="22"/>
        </w:rPr>
        <w:t xml:space="preserve">SN.21</w:t>
      </w:r>
      <w:r>
        <w:rPr>
          <w:rFonts w:ascii="Arial" w:cs="Arial" w:eastAsia="Arial" w:hAnsi="Arial"/>
          <w:b/>
          <w:bCs/>
          <w:color w:val="1b2a4a"/>
          <w:sz w:val="22"/>
          <w:szCs w:val="22"/>
        </w:rPr>
        <w:t xml:space="preserve">   — zone 1.3 — crible de classification 4 / 2 / 1,5 mm</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 (produit sec)</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1</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a₁</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0,5</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2</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a₂</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2,5</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0,1</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Maille 3</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a₃</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1,7</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0,1</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Partition : M3 (a₁, a₂, a₃). Grits = tranche 2-4 (produit direct). Passant 0-1,5 = FeedLime fines.</w:t>
      </w:r>
    </w:p>
    <w:p>
      <w:pPr>
        <w:spacing w:after="40" w:before="0" w:line="274"/>
      </w:pPr>
      <w:r>
        <w:rPr>
          <w:rFonts w:ascii="Arial" w:cs="Arial" w:eastAsia="Arial" w:hAnsi="Arial"/>
          <w:b w:val="false"/>
          <w:bCs w:val="false"/>
          <w:i w:val="false"/>
          <w:iCs w:val="false"/>
          <w:color w:val="1c2530"/>
          <w:sz w:val="18"/>
          <w:szCs w:val="18"/>
        </w:rPr>
        <w:t xml:space="preserve">Refus +4 et sliver 1,5-2 → ML.26 (boucle fermée).</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produit séché (0,5 %).</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alerte surface (M4).</w:t>
      </w:r>
    </w:p>
    <w:p>
      <w:pPr>
        <w:keepNext/>
        <w:spacing w:after="60" w:before="200"/>
      </w:pPr>
      <w:r>
        <w:rPr>
          <w:rFonts w:ascii="Arial" w:cs="Arial" w:eastAsia="Arial" w:hAnsi="Arial"/>
          <w:b/>
          <w:bCs/>
          <w:color w:val="c8962a"/>
          <w:sz w:val="22"/>
          <w:szCs w:val="22"/>
        </w:rPr>
        <w:t xml:space="preserve">ML.26</w:t>
      </w:r>
      <w:r>
        <w:rPr>
          <w:rFonts w:ascii="Arial" w:cs="Arial" w:eastAsia="Arial" w:hAnsi="Arial"/>
          <w:b/>
          <w:bCs/>
          <w:color w:val="1b2a4a"/>
          <w:sz w:val="22"/>
          <w:szCs w:val="22"/>
        </w:rPr>
        <w:t xml:space="preserve">   — zone 1.3 — broyeur à cylindres dentés (grits)</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 (+4 et 1,5-2)</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Gap</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g</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0,5</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Compression</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comp_lam</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3,1</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5,6</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4,11</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Attrition/passe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S_att</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0,15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0,25</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0,206</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Modèle M7 (compression + attrition en lit), boucle fermée sur SN.21. Puissance : M2.</w:t>
      </w:r>
    </w:p>
    <w:p>
      <w:pPr>
        <w:spacing w:after="40" w:before="0" w:line="274"/>
      </w:pPr>
      <w:r>
        <w:rPr>
          <w:rFonts w:ascii="Arial" w:cs="Arial" w:eastAsia="Arial" w:hAnsi="Arial"/>
          <w:b w:val="false"/>
          <w:bCs w:val="false"/>
          <w:i w:val="false"/>
          <w:iCs w:val="false"/>
          <w:color w:val="1c2530"/>
          <w:sz w:val="18"/>
          <w:szCs w:val="18"/>
        </w:rPr>
        <w:t xml:space="preserve">comp_lam et S_att = [H], à caler par essai.</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circuit fermé grits ; alimentation +4 mm + sliver.</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au-delà de la capacité rouleaux : alarme.</w:t>
      </w:r>
    </w:p>
    <w:p>
      <w:pPr>
        <w:keepNext/>
        <w:spacing w:after="60" w:before="200"/>
      </w:pPr>
      <w:r>
        <w:rPr>
          <w:rFonts w:ascii="Arial" w:cs="Arial" w:eastAsia="Arial" w:hAnsi="Arial"/>
          <w:b/>
          <w:bCs/>
          <w:color w:val="c8962a"/>
          <w:sz w:val="22"/>
          <w:szCs w:val="22"/>
        </w:rPr>
        <w:t xml:space="preserve">SP.36</w:t>
      </w:r>
      <w:r>
        <w:rPr>
          <w:rFonts w:ascii="Arial" w:cs="Arial" w:eastAsia="Arial" w:hAnsi="Arial"/>
          <w:b/>
          <w:bCs/>
          <w:color w:val="1b2a4a"/>
          <w:sz w:val="22"/>
          <w:szCs w:val="22"/>
        </w:rPr>
        <w:t xml:space="preserve">   — zone 1.3 — séparateur à air (UltraFin)</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(t/h), courbe granulo (0-1,5 sec)</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Coupe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coupe</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µm</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w:t>
            </w:r>
          </w:p>
        </w:tc>
      </w:tr>
      <w:tr>
        <w:trPr>
          <w:tblHeader w:val="false"/>
        </w:trPr>
        <w:tc>
          <w:tcPr>
            <w:tcW w:type="dxa" w:w="2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Rendement</w:t>
            </w:r>
          </w:p>
        </w:tc>
        <w:tc>
          <w:tcPr>
            <w:tcW w:type="dxa" w:w="1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η_cl</w:t>
            </w:r>
          </w:p>
        </w:tc>
        <w:tc>
          <w:tcPr>
            <w:tcW w:type="dxa" w:w="1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0,60</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0,85</w:t>
            </w:r>
          </w:p>
        </w:tc>
        <w:tc>
          <w:tcPr>
            <w:tcW w:type="dxa" w:w="1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0,75</w:t>
            </w:r>
          </w:p>
        </w:tc>
        <w:tc>
          <w:tcPr>
            <w:tcW w:type="dxa" w:w="9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Modèle M8 : UltraFin = feed·Φ(&lt;coupe)·η_cl ; refus grossier reste en FeedLime fines. Débit d'air Q_air.</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Φ(&lt;coupe) = contenu naturel du 0-1,5 [À MESURER au tamis/laser].</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si Φ non mesuré : calcul directionnel, drapeau « non certifié ».</w:t>
      </w:r>
    </w:p>
    <w:p>
      <w:pPr>
        <w:keepNext/>
        <w:spacing w:after="60" w:before="200"/>
      </w:pPr>
      <w:r>
        <w:rPr>
          <w:rFonts w:ascii="Arial" w:cs="Arial" w:eastAsia="Arial" w:hAnsi="Arial"/>
          <w:b/>
          <w:bCs/>
          <w:color w:val="c8962a"/>
          <w:sz w:val="22"/>
          <w:szCs w:val="22"/>
        </w:rPr>
        <w:t xml:space="preserve">CL.38</w:t>
      </w:r>
      <w:r>
        <w:rPr>
          <w:rFonts w:ascii="Arial" w:cs="Arial" w:eastAsia="Arial" w:hAnsi="Arial"/>
          <w:b/>
          <w:bCs/>
          <w:color w:val="1b2a4a"/>
          <w:sz w:val="22"/>
          <w:szCs w:val="22"/>
        </w:rPr>
        <w:t xml:space="preserve">   — zone 1.3 — cyclones (produit fin)</w:t>
      </w:r>
    </w:p>
    <w:p>
      <w:pPr>
        <w:spacing w:after="60" w:before="0" w:line="274"/>
      </w:pPr>
      <w:r>
        <w:rPr>
          <w:rFonts w:ascii="Arial" w:cs="Arial" w:eastAsia="Arial" w:hAnsi="Arial"/>
          <w:b/>
          <w:bCs/>
          <w:i w:val="false"/>
          <w:iCs w:val="false"/>
          <w:color w:val="1c2530"/>
          <w:sz w:val="18"/>
          <w:szCs w:val="18"/>
        </w:rPr>
        <w:t xml:space="preserve">Entrées acceptées : </w:t>
      </w:r>
      <w:r>
        <w:rPr>
          <w:rFonts w:ascii="Arial" w:cs="Arial" w:eastAsia="Arial" w:hAnsi="Arial"/>
          <w:b w:val="false"/>
          <w:bCs w:val="false"/>
          <w:i w:val="false"/>
          <w:iCs w:val="false"/>
          <w:color w:val="1c2530"/>
          <w:sz w:val="18"/>
          <w:szCs w:val="18"/>
        </w:rPr>
        <w:t xml:space="preserve">débit d'air (m³/h), charge solide</w:t>
      </w:r>
    </w:p>
    <w:p>
      <w:pPr>
        <w:spacing w:after="40" w:before="0" w:line="274"/>
      </w:pPr>
      <w:r>
        <w:rPr>
          <w:rFonts w:ascii="Arial" w:cs="Arial" w:eastAsia="Arial" w:hAnsi="Arial"/>
          <w:b/>
          <w:bCs/>
          <w:i w:val="false"/>
          <w:iCs w:val="false"/>
          <w:color w:val="1c2530"/>
          <w:sz w:val="18"/>
          <w:szCs w:val="18"/>
        </w:rPr>
        <w:t xml:space="preserve">Paramètres réglables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900"/>
        <w:gridCol w:w="900"/>
        <w:gridCol w:w="1000"/>
        <w:gridCol w:w="900"/>
      </w:tblGrid>
      <w:tr>
        <w:trPr>
          <w:tblHeader/>
        </w:trPr>
        <w:tc>
          <w:tcPr>
            <w:tcW w:type="dxa" w:w="2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Nom</w:t>
            </w:r>
          </w:p>
        </w:tc>
        <w:tc>
          <w:tcPr>
            <w:tcW w:type="dxa" w:w="1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Symb.</w:t>
            </w:r>
          </w:p>
        </w:tc>
        <w:tc>
          <w:tcPr>
            <w:tcW w:type="dxa" w:w="1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Unité</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Min</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Max</w:t>
            </w:r>
          </w:p>
        </w:tc>
        <w:tc>
          <w:tcPr>
            <w:tcW w:type="dxa" w:w="1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9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Pas</w:t>
            </w:r>
          </w:p>
        </w:tc>
      </w:tr>
      <w:tr>
        <w:trPr>
          <w:tblHeader w:val="false"/>
        </w:trPr>
        <w:tc>
          <w:tcPr>
            <w:tcW w:type="dxa" w:w="2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Vitesse entrée</w:t>
            </w:r>
          </w:p>
        </w:tc>
        <w:tc>
          <w:tcPr>
            <w:tcW w:type="dxa" w:w="1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v_in</w:t>
            </w:r>
          </w:p>
        </w:tc>
        <w:tc>
          <w:tcPr>
            <w:tcW w:type="dxa" w:w="1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m/s</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1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w:t>
            </w:r>
          </w:p>
        </w:tc>
        <w:tc>
          <w:tcPr>
            <w:tcW w:type="dxa" w:w="9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w:t>
            </w:r>
          </w:p>
        </w:tc>
      </w:tr>
    </w:tbl>
    <w:p>
      <w:pPr>
        <w:spacing w:after="40" w:before="60" w:line="274"/>
      </w:pPr>
      <w:r>
        <w:rPr>
          <w:rFonts w:ascii="Arial" w:cs="Arial" w:eastAsia="Arial" w:hAnsi="Arial"/>
          <w:b/>
          <w:bCs/>
          <w:i w:val="false"/>
          <w:iCs w:val="false"/>
          <w:color w:val="1c2530"/>
          <w:sz w:val="18"/>
          <w:szCs w:val="18"/>
        </w:rPr>
        <w:t xml:space="preserve">Formules :</w:t>
      </w:r>
    </w:p>
    <w:p>
      <w:pPr>
        <w:spacing w:after="40" w:before="0" w:line="274"/>
      </w:pPr>
      <w:r>
        <w:rPr>
          <w:rFonts w:ascii="Arial" w:cs="Arial" w:eastAsia="Arial" w:hAnsi="Arial"/>
          <w:b w:val="false"/>
          <w:bCs w:val="false"/>
          <w:i w:val="false"/>
          <w:iCs w:val="false"/>
          <w:color w:val="1c2530"/>
          <w:sz w:val="18"/>
          <w:szCs w:val="18"/>
        </w:rPr>
        <w:t xml:space="preserve">Modèle M8 (cyclone Lapple d50). Récupère l'UltraFin de l'air ; les &lt; ~4 µm passent → filtre à manches aval.</w:t>
      </w:r>
    </w:p>
    <w:p>
      <w:pPr>
        <w:spacing w:after="40" w:before="40" w:line="274"/>
      </w:pPr>
      <w:r>
        <w:rPr>
          <w:rFonts w:ascii="Arial" w:cs="Arial" w:eastAsia="Arial" w:hAnsi="Arial"/>
          <w:b/>
          <w:bCs/>
          <w:i w:val="false"/>
          <w:iCs w:val="false"/>
          <w:color w:val="1c2530"/>
          <w:sz w:val="18"/>
          <w:szCs w:val="18"/>
        </w:rPr>
        <w:t xml:space="preserve">Domaine de validité : </w:t>
      </w:r>
      <w:r>
        <w:rPr>
          <w:rFonts w:ascii="Arial" w:cs="Arial" w:eastAsia="Arial" w:hAnsi="Arial"/>
          <w:b w:val="false"/>
          <w:bCs w:val="false"/>
          <w:i w:val="false"/>
          <w:iCs w:val="false"/>
          <w:color w:val="1c2530"/>
          <w:sz w:val="18"/>
          <w:szCs w:val="18"/>
        </w:rPr>
        <w:t xml:space="preserve">gaz issu de SP.36.</w:t>
      </w:r>
    </w:p>
    <w:p>
      <w:pPr>
        <w:spacing w:after="80" w:before="0" w:line="274"/>
      </w:pPr>
      <w:r>
        <w:rPr>
          <w:rFonts w:ascii="Arial" w:cs="Arial" w:eastAsia="Arial" w:hAnsi="Arial"/>
          <w:b/>
          <w:bCs/>
          <w:i w:val="false"/>
          <w:iCs w:val="false"/>
          <w:color w:val="1c2530"/>
          <w:sz w:val="18"/>
          <w:szCs w:val="18"/>
        </w:rPr>
        <w:t xml:space="preserve">Hors domaine : </w:t>
      </w:r>
      <w:r>
        <w:rPr>
          <w:rFonts w:ascii="Arial" w:cs="Arial" w:eastAsia="Arial" w:hAnsi="Arial"/>
          <w:b w:val="false"/>
          <w:bCs w:val="false"/>
          <w:i w:val="false"/>
          <w:iCs w:val="false"/>
          <w:color w:val="1c2530"/>
          <w:sz w:val="18"/>
          <w:szCs w:val="18"/>
        </w:rPr>
        <w:t xml:space="preserve">perte de la queue &lt; ~4 µm si pas de filtre de polissage.</w:t>
      </w:r>
    </w:p>
    <w:p>
      <w:pPr>
        <w:pStyle w:val="Heading1"/>
        <w:pageBreakBefore/>
        <w:spacing w:after="130" w:before="300"/>
      </w:pPr>
      <w:r>
        <w:rPr>
          <w:rFonts w:ascii="Arial" w:cs="Arial" w:eastAsia="Arial" w:hAnsi="Arial"/>
          <w:b/>
          <w:bCs/>
          <w:color w:val="1b2a4a"/>
          <w:sz w:val="28"/>
          <w:szCs w:val="28"/>
        </w:rPr>
        <w:t xml:space="preserve">4.  Schéma de procédé (flowsheet)</w:t>
      </w:r>
    </w:p>
    <w:p>
      <w:pPr>
        <w:spacing w:after="110" w:before="0" w:line="274"/>
      </w:pPr>
      <w:r>
        <w:rPr>
          <w:rFonts w:ascii="Arial" w:cs="Arial" w:eastAsia="Arial" w:hAnsi="Arial"/>
          <w:b w:val="false"/>
          <w:bCs w:val="false"/>
          <w:i w:val="false"/>
          <w:iCs w:val="false"/>
          <w:color w:val="1c2530"/>
          <w:sz w:val="20"/>
          <w:szCs w:val="20"/>
        </w:rPr>
        <w:t xml:space="preserve">Enchaînement des machines par zone, flux étiquetés. Les transferts (convoyeurs, élévateurs, vis) ne sont pas repris (sans influence procédé).</w:t>
      </w:r>
    </w:p>
    <w:p>
      <w:pPr>
        <w:pStyle w:val="Heading2"/>
        <w:spacing w:after="70" w:before="180"/>
      </w:pPr>
      <w:r>
        <w:rPr>
          <w:rFonts w:ascii="Arial" w:cs="Arial" w:eastAsia="Arial" w:hAnsi="Arial"/>
          <w:b/>
          <w:bCs/>
          <w:color w:val="22406e"/>
          <w:sz w:val="23"/>
          <w:szCs w:val="23"/>
        </w:rPr>
        <w:t xml:space="preserve">4.1  Zone 1.1 — concassage / criblage primaire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Tout-venant → grille (grizzly 80 mm) : passant &lt;80 mm contourne ; refus +80 mm → CR.5003.</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CR.5003 + passant grizzly → CR.5009 → crible SR.5007 (avec retour percuteur).</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SR.5007 (35/20) : refus +35 → CR.5011 → retour crible (boucle fermée).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Coupe 20-35 : MODE 1A → KFS ; MODE 1B → retour CR.5011 (pas de KFS).</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Passant 0-20 → stockpile → zone 1.2.</w:t>
      </w:r>
    </w:p>
    <w:p>
      <w:pPr>
        <w:pStyle w:val="Heading2"/>
        <w:spacing w:after="70" w:before="180"/>
      </w:pPr>
      <w:r>
        <w:rPr>
          <w:rFonts w:ascii="Arial" w:cs="Arial" w:eastAsia="Arial" w:hAnsi="Arial"/>
          <w:b/>
          <w:bCs/>
          <w:color w:val="22406e"/>
          <w:sz w:val="23"/>
          <w:szCs w:val="23"/>
        </w:rPr>
        <w:t xml:space="preserve">4.2  Zone 1.2 — reprise / AgLime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Stockpile 0-20 → BF.5101 → SR.5105 (15/5) : tranches +15, 5-15, 0-5.</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MODE 2A : 5-15 → FeedLime ; +15 et 0-5 → circuit fermé.  MODE 2B (pluie) : tout → FeedLime.  MODE 2C : tout → circuit fermé.</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Circuit fermé : SR.5115 (1,7 mm) ; refus +1,7 → CR.5107 → retour. Passant 0-1,7 = AgLime.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AgLime (humide) = produit ; FeedLime → stockpile → zone 1.3.</w:t>
      </w:r>
    </w:p>
    <w:p>
      <w:pPr>
        <w:pStyle w:val="Heading2"/>
        <w:spacing w:after="70" w:before="180"/>
      </w:pPr>
      <w:r>
        <w:rPr>
          <w:rFonts w:ascii="Arial" w:cs="Arial" w:eastAsia="Arial" w:hAnsi="Arial"/>
          <w:b/>
          <w:bCs/>
          <w:color w:val="22406e"/>
          <w:sz w:val="23"/>
          <w:szCs w:val="23"/>
        </w:rPr>
        <w:t xml:space="preserve">4.3  Zone 1.3 — séchage / grits / UltraFin</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Stockpile FeedLime → DY.03 (séchoir) : humidité → 0,5 %. Eau retirée = vapeur (seule sortie d'eau).</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Produit séché → SN.21 (4/2/1,5) : tranche 2-4 = grits (produit direct).</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Refus +4 et sliver 1,5-2 → ML.26 → retour SN.21 (boucle fermée).</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Passant 0-1,5 = FeedLime fines → SP.36 (coupe ~100 µm) → CL.38 → UltraFin ; refus grossier reste FeedLime fines.</w:t>
      </w:r>
    </w:p>
    <w:p>
      <w:pPr>
        <w:pStyle w:val="Heading1"/>
        <w:pageBreakBefore/>
        <w:spacing w:after="130" w:before="300"/>
      </w:pPr>
      <w:r>
        <w:rPr>
          <w:rFonts w:ascii="Arial" w:cs="Arial" w:eastAsia="Arial" w:hAnsi="Arial"/>
          <w:b/>
          <w:bCs/>
          <w:color w:val="1b2a4a"/>
          <w:sz w:val="28"/>
          <w:szCs w:val="28"/>
        </w:rPr>
        <w:t xml:space="preserve">5.  Produit d'entrée</w:t>
      </w:r>
    </w:p>
    <w:p>
      <w:pPr>
        <w:spacing w:after="110" w:before="0" w:line="274"/>
      </w:pPr>
      <w:r>
        <w:rPr>
          <w:rFonts w:ascii="Arial" w:cs="Arial" w:eastAsia="Arial" w:hAnsi="Arial"/>
          <w:b w:val="false"/>
          <w:bCs w:val="false"/>
          <w:i w:val="false"/>
          <w:iCs w:val="false"/>
          <w:color w:val="1c2530"/>
          <w:sz w:val="20"/>
          <w:szCs w:val="20"/>
        </w:rPr>
        <w:t xml:space="preserve">Entrée-pivot : granulométrie MESURÉE en sortie de station primaire (coupe de bande) = flux combiné alimentant l'aval.</w:t>
      </w:r>
    </w:p>
    <w:p>
      <w:pPr>
        <w:pStyle w:val="Heading2"/>
        <w:spacing w:after="70" w:before="180"/>
      </w:pPr>
      <w:r>
        <w:rPr>
          <w:rFonts w:ascii="Arial" w:cs="Arial" w:eastAsia="Arial" w:hAnsi="Arial"/>
          <w:b/>
          <w:bCs/>
          <w:color w:val="22406e"/>
          <w:sz w:val="23"/>
          <w:szCs w:val="23"/>
        </w:rPr>
        <w:t xml:space="preserve">5.1  Courbe granulométrique (gabarit à renseigner)</w:t>
      </w:r>
    </w:p>
    <w:p>
      <w:pPr>
        <w:spacing w:after="110" w:before="0" w:line="274"/>
      </w:pPr>
      <w:r>
        <w:rPr>
          <w:rFonts w:ascii="Arial" w:cs="Arial" w:eastAsia="Arial" w:hAnsi="Arial"/>
          <w:b w:val="false"/>
          <w:bCs w:val="false"/>
          <w:i w:val="false"/>
          <w:iCs w:val="false"/>
          <w:color w:val="1c2530"/>
          <w:sz w:val="20"/>
          <w:szCs w:val="20"/>
        </w:rPr>
        <w:t xml:space="preserve">Sur la série de référence, en % passant cumulé. Aucune mesure réelle à ce jour.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Maille (mm)</w:t>
            </w:r>
          </w:p>
        </w:tc>
        <w:tc>
          <w:tcPr>
            <w:tcW w:type="dxa" w:w="4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 passant cumulé</w:t>
            </w:r>
          </w:p>
        </w:tc>
      </w:tr>
      <w:tr>
        <w:trPr>
          <w:tblHeader w:val="false"/>
        </w:trPr>
        <w:tc>
          <w:tcPr>
            <w:tcW w:type="dxa" w:w="4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80</w:t>
            </w:r>
          </w:p>
        </w:tc>
        <w:tc>
          <w:tcPr>
            <w:tcW w:type="dxa" w:w="4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r>
        <w:trPr>
          <w:tblHeader w:val="false"/>
        </w:trPr>
        <w:tc>
          <w:tcPr>
            <w:tcW w:type="dxa" w:w="4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35</w:t>
            </w:r>
          </w:p>
        </w:tc>
        <w:tc>
          <w:tcPr>
            <w:tcW w:type="dxa" w:w="4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r>
        <w:trPr>
          <w:tblHeader w:val="false"/>
        </w:trPr>
        <w:tc>
          <w:tcPr>
            <w:tcW w:type="dxa" w:w="4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w:t>
            </w:r>
          </w:p>
        </w:tc>
        <w:tc>
          <w:tcPr>
            <w:tcW w:type="dxa" w:w="4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r>
        <w:trPr>
          <w:tblHeader w:val="false"/>
        </w:trPr>
        <w:tc>
          <w:tcPr>
            <w:tcW w:type="dxa" w:w="4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w:t>
            </w:r>
          </w:p>
        </w:tc>
        <w:tc>
          <w:tcPr>
            <w:tcW w:type="dxa" w:w="4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r>
        <w:trPr>
          <w:tblHeader w:val="false"/>
        </w:trPr>
        <w:tc>
          <w:tcPr>
            <w:tcW w:type="dxa" w:w="4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1,7</w:t>
            </w:r>
          </w:p>
        </w:tc>
        <w:tc>
          <w:tcPr>
            <w:tcW w:type="dxa" w:w="4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r>
        <w:trPr>
          <w:tblHeader w:val="false"/>
        </w:trPr>
        <w:tc>
          <w:tcPr>
            <w:tcW w:type="dxa" w:w="4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0,5</w:t>
            </w:r>
          </w:p>
        </w:tc>
        <w:tc>
          <w:tcPr>
            <w:tcW w:type="dxa" w:w="4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r>
        <w:trPr>
          <w:tblHeader w:val="false"/>
        </w:trPr>
        <w:tc>
          <w:tcPr>
            <w:tcW w:type="dxa" w:w="4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0,063</w:t>
            </w:r>
          </w:p>
        </w:tc>
        <w:tc>
          <w:tcPr>
            <w:tcW w:type="dxa" w:w="4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w:t>
            </w:r>
          </w:p>
        </w:tc>
      </w:tr>
    </w:tbl>
    <w:p>
      <w:pPr>
        <w:spacing w:after="110" w:before="0" w:line="274"/>
      </w:pPr>
      <w:r>
        <w:rPr>
          <w:rFonts w:ascii="Arial" w:cs="Arial" w:eastAsia="Arial" w:hAnsi="Arial"/>
          <w:b w:val="false"/>
          <w:bCs w:val="false"/>
          <w:i/>
          <w:iCs/>
          <w:color w:val="5b6675"/>
          <w:sz w:val="17"/>
          <w:szCs w:val="17"/>
        </w:rPr>
        <w:t xml:space="preserve">Grille primaire 80 mm ; mâchoires CSS 175 mm. La courbe mesurée = mélange « passant grizzly &lt;80 (non concassé) + produit mâchoires (+80 concassé) ».</w:t>
      </w:r>
    </w:p>
    <w:p>
      <w:pPr>
        <w:pStyle w:val="Heading2"/>
        <w:spacing w:after="70" w:before="180"/>
      </w:pPr>
      <w:r>
        <w:rPr>
          <w:rFonts w:ascii="Arial" w:cs="Arial" w:eastAsia="Arial" w:hAnsi="Arial"/>
          <w:b/>
          <w:bCs/>
          <w:color w:val="22406e"/>
          <w:sz w:val="23"/>
          <w:szCs w:val="23"/>
        </w:rPr>
        <w:t xml:space="preserve">5.2  Propriétés physiques (paramètres)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Propriété</w:t>
            </w:r>
          </w:p>
        </w:tc>
        <w:tc>
          <w:tcPr>
            <w:tcW w:type="dxa" w:w="27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Défaut</w:t>
            </w:r>
          </w:p>
        </w:tc>
        <w:tc>
          <w:tcPr>
            <w:tcW w:type="dxa" w:w="27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Statut</w:t>
            </w:r>
          </w:p>
        </w:tc>
      </w:tr>
      <w:tr>
        <w:trPr>
          <w:tblHeader w:val="false"/>
        </w:trPr>
        <w:tc>
          <w:tcPr>
            <w:tcW w:type="dxa" w:w="3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Humidité (base humide)</w:t>
            </w:r>
          </w:p>
        </w:tc>
        <w:tc>
          <w:tcPr>
            <w:tcW w:type="dxa" w:w="2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8 %</w:t>
            </w:r>
          </w:p>
        </w:tc>
        <w:tc>
          <w:tcPr>
            <w:tcW w:type="dxa" w:w="2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à mesurer</w:t>
            </w:r>
          </w:p>
        </w:tc>
      </w:tr>
      <w:tr>
        <w:trPr>
          <w:tblHeader w:val="false"/>
        </w:trPr>
        <w:tc>
          <w:tcPr>
            <w:tcW w:type="dxa" w:w="3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Densité sèche</w:t>
            </w:r>
          </w:p>
        </w:tc>
        <w:tc>
          <w:tcPr>
            <w:tcW w:type="dxa" w:w="2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1,50 t/m³</w:t>
            </w:r>
          </w:p>
        </w:tc>
        <w:tc>
          <w:tcPr>
            <w:tcW w:type="dxa" w:w="2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à confirmer</w:t>
            </w:r>
          </w:p>
        </w:tc>
      </w:tr>
      <w:tr>
        <w:trPr>
          <w:tblHeader w:val="false"/>
        </w:trPr>
        <w:tc>
          <w:tcPr>
            <w:tcW w:type="dxa" w:w="3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Densité humide</w:t>
            </w:r>
          </w:p>
        </w:tc>
        <w:tc>
          <w:tcPr>
            <w:tcW w:type="dxa" w:w="2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1,62 t/m³</w:t>
            </w:r>
          </w:p>
        </w:tc>
        <w:tc>
          <w:tcPr>
            <w:tcW w:type="dxa" w:w="2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à confirmer</w:t>
            </w:r>
          </w:p>
        </w:tc>
      </w:tr>
      <w:tr>
        <w:trPr>
          <w:tblHeader w:val="false"/>
        </w:trPr>
        <w:tc>
          <w:tcPr>
            <w:tcW w:type="dxa" w:w="3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Indice de Bond Wi</w:t>
            </w:r>
          </w:p>
        </w:tc>
        <w:tc>
          <w:tcPr>
            <w:tcW w:type="dxa" w:w="2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12,54 kWh/t</w:t>
            </w:r>
          </w:p>
        </w:tc>
        <w:tc>
          <w:tcPr>
            <w:tcW w:type="dxa" w:w="2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valeur projet</w:t>
            </w:r>
          </w:p>
        </w:tc>
      </w:tr>
      <w:tr>
        <w:trPr>
          <w:tblHeader w:val="false"/>
        </w:trPr>
        <w:tc>
          <w:tcPr>
            <w:tcW w:type="dxa" w:w="3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UCS</w:t>
            </w:r>
          </w:p>
        </w:tc>
        <w:tc>
          <w:tcPr>
            <w:tcW w:type="dxa" w:w="2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selon type de roche</w:t>
            </w:r>
          </w:p>
        </w:tc>
        <w:tc>
          <w:tcPr>
            <w:tcW w:type="dxa" w:w="2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3 types (géologie DP9442)</w:t>
            </w:r>
          </w:p>
        </w:tc>
      </w:tr>
      <w:tr>
        <w:trPr>
          <w:tblHeader w:val="false"/>
        </w:trPr>
        <w:tc>
          <w:tcPr>
            <w:tcW w:type="dxa" w:w="3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Friabilité (shatter)</w:t>
            </w:r>
          </w:p>
        </w:tc>
        <w:tc>
          <w:tcPr>
            <w:tcW w:type="dxa" w:w="2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selon type</w:t>
            </w:r>
          </w:p>
        </w:tc>
        <w:tc>
          <w:tcPr>
            <w:tcW w:type="dxa" w:w="2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géologie</w:t>
            </w:r>
          </w:p>
        </w:tc>
      </w:tr>
    </w:tbl>
    <w:p>
      <w:pPr>
        <w:spacing w:after="110" w:before="0" w:line="274"/>
      </w:pPr>
      <w:r>
        <w:rPr>
          <w:rFonts w:ascii="Arial" w:cs="Arial" w:eastAsia="Arial" w:hAnsi="Arial"/>
          <w:b w:val="false"/>
          <w:bCs w:val="false"/>
          <w:i/>
          <w:iCs/>
          <w:color w:val="5b6675"/>
          <w:sz w:val="17"/>
          <w:szCs w:val="17"/>
        </w:rPr>
        <w:t xml:space="preserve">Cas types : plusieurs roches distinguées par UCS ; chaque cas = une courbe + un jeu de propriétés = scénarios d'entrée distincts.</w:t>
      </w:r>
    </w:p>
    <w:p>
      <w:pPr>
        <w:pStyle w:val="Heading1"/>
        <w:pageBreakBefore/>
        <w:spacing w:after="130" w:before="300"/>
      </w:pPr>
      <w:r>
        <w:rPr>
          <w:rFonts w:ascii="Arial" w:cs="Arial" w:eastAsia="Arial" w:hAnsi="Arial"/>
          <w:b/>
          <w:bCs/>
          <w:color w:val="1b2a4a"/>
          <w:sz w:val="28"/>
          <w:szCs w:val="28"/>
        </w:rPr>
        <w:t xml:space="preserve">6.  Produits de sortie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000"/>
      </w:tblGrid>
      <w:tr>
        <w:trPr>
          <w:tblHeader/>
        </w:trPr>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Produit</w:t>
            </w:r>
          </w:p>
        </w:tc>
        <w:tc>
          <w:tcPr>
            <w:tcW w:type="dxa" w:w="16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Coupure</w:t>
            </w:r>
          </w:p>
        </w:tc>
        <w:tc>
          <w:tcPr>
            <w:tcW w:type="dxa" w:w="12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État</w:t>
            </w:r>
          </w:p>
        </w:tc>
        <w:tc>
          <w:tcPr>
            <w:tcW w:type="dxa" w:w="40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Tolérances (paramètres — défaut)</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KFS</w:t>
            </w:r>
          </w:p>
        </w:tc>
        <w:tc>
          <w:tcPr>
            <w:tcW w:type="dxa" w:w="1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20 / 35 mm</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humide</w:t>
            </w:r>
          </w:p>
        </w:tc>
        <w:tc>
          <w:tcPr>
            <w:tcW w:type="dxa" w:w="4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max hors coupure (défaut 15 % ; enveloppe KFS 30/55/15)</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AgLime</w:t>
            </w:r>
          </w:p>
        </w:tc>
        <w:tc>
          <w:tcPr>
            <w:tcW w:type="dxa" w:w="1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 / 1,7 mm</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humide</w:t>
            </w:r>
          </w:p>
        </w:tc>
        <w:tc>
          <w:tcPr>
            <w:tcW w:type="dxa" w:w="4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amendement agricole ; tolérances = paramètres</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grits</w:t>
            </w:r>
          </w:p>
        </w:tc>
        <w:tc>
          <w:tcPr>
            <w:tcW w:type="dxa" w:w="1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 / 4 mm</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sec</w:t>
            </w:r>
          </w:p>
        </w:tc>
        <w:tc>
          <w:tcPr>
            <w:tcW w:type="dxa" w:w="4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max fines hors coupure = paramètre</w:t>
            </w:r>
          </w:p>
        </w:tc>
      </w:tr>
      <w:tr>
        <w:trPr>
          <w:tblHeader w:val="false"/>
        </w:trPr>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fines</w:t>
            </w:r>
          </w:p>
        </w:tc>
        <w:tc>
          <w:tcPr>
            <w:tcW w:type="dxa" w:w="16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0 / 1,5 mm</w:t>
            </w:r>
          </w:p>
        </w:tc>
        <w:tc>
          <w:tcPr>
            <w:tcW w:type="dxa" w:w="1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sec</w:t>
            </w:r>
          </w:p>
        </w:tc>
        <w:tc>
          <w:tcPr>
            <w:tcW w:type="dxa" w:w="40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reliquat après extraction UltraFin ; tolérances = paramètres</w:t>
            </w:r>
          </w:p>
        </w:tc>
      </w:tr>
      <w:tr>
        <w:trPr>
          <w:tblHeader w:val="false"/>
        </w:trPr>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UltraFin</w:t>
            </w:r>
          </w:p>
        </w:tc>
        <w:tc>
          <w:tcPr>
            <w:tcW w:type="dxa" w:w="16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&lt; 100 µm</w:t>
            </w:r>
          </w:p>
        </w:tc>
        <w:tc>
          <w:tcPr>
            <w:tcW w:type="dxa" w:w="1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sec</w:t>
            </w:r>
          </w:p>
        </w:tc>
        <w:tc>
          <w:tcPr>
            <w:tcW w:type="dxa" w:w="40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coupure haute d97 = 100 µm (d50 libre) ; tolérances = paramètres</w:t>
            </w:r>
          </w:p>
        </w:tc>
      </w:tr>
    </w:tbl>
    <w:p>
      <w:pPr>
        <w:pStyle w:val="Heading2"/>
        <w:spacing w:after="70" w:before="180"/>
      </w:pPr>
      <w:r>
        <w:rPr>
          <w:rFonts w:ascii="Arial" w:cs="Arial" w:eastAsia="Arial" w:hAnsi="Arial"/>
          <w:b/>
          <w:bCs/>
          <w:color w:val="22406e"/>
          <w:sz w:val="23"/>
          <w:szCs w:val="23"/>
        </w:rPr>
        <w:t xml:space="preserve">6.1  Tolérances qualité = paramètres</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Les tolérances de chaque produit (max % hors coupure, max % de fines sous un seuil, etc.) sont des PARAMÈTRES par produit, définis par l'utilisateur (valeurs par défaut ci-dessus).</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Le modèle vérifie la conformité de chaque produit calculé contre ses tolérances paramétrées, et signale toute non-conformité — il ne les code jamais en dur.</w:t>
      </w:r>
    </w:p>
    <w:p>
      <w:pPr>
        <w:spacing w:after="110" w:before="0" w:line="274"/>
      </w:pPr>
      <w:r>
        <w:rPr>
          <w:rFonts w:ascii="Arial" w:cs="Arial" w:eastAsia="Arial" w:hAnsi="Arial"/>
          <w:b w:val="false"/>
          <w:bCs w:val="false"/>
          <w:i/>
          <w:iCs/>
          <w:color w:val="5b6675"/>
          <w:sz w:val="17"/>
          <w:szCs w:val="17"/>
        </w:rPr>
        <w:t xml:space="preserve">KFS et AgLime sortent HUMIDES (non séchés) ; grits, fines et UltraFin sortent SECS (FeedLime séché à 0,5 %).</w:t>
      </w:r>
    </w:p>
    <w:p>
      <w:pPr>
        <w:pStyle w:val="Heading1"/>
        <w:pageBreakBefore/>
        <w:spacing w:after="130" w:before="300"/>
      </w:pPr>
      <w:r>
        <w:rPr>
          <w:rFonts w:ascii="Arial" w:cs="Arial" w:eastAsia="Arial" w:hAnsi="Arial"/>
          <w:b/>
          <w:bCs/>
          <w:color w:val="1b2a4a"/>
          <w:sz w:val="28"/>
          <w:szCs w:val="28"/>
        </w:rPr>
        <w:t xml:space="preserve">7.  Objectifs de production</w:t>
      </w:r>
    </w:p>
    <w:p>
      <w:pPr>
        <w:pStyle w:val="Heading2"/>
        <w:spacing w:after="70" w:before="180"/>
      </w:pPr>
      <w:r>
        <w:rPr>
          <w:rFonts w:ascii="Arial" w:cs="Arial" w:eastAsia="Arial" w:hAnsi="Arial"/>
          <w:b/>
          <w:bCs/>
          <w:color w:val="22406e"/>
          <w:sz w:val="23"/>
          <w:szCs w:val="23"/>
        </w:rPr>
        <w:t xml:space="preserve">7.1  Tonnages cibles (paramètres — ordres de grandeur annuels)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0"/>
      </w:tblGrid>
      <w:tr>
        <w:trPr>
          <w:tblHeader/>
        </w:trPr>
        <w:tc>
          <w:tcPr>
            <w:tcW w:type="dxa" w:w="32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Produit</w:t>
            </w:r>
          </w:p>
        </w:tc>
        <w:tc>
          <w:tcPr>
            <w:tcW w:type="dxa" w:w="22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Cible annuelle</w:t>
            </w:r>
          </w:p>
        </w:tc>
        <w:tc>
          <w:tcPr>
            <w:tcW w:type="dxa" w:w="41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Nature</w:t>
            </w:r>
          </w:p>
        </w:tc>
      </w:tr>
      <w:tr>
        <w:trPr>
          <w:tblHeader w:val="false"/>
        </w:trPr>
        <w:tc>
          <w:tcPr>
            <w:tcW w:type="dxa" w:w="3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KFS 20/35</w:t>
            </w:r>
          </w:p>
        </w:tc>
        <w:tc>
          <w:tcPr>
            <w:tcW w:type="dxa" w:w="2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85 000 t/an</w:t>
            </w:r>
          </w:p>
        </w:tc>
        <w:tc>
          <w:tcPr>
            <w:tcW w:type="dxa" w:w="4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ENGAGEMENT FERME</w:t>
            </w:r>
          </w:p>
        </w:tc>
      </w:tr>
      <w:tr>
        <w:trPr>
          <w:tblHeader w:val="false"/>
        </w:trPr>
        <w:tc>
          <w:tcPr>
            <w:tcW w:type="dxa" w:w="3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grits 2-4</w:t>
            </w:r>
          </w:p>
        </w:tc>
        <w:tc>
          <w:tcPr>
            <w:tcW w:type="dxa" w:w="2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40 000 t/an</w:t>
            </w:r>
          </w:p>
        </w:tc>
        <w:tc>
          <w:tcPr>
            <w:tcW w:type="dxa" w:w="4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ENGAGEMENT FERME</w:t>
            </w:r>
          </w:p>
        </w:tc>
      </w:tr>
      <w:tr>
        <w:trPr>
          <w:tblHeader w:val="false"/>
        </w:trPr>
        <w:tc>
          <w:tcPr>
            <w:tcW w:type="dxa" w:w="3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AgLime 0/1,7</w:t>
            </w:r>
          </w:p>
        </w:tc>
        <w:tc>
          <w:tcPr>
            <w:tcW w:type="dxa" w:w="2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135 000 t/an</w:t>
            </w:r>
          </w:p>
        </w:tc>
        <w:tc>
          <w:tcPr>
            <w:tcW w:type="dxa" w:w="4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plafond de marché (paramètre)</w:t>
            </w:r>
          </w:p>
        </w:tc>
      </w:tr>
      <w:tr>
        <w:trPr>
          <w:tblHeader w:val="false"/>
        </w:trPr>
        <w:tc>
          <w:tcPr>
            <w:tcW w:type="dxa" w:w="3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fines 0/1,5</w:t>
            </w:r>
          </w:p>
        </w:tc>
        <w:tc>
          <w:tcPr>
            <w:tcW w:type="dxa" w:w="22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56 000 t/an</w:t>
            </w:r>
          </w:p>
        </w:tc>
        <w:tc>
          <w:tcPr>
            <w:tcW w:type="dxa" w:w="41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flexible (absorbe les excédents)</w:t>
            </w:r>
          </w:p>
        </w:tc>
      </w:tr>
      <w:tr>
        <w:trPr>
          <w:tblHeader w:val="false"/>
        </w:trPr>
        <w:tc>
          <w:tcPr>
            <w:tcW w:type="dxa" w:w="3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UltraFin &lt; 100 µm</w:t>
            </w:r>
          </w:p>
        </w:tc>
        <w:tc>
          <w:tcPr>
            <w:tcW w:type="dxa" w:w="22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4 000 t/an</w:t>
            </w:r>
          </w:p>
        </w:tc>
        <w:tc>
          <w:tcPr>
            <w:tcW w:type="dxa" w:w="41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plafonné par le contenu naturel des fines</w:t>
            </w:r>
          </w:p>
        </w:tc>
      </w:tr>
    </w:tbl>
    <w:p>
      <w:pPr>
        <w:pStyle w:val="Heading2"/>
        <w:spacing w:after="70" w:before="180"/>
      </w:pPr>
      <w:r>
        <w:rPr>
          <w:rFonts w:ascii="Arial" w:cs="Arial" w:eastAsia="Arial" w:hAnsi="Arial"/>
          <w:b/>
          <w:bCs/>
          <w:color w:val="22406e"/>
          <w:sz w:val="23"/>
          <w:szCs w:val="23"/>
        </w:rPr>
        <w:t xml:space="preserve">7.2  Horizon et heures</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Base de temps = PARAMÈTRE : journalier / hebdo / mensuel / annuel.</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Météo (sec/pluie) = PARAMÈTRE à chaque base ; jamais imposée par le moteur.</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Heures + disponibilité = PARAMÈTRE par zone (chaque zone son régime).</w:t>
      </w:r>
    </w:p>
    <w:p>
      <w:pPr>
        <w:pStyle w:val="Heading2"/>
        <w:spacing w:after="70" w:before="180"/>
      </w:pPr>
      <w:r>
        <w:rPr>
          <w:rFonts w:ascii="Arial" w:cs="Arial" w:eastAsia="Arial" w:hAnsi="Arial"/>
          <w:b/>
          <w:bCs/>
          <w:color w:val="22406e"/>
          <w:sz w:val="23"/>
          <w:szCs w:val="23"/>
        </w:rPr>
        <w:t xml:space="preserve">7.3  Priorités</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1) KFS et 2) grits = fermes, garantis en priorité.</w:t>
      </w:r>
    </w:p>
    <w:p>
      <w:pPr>
        <w:pStyle w:val="ListParagraph"/>
        <w:numPr>
          <w:ilvl w:val="0"/>
          <w:numId w:val="2"/>
        </w:numPr>
        <w:spacing w:after="60" w:line="268"/>
      </w:pPr>
      <w:r>
        <w:rPr>
          <w:rFonts w:ascii="Arial" w:cs="Arial" w:eastAsia="Arial" w:hAnsi="Arial"/>
          <w:b w:val="false"/>
          <w:bCs w:val="false"/>
          <w:i w:val="false"/>
          <w:iCs w:val="false"/>
          <w:color w:val="1c2530"/>
          <w:sz w:val="20"/>
          <w:szCs w:val="20"/>
        </w:rPr>
        <w:t xml:space="preserve">3) ZÉRO EXCÉDENT INVENDABLE : plafond de marché paramétrable par produit.</w:t>
      </w:r>
    </w:p>
    <w:p>
      <w:pPr>
        <w:pStyle w:val="ListParagraph"/>
        <w:numPr>
          <w:ilvl w:val="0"/>
          <w:numId w:val="2"/>
        </w:numPr>
        <w:spacing w:after="60" w:line="268"/>
      </w:pPr>
      <w:r>
        <w:rPr>
          <w:rFonts w:ascii="Arial" w:cs="Arial" w:eastAsia="Arial" w:hAnsi="Arial"/>
          <w:b/>
          <w:bCs/>
          <w:i w:val="false"/>
          <w:iCs w:val="false"/>
          <w:color w:val="1c2530"/>
          <w:sz w:val="20"/>
          <w:szCs w:val="20"/>
        </w:rPr>
        <w:t xml:space="preserve">Tension à exposer : </w:t>
      </w:r>
      <w:r>
        <w:rPr>
          <w:rFonts w:ascii="Arial" w:cs="Arial" w:eastAsia="Arial" w:hAnsi="Arial"/>
          <w:b w:val="false"/>
          <w:bCs w:val="false"/>
          <w:i w:val="false"/>
          <w:iCs w:val="false"/>
          <w:color w:val="1c2530"/>
          <w:sz w:val="20"/>
          <w:szCs w:val="20"/>
        </w:rPr>
        <w:t xml:space="preserve">85 kt de KFS forcent ~273 kt de 0/20 contre ~239 kt de marchés aval → ~34 kt d'excédent mécanique, à rendre visible par scénario.</w:t>
      </w:r>
    </w:p>
    <w:p>
      <w:pPr>
        <w:pStyle w:val="Heading1"/>
        <w:pageBreakBefore/>
        <w:spacing w:after="130" w:before="300"/>
      </w:pPr>
      <w:r>
        <w:rPr>
          <w:rFonts w:ascii="Arial" w:cs="Arial" w:eastAsia="Arial" w:hAnsi="Arial"/>
          <w:b/>
          <w:bCs/>
          <w:color w:val="1b2a4a"/>
          <w:sz w:val="28"/>
          <w:szCs w:val="28"/>
        </w:rPr>
        <w:t xml:space="preserve">8.  Critère d'optimisation</w:t>
      </w:r>
    </w:p>
    <w:p>
      <w:pPr>
        <w:spacing w:after="110" w:before="0" w:line="274"/>
      </w:pPr>
      <w:r>
        <w:rPr>
          <w:rFonts w:ascii="Arial" w:cs="Arial" w:eastAsia="Arial" w:hAnsi="Arial"/>
          <w:b/>
          <w:bCs/>
          <w:i w:val="false"/>
          <w:iCs w:val="false"/>
          <w:color w:val="1c2530"/>
          <w:sz w:val="20"/>
          <w:szCs w:val="20"/>
        </w:rPr>
        <w:t xml:space="preserve">Le moteur n'optimise pas automatiquement : l'utilisateur définit chaque scénario et compare les photos. Règle d'arbitrage : atteindre les objectifs fermes (KFS, grits) en minimisant l'excédent invendable — en priorité les fines calcaires, principal risque de la ligne.</w:t>
      </w:r>
    </w:p>
    <w:p>
      <w:pPr>
        <w:pStyle w:val="Heading1"/>
        <w:pageBreakBefore/>
        <w:spacing w:after="130" w:before="300"/>
      </w:pPr>
      <w:r>
        <w:rPr>
          <w:rFonts w:ascii="Arial" w:cs="Arial" w:eastAsia="Arial" w:hAnsi="Arial"/>
          <w:b/>
          <w:bCs/>
          <w:color w:val="1b2a4a"/>
          <w:sz w:val="28"/>
          <w:szCs w:val="28"/>
        </w:rPr>
        <w:t xml:space="preserve">9.  Exemple chiffré complet (cas de référence)</w:t>
      </w:r>
    </w:p>
    <w:p>
      <w:pPr>
        <w:spacing w:after="110" w:before="0" w:line="274"/>
      </w:pPr>
      <w:r>
        <w:rPr>
          <w:rFonts w:ascii="Arial" w:cs="Arial" w:eastAsia="Arial" w:hAnsi="Arial"/>
          <w:b w:val="false"/>
          <w:bCs w:val="false"/>
          <w:i w:val="false"/>
          <w:iCs w:val="false"/>
          <w:color w:val="1c2530"/>
          <w:sz w:val="20"/>
          <w:szCs w:val="20"/>
        </w:rPr>
        <w:t xml:space="preserve">Cas de référence validé, servant à contrôler que le code calcule juste. Roche de référence (UCS élevé, ~325 MPa), humidité 8 %.</w:t>
      </w:r>
    </w:p>
    <w:p>
      <w:pPr>
        <w:pStyle w:val="Heading2"/>
        <w:spacing w:after="70" w:before="180"/>
      </w:pPr>
      <w:r>
        <w:rPr>
          <w:rFonts w:ascii="Arial" w:cs="Arial" w:eastAsia="Arial" w:hAnsi="Arial"/>
          <w:b/>
          <w:bCs/>
          <w:color w:val="22406e"/>
          <w:sz w:val="23"/>
          <w:szCs w:val="23"/>
        </w:rPr>
        <w:t xml:space="preserve">9.1  Zone 1.1 — mode 1A, alimentation 250 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00"/>
      </w:tblGrid>
      <w:tr>
        <w:trPr>
          <w:tblHeader/>
        </w:trPr>
        <w:tc>
          <w:tcPr>
            <w:tcW w:type="dxa" w:w="4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Grandeur</w:t>
            </w:r>
          </w:p>
        </w:tc>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Valeur</w:t>
            </w:r>
          </w:p>
        </w:tc>
        <w:tc>
          <w:tcPr>
            <w:tcW w:type="dxa" w:w="2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Part</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Alimentation</w:t>
            </w:r>
          </w:p>
        </w:tc>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250 t/h</w:t>
            </w:r>
          </w:p>
        </w:tc>
        <w:tc>
          <w:tcPr>
            <w:tcW w:type="dxa" w:w="2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100 %</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KFS 20/35 (humide)</w:t>
            </w:r>
          </w:p>
        </w:tc>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59,3 t/h</w:t>
            </w:r>
          </w:p>
        </w:tc>
        <w:tc>
          <w:tcPr>
            <w:tcW w:type="dxa" w:w="2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23,7 %</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Passant 0/20</w:t>
            </w:r>
          </w:p>
        </w:tc>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190,7 t/h</w:t>
            </w:r>
          </w:p>
        </w:tc>
        <w:tc>
          <w:tcPr>
            <w:tcW w:type="dxa" w:w="2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76,3 %</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Puissance CR.5009</w:t>
            </w:r>
          </w:p>
        </w:tc>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116 kW</w:t>
            </w:r>
          </w:p>
        </w:tc>
        <w:tc>
          <w:tcPr>
            <w:tcW w:type="dxa" w:w="2300"/>
            <w:shd w:fill="eef1f6" w:color="auto" w:val="clear"/>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Puissance CR.5011</w:t>
            </w:r>
          </w:p>
        </w:tc>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37 kW</w:t>
            </w:r>
          </w:p>
        </w:tc>
        <w:tc>
          <w:tcPr>
            <w:tcW w:type="dxa" w:w="2300"/>
            <w:tcMar>
              <w:top w:type="dxa" w:w="36"/>
              <w:left w:type="dxa" w:w="70"/>
              <w:bottom w:type="dxa" w:w="36"/>
              <w:right w:type="dxa" w:w="70"/>
            </w:tcMar>
          </w:tcPr>
          <w:p>
            <w:pPr>
              <w:spacing w:after="0" w:line="248"/>
            </w:pPr>
            <w:r>
              <w:rPr>
                <w:rFonts w:ascii="Arial" w:cs="Arial" w:eastAsia="Arial" w:hAnsi="Arial"/>
                <w:b w:val="false"/>
                <w:bCs w:val="false"/>
                <w:i w:val="false"/>
                <w:iCs w:val="false"/>
                <w:color w:val="1c2530"/>
                <w:sz w:val="17"/>
                <w:szCs w:val="17"/>
              </w:rPr>
              <w:t xml:space="preserve"/>
            </w:r>
          </w:p>
        </w:tc>
      </w:tr>
    </w:tbl>
    <w:p>
      <w:pPr>
        <w:pStyle w:val="Heading2"/>
        <w:spacing w:after="70" w:before="180"/>
      </w:pPr>
      <w:r>
        <w:rPr>
          <w:rFonts w:ascii="Arial" w:cs="Arial" w:eastAsia="Arial" w:hAnsi="Arial"/>
          <w:b/>
          <w:bCs/>
          <w:color w:val="22406e"/>
          <w:sz w:val="23"/>
          <w:szCs w:val="23"/>
        </w:rPr>
        <w:t xml:space="preserve">9.2  Zone 1.2 — mode 2A, reprise 100 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00"/>
      </w:tblGrid>
      <w:tr>
        <w:trPr>
          <w:tblHeader/>
        </w:trPr>
        <w:tc>
          <w:tcPr>
            <w:tcW w:type="dxa" w:w="4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Grandeur</w:t>
            </w:r>
          </w:p>
        </w:tc>
        <w:tc>
          <w:tcPr>
            <w:tcW w:type="dxa" w:w="24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Valeur</w:t>
            </w:r>
          </w:p>
        </w:tc>
        <w:tc>
          <w:tcPr>
            <w:tcW w:type="dxa" w:w="2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Part</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Reprise 0/20</w:t>
            </w:r>
          </w:p>
        </w:tc>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100 t/h</w:t>
            </w:r>
          </w:p>
        </w:tc>
        <w:tc>
          <w:tcPr>
            <w:tcW w:type="dxa" w:w="2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100 %</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AgLime 0/1,7 (humide)</w:t>
            </w:r>
          </w:p>
        </w:tc>
        <w:tc>
          <w:tcPr>
            <w:tcW w:type="dxa" w:w="24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55,0 t/h</w:t>
            </w:r>
          </w:p>
        </w:tc>
        <w:tc>
          <w:tcPr>
            <w:tcW w:type="dxa" w:w="2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55 %</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5-15</w:t>
            </w:r>
          </w:p>
        </w:tc>
        <w:tc>
          <w:tcPr>
            <w:tcW w:type="dxa" w:w="24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45,0 t/h</w:t>
            </w:r>
          </w:p>
        </w:tc>
        <w:tc>
          <w:tcPr>
            <w:tcW w:type="dxa" w:w="2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45 %</w:t>
            </w:r>
          </w:p>
        </w:tc>
      </w:tr>
    </w:tbl>
    <w:p>
      <w:pPr>
        <w:spacing w:after="110" w:before="0" w:line="274"/>
      </w:pPr>
      <w:r>
        <w:rPr>
          <w:rFonts w:ascii="Arial" w:cs="Arial" w:eastAsia="Arial" w:hAnsi="Arial"/>
          <w:b w:val="false"/>
          <w:bCs w:val="false"/>
          <w:i/>
          <w:iCs/>
          <w:color w:val="5b6675"/>
          <w:sz w:val="17"/>
          <w:szCs w:val="17"/>
        </w:rPr>
        <w:t xml:space="preserve">Conservation de masse : en circuit fermé à 1,7 mm, tout ce qui entre dans la boucle ressort en AgLime ; le split 55/45 est exact.</w:t>
      </w:r>
    </w:p>
    <w:p>
      <w:pPr>
        <w:pStyle w:val="Heading2"/>
        <w:spacing w:after="70" w:before="180"/>
      </w:pPr>
      <w:r>
        <w:rPr>
          <w:rFonts w:ascii="Arial" w:cs="Arial" w:eastAsia="Arial" w:hAnsi="Arial"/>
          <w:b/>
          <w:bCs/>
          <w:color w:val="22406e"/>
          <w:sz w:val="23"/>
          <w:szCs w:val="23"/>
        </w:rPr>
        <w:t xml:space="preserve">9.3  Zone 1.3 — FeedLime 30 t/h, 8 % → 0,5 %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Grandeur</w:t>
            </w:r>
          </w:p>
        </w:tc>
        <w:tc>
          <w:tcPr>
            <w:tcW w:type="dxa" w:w="47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Valeur</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Eau évaporée (vapeur)</w:t>
            </w:r>
          </w:p>
        </w:tc>
        <w:tc>
          <w:tcPr>
            <w:tcW w:type="dxa" w:w="4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2,3 t/h</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Grits 2-4 (sec)</w:t>
            </w:r>
          </w:p>
        </w:tc>
        <w:tc>
          <w:tcPr>
            <w:tcW w:type="dxa" w:w="4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10,1 t/h</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fines 0-1,5 (sec)</w:t>
            </w:r>
          </w:p>
        </w:tc>
        <w:tc>
          <w:tcPr>
            <w:tcW w:type="dxa" w:w="4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19,9 t/h</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UltraFin &lt; 100 µm</w:t>
            </w:r>
          </w:p>
        </w:tc>
        <w:tc>
          <w:tcPr>
            <w:tcW w:type="dxa" w:w="4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1,3 t/h</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Puissance ML.26</w:t>
            </w:r>
          </w:p>
        </w:tc>
        <w:tc>
          <w:tcPr>
            <w:tcW w:type="dxa" w:w="4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45 kW installé</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Puissance brûleur DY.03</w:t>
            </w:r>
          </w:p>
        </w:tc>
        <w:tc>
          <w:tcPr>
            <w:tcW w:type="dxa" w:w="4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3,8 MW</w:t>
            </w:r>
          </w:p>
        </w:tc>
      </w:tr>
    </w:tbl>
    <w:p>
      <w:pPr>
        <w:pStyle w:val="Heading2"/>
        <w:spacing w:after="70" w:before="180"/>
      </w:pPr>
      <w:r>
        <w:rPr>
          <w:rFonts w:ascii="Arial" w:cs="Arial" w:eastAsia="Arial" w:hAnsi="Arial"/>
          <w:b/>
          <w:bCs/>
          <w:color w:val="22406e"/>
          <w:sz w:val="23"/>
          <w:szCs w:val="23"/>
        </w:rPr>
        <w:t xml:space="preserve">9.4  Bilan annuel de référence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Flux</w:t>
            </w:r>
          </w:p>
        </w:tc>
        <w:tc>
          <w:tcPr>
            <w:tcW w:type="dxa" w:w="4700"/>
            <w:shd w:fill="1b2a4a" w:color="auto" w:val="clear"/>
            <w:tcMar>
              <w:top w:type="dxa" w:w="36"/>
              <w:left w:type="dxa" w:w="70"/>
              <w:bottom w:type="dxa" w:w="36"/>
              <w:right w:type="dxa" w:w="70"/>
            </w:tcMar>
          </w:tcPr>
          <w:p>
            <w:pPr>
              <w:spacing w:after="0" w:line="248"/>
            </w:pPr>
            <w:r>
              <w:rPr>
                <w:rFonts w:ascii="Arial" w:cs="Arial" w:eastAsia="Arial" w:hAnsi="Arial"/>
                <w:b/>
                <w:bCs/>
                <w:i w:val="false"/>
                <w:iCs w:val="false"/>
                <w:color w:val="ffffff"/>
                <w:sz w:val="17"/>
                <w:szCs w:val="17"/>
              </w:rPr>
              <w:t xml:space="preserve">Valeur (t/an)</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ENTRÉE — alimentation humide</w:t>
            </w:r>
          </w:p>
        </w:tc>
        <w:tc>
          <w:tcPr>
            <w:tcW w:type="dxa" w:w="4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328 700</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KFS 20/35 (humide)</w:t>
            </w:r>
          </w:p>
        </w:tc>
        <w:tc>
          <w:tcPr>
            <w:tcW w:type="dxa" w:w="4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85 000</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AgLime 0/1,7 (humide)</w:t>
            </w:r>
          </w:p>
        </w:tc>
        <w:tc>
          <w:tcPr>
            <w:tcW w:type="dxa" w:w="4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135 000</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grits 2-4 (sec)</w:t>
            </w:r>
          </w:p>
        </w:tc>
        <w:tc>
          <w:tcPr>
            <w:tcW w:type="dxa" w:w="4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40 000</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FeedLime fines 0/1,5 (sec)</w:t>
            </w:r>
          </w:p>
        </w:tc>
        <w:tc>
          <w:tcPr>
            <w:tcW w:type="dxa" w:w="4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56 000</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UltraFin &lt; 100 µm (sec)</w:t>
            </w:r>
          </w:p>
        </w:tc>
        <w:tc>
          <w:tcPr>
            <w:tcW w:type="dxa" w:w="4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4 000</w:t>
            </w:r>
          </w:p>
        </w:tc>
      </w:tr>
      <w:tr>
        <w:trPr>
          <w:tblHeader w:val="false"/>
        </w:trPr>
        <w:tc>
          <w:tcPr>
            <w:tcW w:type="dxa" w:w="43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Vapeur d'eau (séchage)</w:t>
            </w:r>
          </w:p>
        </w:tc>
        <w:tc>
          <w:tcPr>
            <w:tcW w:type="dxa" w:w="4700"/>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 8 700</w:t>
            </w:r>
          </w:p>
        </w:tc>
      </w:tr>
      <w:tr>
        <w:trPr>
          <w:tblHeader w:val="false"/>
        </w:trPr>
        <w:tc>
          <w:tcPr>
            <w:tcW w:type="dxa" w:w="43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Co-produit 0/20 (intermédiaire)</w:t>
            </w:r>
          </w:p>
        </w:tc>
        <w:tc>
          <w:tcPr>
            <w:tcW w:type="dxa" w:w="4700"/>
            <w:shd w:fill="eef1f6" w:color="auto" w:val="clear"/>
            <w:tcMar>
              <w:top w:type="dxa" w:w="36"/>
              <w:left w:type="dxa" w:w="70"/>
              <w:bottom w:type="dxa" w:w="36"/>
              <w:right w:type="dxa" w:w="70"/>
            </w:tcMar>
          </w:tcPr>
          <w:p>
            <w:pPr>
              <w:spacing w:after="0" w:line="248"/>
            </w:pPr>
            <w:r>
              <w:rPr>
                <w:rFonts w:ascii="Arial" w:cs="Arial" w:eastAsia="Arial" w:hAnsi="Arial"/>
                <w:b w:val="function bold() { [native code] }"/>
                <w:bCs w:val="function bold() { [native code] }"/>
                <w:i w:val="false"/>
                <w:iCs w:val="false"/>
                <w:color w:val="1c2530"/>
                <w:sz w:val="17"/>
                <w:szCs w:val="17"/>
              </w:rPr>
              <w:t xml:space="preserve">273 000</w:t>
            </w:r>
          </w:p>
        </w:tc>
      </w:tr>
    </w:tbl>
    <w:p>
      <w:pPr>
        <w:spacing w:after="110" w:before="0" w:line="274"/>
      </w:pPr>
      <w:r>
        <w:rPr>
          <w:rFonts w:ascii="Arial" w:cs="Arial" w:eastAsia="Arial" w:hAnsi="Arial"/>
          <w:b w:val="false"/>
          <w:bCs w:val="false"/>
          <w:i/>
          <w:iCs/>
          <w:color w:val="5b6675"/>
          <w:sz w:val="17"/>
          <w:szCs w:val="17"/>
        </w:rPr>
        <w:t xml:space="preserve">Bilan bouclé (écart nul). Le 0/20 co-produit (273 kt) dépasse les marchés aval (~239 kt) → excédent mécanique à arbitrer (chapitre 7.3).</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896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5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2026-08-08T12:40:04.026Z</dcterms:created>
  <dcterms:modified xsi:type="dcterms:W3CDTF">2026-08-08T12:40:04.030Z</dcterms:modified>
</cp:coreProperties>
</file>

<file path=docProps/custom.xml><?xml version="1.0" encoding="utf-8"?>
<Properties xmlns="http://schemas.openxmlformats.org/officeDocument/2006/custom-properties" xmlns:vt="http://schemas.openxmlformats.org/officeDocument/2006/docPropsVTypes"/>
</file>