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3E9D3" w14:textId="49702103" w:rsidR="00091019" w:rsidRPr="004C0A06" w:rsidRDefault="002017BF" w:rsidP="00345D88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4C0A06">
        <w:rPr>
          <w:rFonts w:eastAsia="Times New Roman"/>
          <w:b/>
          <w:bCs/>
          <w:lang w:val="en-US" w:eastAsia="fr-FR"/>
          <w14:ligatures w14:val="none"/>
        </w:rPr>
        <w:t xml:space="preserve"> </w:t>
      </w:r>
      <w:r w:rsidR="00345D88" w:rsidRPr="004C0A06">
        <w:rPr>
          <w:b/>
          <w:bCs/>
          <w:sz w:val="28"/>
          <w:szCs w:val="28"/>
          <w:lang w:val="en-US"/>
        </w:rPr>
        <w:t>(DE-)LEGITIMATION IN THE ANTHROPOCENE: A PERSPECTIVE OF AGONISTIC POLITICS</w:t>
      </w:r>
    </w:p>
    <w:p w14:paraId="4C1F4F85" w14:textId="77777777" w:rsidR="006E4607" w:rsidRPr="004C0A06" w:rsidRDefault="006E4607" w:rsidP="00345D88">
      <w:pPr>
        <w:pStyle w:val="Default"/>
        <w:spacing w:line="360" w:lineRule="auto"/>
        <w:jc w:val="center"/>
        <w:rPr>
          <w:rFonts w:eastAsia="Times New Roman"/>
          <w:b/>
          <w:bCs/>
          <w:lang w:val="en-US" w:eastAsia="fr-FR"/>
          <w14:ligatures w14:val="none"/>
        </w:rPr>
      </w:pPr>
    </w:p>
    <w:p w14:paraId="04BD3B8A" w14:textId="77777777" w:rsidR="00D66D28" w:rsidRPr="00185164" w:rsidRDefault="00D66D28" w:rsidP="00D66D28">
      <w:pPr>
        <w:keepNext/>
        <w:keepLines/>
        <w:spacing w:before="0" w:after="0"/>
        <w:jc w:val="center"/>
        <w:outlineLvl w:val="0"/>
        <w:rPr>
          <w:rFonts w:ascii="Times New Roman" w:eastAsia="DengXian Light" w:hAnsi="Times New Roman" w:cs="Times New Roman"/>
          <w:kern w:val="0"/>
          <w:lang w:val="fr-CH"/>
          <w14:ligatures w14:val="none"/>
        </w:rPr>
      </w:pPr>
      <w:r w:rsidRPr="00185164">
        <w:rPr>
          <w:rFonts w:ascii="Times New Roman" w:eastAsia="DengXian Light" w:hAnsi="Times New Roman" w:cs="Times New Roman"/>
          <w:kern w:val="0"/>
          <w:lang w:val="fr-CH"/>
          <w14:ligatures w14:val="none"/>
        </w:rPr>
        <w:t>PHILIPP CENSKOWSKY (</w:t>
      </w:r>
      <w:hyperlink r:id="rId7" w:history="1">
        <w:r w:rsidRPr="00185164">
          <w:rPr>
            <w:rFonts w:ascii="Times New Roman" w:eastAsia="DengXian Light" w:hAnsi="Times New Roman" w:cs="Times New Roman"/>
            <w:color w:val="0563C1"/>
            <w:kern w:val="0"/>
            <w:u w:val="single"/>
            <w:lang w:val="fr-CH"/>
            <w14:ligatures w14:val="none"/>
          </w:rPr>
          <w:t>philipp.censkowsky@unil.ch</w:t>
        </w:r>
      </w:hyperlink>
      <w:r w:rsidRPr="00185164">
        <w:rPr>
          <w:rFonts w:ascii="Times New Roman" w:eastAsia="DengXian Light" w:hAnsi="Times New Roman" w:cs="Times New Roman"/>
          <w:kern w:val="0"/>
          <w:lang w:val="fr-CH"/>
          <w14:ligatures w14:val="none"/>
        </w:rPr>
        <w:t>)</w:t>
      </w:r>
    </w:p>
    <w:p w14:paraId="6AA1C0DF" w14:textId="77777777" w:rsidR="00D66D28" w:rsidRPr="00185164" w:rsidRDefault="00D66D28" w:rsidP="00D66D28">
      <w:pPr>
        <w:spacing w:before="0" w:after="0" w:line="480" w:lineRule="auto"/>
        <w:jc w:val="center"/>
        <w:rPr>
          <w:rFonts w:ascii="Times New Roman" w:eastAsia="Calibri" w:hAnsi="Times New Roman" w:cs="Arial"/>
          <w:kern w:val="0"/>
          <w:szCs w:val="22"/>
          <w:lang w:val="fr-CH"/>
          <w14:ligatures w14:val="none"/>
        </w:rPr>
      </w:pPr>
      <w:r w:rsidRPr="00185164">
        <w:rPr>
          <w:rFonts w:ascii="Times New Roman" w:eastAsia="Calibri" w:hAnsi="Times New Roman" w:cs="Arial"/>
          <w:kern w:val="0"/>
          <w:lang w:val="fr-CH"/>
          <w14:ligatures w14:val="none"/>
        </w:rPr>
        <w:t>DÉBORAH PHILIPPE (</w:t>
      </w:r>
      <w:hyperlink r:id="rId8" w:history="1">
        <w:r w:rsidRPr="00185164">
          <w:rPr>
            <w:rFonts w:ascii="Times New Roman" w:eastAsia="Calibri" w:hAnsi="Times New Roman" w:cs="Arial"/>
            <w:color w:val="0563C1"/>
            <w:kern w:val="0"/>
            <w:u w:val="single"/>
            <w:lang w:val="fr-CH"/>
            <w14:ligatures w14:val="none"/>
          </w:rPr>
          <w:t>deborah.philippe@unil.ch</w:t>
        </w:r>
      </w:hyperlink>
      <w:r w:rsidRPr="00185164">
        <w:rPr>
          <w:rFonts w:ascii="Times New Roman" w:eastAsia="Calibri" w:hAnsi="Times New Roman" w:cs="Arial"/>
          <w:kern w:val="0"/>
          <w:lang w:val="fr-CH"/>
          <w14:ligatures w14:val="none"/>
        </w:rPr>
        <w:t>)</w:t>
      </w:r>
    </w:p>
    <w:p w14:paraId="5A711D80" w14:textId="77777777" w:rsidR="00D66D28" w:rsidRPr="004C0A06" w:rsidRDefault="00D66D28" w:rsidP="00D66D28">
      <w:pPr>
        <w:spacing w:before="0" w:after="0"/>
        <w:jc w:val="center"/>
        <w:rPr>
          <w:rFonts w:ascii="Times New Roman" w:eastAsia="Calibri" w:hAnsi="Times New Roman" w:cs="Arial"/>
          <w:kern w:val="0"/>
          <w:szCs w:val="22"/>
          <w14:ligatures w14:val="none"/>
        </w:rPr>
      </w:pPr>
      <w:r w:rsidRPr="004C0A06">
        <w:rPr>
          <w:rFonts w:ascii="Times New Roman" w:eastAsia="Calibri" w:hAnsi="Times New Roman" w:cs="Arial"/>
          <w:kern w:val="0"/>
          <w:szCs w:val="22"/>
          <w14:ligatures w14:val="none"/>
        </w:rPr>
        <w:t>FACULTY OF BUSINESS AND ECONOMICS</w:t>
      </w:r>
    </w:p>
    <w:p w14:paraId="4085A652" w14:textId="77777777" w:rsidR="00D66D28" w:rsidRPr="004C0A06" w:rsidRDefault="00D66D28" w:rsidP="00D66D28">
      <w:pPr>
        <w:spacing w:before="0" w:after="0"/>
        <w:jc w:val="center"/>
        <w:rPr>
          <w:rFonts w:ascii="Times New Roman" w:eastAsia="Calibri" w:hAnsi="Times New Roman" w:cs="Arial"/>
          <w:kern w:val="0"/>
          <w:szCs w:val="22"/>
          <w14:ligatures w14:val="none"/>
        </w:rPr>
      </w:pPr>
      <w:r w:rsidRPr="004C0A06">
        <w:rPr>
          <w:rFonts w:ascii="Times New Roman" w:eastAsia="Calibri" w:hAnsi="Times New Roman" w:cs="Arial"/>
          <w:kern w:val="0"/>
          <w:szCs w:val="22"/>
          <w14:ligatures w14:val="none"/>
        </w:rPr>
        <w:t>UNIVERSITY OF LAUSANNE (SWITZERLAND)</w:t>
      </w:r>
    </w:p>
    <w:p w14:paraId="1BEAC50F" w14:textId="77777777" w:rsidR="003A17A0" w:rsidRPr="004C0A06" w:rsidRDefault="003A17A0" w:rsidP="003A17A0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</w:p>
    <w:p w14:paraId="7C747663" w14:textId="75BCBF12" w:rsidR="007C644A" w:rsidRPr="004C0A06" w:rsidRDefault="00BE4E5C" w:rsidP="00345D88">
      <w:pPr>
        <w:pStyle w:val="Default"/>
        <w:spacing w:line="360" w:lineRule="auto"/>
        <w:jc w:val="center"/>
        <w:rPr>
          <w:rFonts w:eastAsia="Times New Roman"/>
          <w:b/>
          <w:bCs/>
          <w:sz w:val="28"/>
          <w:szCs w:val="28"/>
          <w:lang w:val="en-US" w:eastAsia="fr-FR"/>
          <w14:ligatures w14:val="none"/>
        </w:rPr>
      </w:pPr>
      <w:r w:rsidRPr="004C0A06">
        <w:rPr>
          <w:rFonts w:eastAsia="Times New Roman"/>
          <w:b/>
          <w:bCs/>
          <w:sz w:val="28"/>
          <w:szCs w:val="28"/>
          <w:lang w:val="en-US" w:eastAsia="fr-FR"/>
          <w14:ligatures w14:val="none"/>
        </w:rPr>
        <w:t>CODEBOOK</w:t>
      </w:r>
    </w:p>
    <w:p w14:paraId="67A78FB1" w14:textId="77777777" w:rsidR="003A17A0" w:rsidRPr="004C0A06" w:rsidRDefault="003A17A0" w:rsidP="003A17A0">
      <w:pPr>
        <w:pStyle w:val="Default"/>
        <w:spacing w:line="360" w:lineRule="auto"/>
        <w:rPr>
          <w:rFonts w:eastAsia="Times New Roman"/>
          <w:b/>
          <w:bCs/>
          <w:lang w:val="en-US" w:eastAsia="fr-FR"/>
          <w14:ligatures w14:val="none"/>
        </w:rPr>
      </w:pPr>
    </w:p>
    <w:p w14:paraId="612A8E73" w14:textId="77777777" w:rsidR="00D04508" w:rsidRPr="004C0A06" w:rsidRDefault="003A17A0" w:rsidP="00345D88">
      <w:pPr>
        <w:pStyle w:val="Default"/>
        <w:spacing w:line="360" w:lineRule="auto"/>
        <w:jc w:val="center"/>
        <w:rPr>
          <w:rFonts w:eastAsia="Times New Roman"/>
          <w:b/>
          <w:bCs/>
          <w:lang w:val="en-US" w:eastAsia="fr-FR"/>
          <w14:ligatures w14:val="none"/>
        </w:rPr>
      </w:pPr>
      <w:r w:rsidRPr="004C0A06">
        <w:rPr>
          <w:rFonts w:eastAsia="Times New Roman"/>
          <w:b/>
          <w:bCs/>
          <w:lang w:val="en-US" w:eastAsia="fr-FR"/>
          <w14:ligatures w14:val="none"/>
        </w:rPr>
        <w:t>-----------------------------------------------------------------------------------</w:t>
      </w:r>
    </w:p>
    <w:p w14:paraId="6CB35AD8" w14:textId="77777777" w:rsidR="003A17A0" w:rsidRPr="004C0A06" w:rsidRDefault="003A17A0" w:rsidP="00345D88">
      <w:pPr>
        <w:pStyle w:val="Default"/>
        <w:spacing w:line="360" w:lineRule="auto"/>
        <w:jc w:val="center"/>
        <w:rPr>
          <w:rFonts w:eastAsia="Times New Roman"/>
          <w:b/>
          <w:bCs/>
          <w:lang w:val="en-US" w:eastAsia="fr-FR"/>
          <w14:ligatures w14:val="none"/>
        </w:rPr>
      </w:pPr>
    </w:p>
    <w:p w14:paraId="27CEE390" w14:textId="77777777" w:rsidR="005C49C7" w:rsidRPr="004C0A06" w:rsidRDefault="005C49C7" w:rsidP="005C49C7">
      <w:pPr>
        <w:pStyle w:val="Default"/>
        <w:spacing w:line="360" w:lineRule="auto"/>
        <w:jc w:val="both"/>
        <w:rPr>
          <w:rFonts w:eastAsia="Times New Roman"/>
          <w:b/>
          <w:bCs/>
          <w:lang w:val="en-US" w:eastAsia="fr-FR"/>
          <w14:ligatures w14:val="none"/>
        </w:rPr>
      </w:pPr>
      <w:r w:rsidRPr="004C0A06">
        <w:rPr>
          <w:rFonts w:eastAsia="Times New Roman"/>
          <w:b/>
          <w:bCs/>
          <w:lang w:val="en-US" w:eastAsia="fr-FR"/>
          <w14:ligatures w14:val="none"/>
        </w:rPr>
        <w:t>User guide/description (for peer review):</w:t>
      </w:r>
    </w:p>
    <w:p w14:paraId="46FCDA70" w14:textId="77777777" w:rsidR="005C49C7" w:rsidRPr="004C0A06" w:rsidRDefault="005C49C7" w:rsidP="005C49C7">
      <w:pPr>
        <w:pStyle w:val="Default"/>
        <w:spacing w:line="360" w:lineRule="auto"/>
        <w:jc w:val="both"/>
        <w:rPr>
          <w:rFonts w:eastAsia="Times New Roman"/>
          <w:lang w:val="en-US" w:eastAsia="fr-FR"/>
          <w14:ligatures w14:val="none"/>
        </w:rPr>
      </w:pPr>
    </w:p>
    <w:p w14:paraId="6D54CD55" w14:textId="633E33DB" w:rsidR="005C49C7" w:rsidRPr="004C0A06" w:rsidRDefault="005C49C7" w:rsidP="005C49C7">
      <w:pPr>
        <w:pStyle w:val="Default"/>
        <w:spacing w:line="360" w:lineRule="auto"/>
        <w:jc w:val="both"/>
        <w:rPr>
          <w:lang w:val="en-US"/>
        </w:rPr>
      </w:pPr>
      <w:r w:rsidRPr="004C0A06">
        <w:rPr>
          <w:lang w:val="en-US"/>
        </w:rPr>
        <w:t xml:space="preserve">We coded the assembled data corpus in the following, systematic matter: </w:t>
      </w:r>
    </w:p>
    <w:p w14:paraId="69561D21" w14:textId="5A4EC153" w:rsidR="005C49C7" w:rsidRPr="004C0A06" w:rsidRDefault="005C49C7" w:rsidP="005C49C7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4C0A06">
        <w:rPr>
          <w:lang w:val="en-US"/>
        </w:rPr>
        <w:t xml:space="preserve">We divided actors into challengers and incumbents, which we coded separately </w:t>
      </w:r>
    </w:p>
    <w:p w14:paraId="27A8605E" w14:textId="77777777" w:rsidR="005C49C7" w:rsidRPr="004C0A06" w:rsidRDefault="005C49C7" w:rsidP="005C49C7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4C0A06">
        <w:rPr>
          <w:lang w:val="en-US"/>
        </w:rPr>
        <w:t>Incumbents: Individuals or organizations whose communications clearly endorse fossil fuel expansion, i.e., developing new fields after 2021</w:t>
      </w:r>
    </w:p>
    <w:p w14:paraId="04275E7E" w14:textId="77777777" w:rsidR="005C49C7" w:rsidRPr="004C0A06" w:rsidRDefault="005C49C7" w:rsidP="005C49C7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4C0A06">
        <w:rPr>
          <w:lang w:val="en-US"/>
        </w:rPr>
        <w:t>Challengers: Individuals or organizations whose communications clearly disprove of fossil fuel expansion, i.e., developing new fields after 2021</w:t>
      </w:r>
    </w:p>
    <w:p w14:paraId="7560C2F7" w14:textId="3E1C57F4" w:rsidR="005C49C7" w:rsidRPr="004C0A06" w:rsidRDefault="005C49C7" w:rsidP="005C49C7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4C0A06">
        <w:rPr>
          <w:lang w:val="en-US"/>
        </w:rPr>
        <w:t xml:space="preserve">We </w:t>
      </w:r>
      <w:r w:rsidR="00241680">
        <w:rPr>
          <w:lang w:val="en-US"/>
        </w:rPr>
        <w:t>distinguished</w:t>
      </w:r>
      <w:r w:rsidRPr="004C0A06">
        <w:rPr>
          <w:lang w:val="en-US"/>
        </w:rPr>
        <w:t xml:space="preserve"> utterances into the following categories</w:t>
      </w:r>
      <w:r w:rsidR="008315C1">
        <w:rPr>
          <w:lang w:val="en-US"/>
        </w:rPr>
        <w:t xml:space="preserve"> representing </w:t>
      </w:r>
      <w:r w:rsidR="008315C1">
        <w:rPr>
          <w:i/>
          <w:iCs/>
          <w:lang w:val="en-US"/>
        </w:rPr>
        <w:t>beliefs</w:t>
      </w:r>
      <w:r w:rsidRPr="004C0A06">
        <w:rPr>
          <w:lang w:val="en-US"/>
        </w:rPr>
        <w:t xml:space="preserve"> which actors used to justify (incumbents) or disprove of fossil fuel expansion (challengers).</w:t>
      </w:r>
    </w:p>
    <w:p w14:paraId="1C24761B" w14:textId="16497EC7" w:rsidR="005C49C7" w:rsidRPr="004C0A06" w:rsidRDefault="005C49C7" w:rsidP="005C49C7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4C0A06">
        <w:rPr>
          <w:b/>
          <w:bCs/>
          <w:i/>
          <w:iCs/>
          <w:lang w:val="en-US"/>
        </w:rPr>
        <w:t>Climate/environmental</w:t>
      </w:r>
      <w:r w:rsidRPr="004C0A06">
        <w:rPr>
          <w:lang w:val="en-US"/>
        </w:rPr>
        <w:t xml:space="preserve"> (code</w:t>
      </w:r>
      <w:r w:rsidR="00B77438" w:rsidRPr="004C0A06">
        <w:rPr>
          <w:lang w:val="en-US"/>
        </w:rPr>
        <w:t>s</w:t>
      </w:r>
      <w:r w:rsidRPr="004C0A06">
        <w:rPr>
          <w:lang w:val="en-US"/>
        </w:rPr>
        <w:t xml:space="preserve"> 100)</w:t>
      </w:r>
    </w:p>
    <w:p w14:paraId="3DD3A8F9" w14:textId="1C91463A" w:rsidR="005C49C7" w:rsidRPr="004C0A06" w:rsidRDefault="005C49C7" w:rsidP="005C49C7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4C0A06">
        <w:rPr>
          <w:b/>
          <w:bCs/>
          <w:i/>
          <w:iCs/>
          <w:lang w:val="en-US"/>
        </w:rPr>
        <w:t>Economic/fiscal</w:t>
      </w:r>
      <w:r w:rsidRPr="004C0A06">
        <w:rPr>
          <w:lang w:val="en-US"/>
        </w:rPr>
        <w:t xml:space="preserve"> (code</w:t>
      </w:r>
      <w:r w:rsidR="00B77438" w:rsidRPr="004C0A06">
        <w:rPr>
          <w:lang w:val="en-US"/>
        </w:rPr>
        <w:t>s</w:t>
      </w:r>
      <w:r w:rsidRPr="004C0A06">
        <w:rPr>
          <w:lang w:val="en-US"/>
        </w:rPr>
        <w:t xml:space="preserve"> 200)</w:t>
      </w:r>
    </w:p>
    <w:p w14:paraId="7C063703" w14:textId="577EF34A" w:rsidR="005C49C7" w:rsidRPr="004C0A06" w:rsidRDefault="005C49C7" w:rsidP="005C49C7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4C0A06">
        <w:rPr>
          <w:b/>
          <w:bCs/>
          <w:i/>
          <w:iCs/>
          <w:lang w:val="en-US"/>
        </w:rPr>
        <w:t>Political/geopolitical</w:t>
      </w:r>
      <w:r w:rsidR="0010461D">
        <w:rPr>
          <w:b/>
          <w:bCs/>
          <w:i/>
          <w:iCs/>
          <w:lang w:val="en-US"/>
        </w:rPr>
        <w:t>/legal</w:t>
      </w:r>
      <w:r w:rsidRPr="004C0A06">
        <w:rPr>
          <w:lang w:val="en-US"/>
        </w:rPr>
        <w:t xml:space="preserve"> (code</w:t>
      </w:r>
      <w:r w:rsidR="00B77438" w:rsidRPr="004C0A06">
        <w:rPr>
          <w:lang w:val="en-US"/>
        </w:rPr>
        <w:t>s</w:t>
      </w:r>
      <w:r w:rsidRPr="004C0A06">
        <w:rPr>
          <w:lang w:val="en-US"/>
        </w:rPr>
        <w:t xml:space="preserve"> 300)</w:t>
      </w:r>
    </w:p>
    <w:p w14:paraId="15797723" w14:textId="673D049D" w:rsidR="005C49C7" w:rsidRPr="004C0A06" w:rsidRDefault="005C49C7" w:rsidP="005C49C7">
      <w:pPr>
        <w:pStyle w:val="Default"/>
        <w:numPr>
          <w:ilvl w:val="0"/>
          <w:numId w:val="1"/>
        </w:numPr>
        <w:spacing w:line="360" w:lineRule="auto"/>
        <w:jc w:val="both"/>
        <w:rPr>
          <w:b/>
          <w:bCs/>
          <w:i/>
          <w:iCs/>
          <w:lang w:val="en-US"/>
        </w:rPr>
      </w:pPr>
      <w:r w:rsidRPr="004C0A06">
        <w:rPr>
          <w:lang w:val="en-US"/>
        </w:rPr>
        <w:t>W</w:t>
      </w:r>
      <w:r w:rsidR="00D94B1A">
        <w:rPr>
          <w:lang w:val="en-US"/>
        </w:rPr>
        <w:t>e distinguished</w:t>
      </w:r>
      <w:r w:rsidRPr="004C0A06">
        <w:rPr>
          <w:lang w:val="en-US"/>
        </w:rPr>
        <w:t xml:space="preserve"> utterances</w:t>
      </w:r>
      <w:r w:rsidR="00D94B1A">
        <w:rPr>
          <w:lang w:val="en-US"/>
        </w:rPr>
        <w:t xml:space="preserve"> into the following categories representing </w:t>
      </w:r>
      <w:r w:rsidR="00D94B1A">
        <w:rPr>
          <w:i/>
          <w:iCs/>
          <w:lang w:val="en-US"/>
        </w:rPr>
        <w:t xml:space="preserve">actions </w:t>
      </w:r>
      <w:r w:rsidR="00D94B1A">
        <w:rPr>
          <w:lang w:val="en-US"/>
        </w:rPr>
        <w:t xml:space="preserve">or </w:t>
      </w:r>
      <w:r w:rsidR="00D94B1A">
        <w:rPr>
          <w:i/>
          <w:iCs/>
          <w:lang w:val="en-US"/>
        </w:rPr>
        <w:t xml:space="preserve">strategies </w:t>
      </w:r>
      <w:r w:rsidR="00525BDE">
        <w:rPr>
          <w:lang w:val="en-US"/>
        </w:rPr>
        <w:t>used to</w:t>
      </w:r>
      <w:r w:rsidR="00482F3C">
        <w:rPr>
          <w:lang w:val="en-US"/>
        </w:rPr>
        <w:t xml:space="preserve"> </w:t>
      </w:r>
      <w:r w:rsidR="00525BDE">
        <w:rPr>
          <w:lang w:val="en-US"/>
        </w:rPr>
        <w:t xml:space="preserve">achieve </w:t>
      </w:r>
      <w:r w:rsidR="000B59A1">
        <w:rPr>
          <w:lang w:val="en-US"/>
        </w:rPr>
        <w:t xml:space="preserve">the </w:t>
      </w:r>
      <w:r w:rsidR="00482F3C">
        <w:rPr>
          <w:lang w:val="en-US"/>
        </w:rPr>
        <w:t>goal</w:t>
      </w:r>
      <w:r w:rsidR="00525BDE">
        <w:rPr>
          <w:lang w:val="en-US"/>
        </w:rPr>
        <w:t>s</w:t>
      </w:r>
      <w:r w:rsidR="00482F3C">
        <w:rPr>
          <w:lang w:val="en-US"/>
        </w:rPr>
        <w:t xml:space="preserve"> </w:t>
      </w:r>
      <w:r w:rsidR="00525BDE">
        <w:rPr>
          <w:lang w:val="en-US"/>
        </w:rPr>
        <w:t xml:space="preserve">of the </w:t>
      </w:r>
      <w:r w:rsidR="007C5D4D">
        <w:rPr>
          <w:lang w:val="en-US"/>
        </w:rPr>
        <w:t xml:space="preserve">incumbent/challenger </w:t>
      </w:r>
      <w:r w:rsidR="00793FB8">
        <w:rPr>
          <w:lang w:val="en-US"/>
        </w:rPr>
        <w:t xml:space="preserve">field </w:t>
      </w:r>
      <w:r w:rsidR="007C5D4D">
        <w:rPr>
          <w:lang w:val="en-US"/>
        </w:rPr>
        <w:t>population</w:t>
      </w:r>
      <w:r w:rsidR="0094024F">
        <w:rPr>
          <w:lang w:val="en-US"/>
        </w:rPr>
        <w:t>:</w:t>
      </w:r>
    </w:p>
    <w:p w14:paraId="6FDC35BB" w14:textId="0979DFA5" w:rsidR="005C49C7" w:rsidRPr="004C0A06" w:rsidRDefault="005C49C7" w:rsidP="005C49C7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4C0A06">
        <w:rPr>
          <w:b/>
          <w:bCs/>
          <w:i/>
          <w:iCs/>
          <w:lang w:val="en-US"/>
        </w:rPr>
        <w:t>Legal action</w:t>
      </w:r>
      <w:r w:rsidRPr="004C0A06">
        <w:rPr>
          <w:lang w:val="en-US"/>
        </w:rPr>
        <w:t xml:space="preserve"> (code</w:t>
      </w:r>
      <w:r w:rsidR="00B77438" w:rsidRPr="004C0A06">
        <w:rPr>
          <w:lang w:val="en-US"/>
        </w:rPr>
        <w:t>s</w:t>
      </w:r>
      <w:r w:rsidRPr="004C0A06">
        <w:rPr>
          <w:lang w:val="en-US"/>
        </w:rPr>
        <w:t xml:space="preserve"> 400)</w:t>
      </w:r>
    </w:p>
    <w:p w14:paraId="6E0633BA" w14:textId="23856F72" w:rsidR="005C49C7" w:rsidRPr="004C0A06" w:rsidRDefault="005C49C7" w:rsidP="005C49C7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4C0A06">
        <w:rPr>
          <w:b/>
          <w:bCs/>
          <w:i/>
          <w:iCs/>
          <w:lang w:val="en-US"/>
        </w:rPr>
        <w:t>Political lobbying</w:t>
      </w:r>
      <w:r w:rsidRPr="004C0A06">
        <w:rPr>
          <w:lang w:val="en-US"/>
        </w:rPr>
        <w:t xml:space="preserve"> (code</w:t>
      </w:r>
      <w:r w:rsidR="00B77438" w:rsidRPr="004C0A06">
        <w:rPr>
          <w:lang w:val="en-US"/>
        </w:rPr>
        <w:t>s</w:t>
      </w:r>
      <w:r w:rsidRPr="004C0A06">
        <w:rPr>
          <w:lang w:val="en-US"/>
        </w:rPr>
        <w:t xml:space="preserve"> 500)</w:t>
      </w:r>
    </w:p>
    <w:p w14:paraId="7EFB5CE1" w14:textId="51112C39" w:rsidR="005C49C7" w:rsidRDefault="005C49C7" w:rsidP="005C49C7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 w:rsidRPr="004C0A06">
        <w:rPr>
          <w:b/>
          <w:bCs/>
          <w:i/>
          <w:iCs/>
          <w:lang w:val="en-US"/>
        </w:rPr>
        <w:t>Corporate strategy</w:t>
      </w:r>
      <w:r w:rsidRPr="004C0A06">
        <w:rPr>
          <w:lang w:val="en-US"/>
        </w:rPr>
        <w:t xml:space="preserve"> (code</w:t>
      </w:r>
      <w:r w:rsidR="00B77438" w:rsidRPr="004C0A06">
        <w:rPr>
          <w:lang w:val="en-US"/>
        </w:rPr>
        <w:t>s</w:t>
      </w:r>
      <w:r w:rsidRPr="004C0A06">
        <w:rPr>
          <w:lang w:val="en-US"/>
        </w:rPr>
        <w:t xml:space="preserve"> 600)</w:t>
      </w:r>
    </w:p>
    <w:p w14:paraId="6ADF1B74" w14:textId="020CF074" w:rsidR="00F539C8" w:rsidRDefault="005C2160" w:rsidP="00F539C8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We coded the </w:t>
      </w:r>
      <w:r w:rsidR="00BE2E39">
        <w:rPr>
          <w:lang w:val="en-US"/>
        </w:rPr>
        <w:t xml:space="preserve">stated </w:t>
      </w:r>
      <w:r w:rsidRPr="004078D2">
        <w:rPr>
          <w:lang w:val="en-US"/>
        </w:rPr>
        <w:t>goals</w:t>
      </w:r>
      <w:r w:rsidR="00BE2E39">
        <w:rPr>
          <w:lang w:val="en-US"/>
        </w:rPr>
        <w:t xml:space="preserve"> of each </w:t>
      </w:r>
      <w:r w:rsidR="00A22716">
        <w:rPr>
          <w:lang w:val="en-US"/>
        </w:rPr>
        <w:t>field population</w:t>
      </w:r>
      <w:r w:rsidR="004078D2">
        <w:rPr>
          <w:lang w:val="en-US"/>
        </w:rPr>
        <w:t xml:space="preserve"> in the following way:</w:t>
      </w:r>
      <w:r w:rsidR="004D2659">
        <w:rPr>
          <w:lang w:val="en-US"/>
        </w:rPr>
        <w:t xml:space="preserve"> </w:t>
      </w:r>
    </w:p>
    <w:p w14:paraId="26E1808E" w14:textId="652D7B36" w:rsidR="004078D2" w:rsidRDefault="00B5354B" w:rsidP="004078D2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b/>
          <w:bCs/>
          <w:i/>
          <w:iCs/>
          <w:lang w:val="en-US"/>
        </w:rPr>
        <w:t>Goals of the incumbent field</w:t>
      </w:r>
    </w:p>
    <w:p w14:paraId="7644D7E7" w14:textId="28C4B725" w:rsidR="00882C7F" w:rsidRPr="004C0A06" w:rsidRDefault="00882C7F" w:rsidP="004078D2">
      <w:pPr>
        <w:pStyle w:val="Default"/>
        <w:numPr>
          <w:ilvl w:val="1"/>
          <w:numId w:val="1"/>
        </w:numPr>
        <w:spacing w:line="360" w:lineRule="auto"/>
        <w:jc w:val="both"/>
        <w:rPr>
          <w:lang w:val="en-US"/>
        </w:rPr>
      </w:pPr>
      <w:r>
        <w:rPr>
          <w:b/>
          <w:bCs/>
          <w:i/>
          <w:iCs/>
          <w:lang w:val="en-US"/>
        </w:rPr>
        <w:t xml:space="preserve">Goals of the challenger field </w:t>
      </w:r>
      <w:r>
        <w:rPr>
          <w:lang w:val="en-US"/>
        </w:rPr>
        <w:t>(both codes 700)</w:t>
      </w:r>
    </w:p>
    <w:p w14:paraId="0C271CC0" w14:textId="77777777" w:rsidR="005C49C7" w:rsidRPr="004C0A06" w:rsidRDefault="005C49C7" w:rsidP="005C49C7">
      <w:pPr>
        <w:pStyle w:val="Default"/>
        <w:spacing w:line="360" w:lineRule="auto"/>
        <w:jc w:val="both"/>
        <w:rPr>
          <w:b/>
          <w:bCs/>
          <w:lang w:val="en-US"/>
        </w:rPr>
      </w:pPr>
    </w:p>
    <w:p w14:paraId="5386B2B6" w14:textId="361A66FF" w:rsidR="005C49C7" w:rsidRPr="004C0A06" w:rsidRDefault="00F94A0B" w:rsidP="005C49C7">
      <w:pPr>
        <w:pStyle w:val="Default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W</w:t>
      </w:r>
      <w:r w:rsidR="00ED3168">
        <w:rPr>
          <w:lang w:val="en-US"/>
        </w:rPr>
        <w:t xml:space="preserve">e </w:t>
      </w:r>
      <w:r w:rsidR="00340E38">
        <w:rPr>
          <w:lang w:val="en-US"/>
        </w:rPr>
        <w:t>coded beliefs and actions with respect to the following question or ‘</w:t>
      </w:r>
      <w:r w:rsidR="00ED3168">
        <w:rPr>
          <w:lang w:val="en-US"/>
        </w:rPr>
        <w:t>wedge issue</w:t>
      </w:r>
      <w:r w:rsidR="00340E38">
        <w:rPr>
          <w:lang w:val="en-US"/>
        </w:rPr>
        <w:t>’ studied:</w:t>
      </w:r>
      <w:r w:rsidR="00ED3168">
        <w:rPr>
          <w:lang w:val="en-US"/>
        </w:rPr>
        <w:t xml:space="preserve"> </w:t>
      </w:r>
      <w:r w:rsidR="00340E38">
        <w:rPr>
          <w:lang w:val="en-US"/>
        </w:rPr>
        <w:t>do actors endorse fossil fuel expansion after 2021 or disprove of it?</w:t>
      </w:r>
      <w:r w:rsidR="005C49C7" w:rsidRPr="004C0A06">
        <w:rPr>
          <w:lang w:val="en-US"/>
        </w:rPr>
        <w:t xml:space="preserve"> </w:t>
      </w:r>
      <w:r w:rsidR="0099318C">
        <w:rPr>
          <w:lang w:val="en-US"/>
        </w:rPr>
        <w:t xml:space="preserve">To justify </w:t>
      </w:r>
      <w:r w:rsidR="00333141">
        <w:rPr>
          <w:lang w:val="en-US"/>
        </w:rPr>
        <w:t xml:space="preserve">respective </w:t>
      </w:r>
      <w:r w:rsidR="0099318C">
        <w:rPr>
          <w:lang w:val="en-US"/>
        </w:rPr>
        <w:t>beliefs</w:t>
      </w:r>
      <w:r w:rsidR="00333141">
        <w:rPr>
          <w:lang w:val="en-US"/>
        </w:rPr>
        <w:t xml:space="preserve"> or actions, actors draw on the same general categories</w:t>
      </w:r>
      <w:r w:rsidR="007756E4">
        <w:rPr>
          <w:lang w:val="en-US"/>
        </w:rPr>
        <w:t xml:space="preserve"> as stated above. </w:t>
      </w:r>
      <w:r w:rsidR="009F5A2B">
        <w:rPr>
          <w:lang w:val="en-US"/>
        </w:rPr>
        <w:t>Hence</w:t>
      </w:r>
      <w:r w:rsidR="005C49C7" w:rsidRPr="004C0A06">
        <w:rPr>
          <w:lang w:val="en-US"/>
        </w:rPr>
        <w:t xml:space="preserve">, incumbents were given the 101, 102, 103 when they used climate/environmental arguments </w:t>
      </w:r>
      <w:r w:rsidR="005C49C7" w:rsidRPr="004C0A06">
        <w:rPr>
          <w:i/>
          <w:iCs/>
          <w:lang w:val="en-US"/>
        </w:rPr>
        <w:t xml:space="preserve">in favor </w:t>
      </w:r>
      <w:r w:rsidR="005C49C7" w:rsidRPr="004C0A06">
        <w:rPr>
          <w:lang w:val="en-US"/>
        </w:rPr>
        <w:t>of fossil fuel expansion in Norway or the U.K.</w:t>
      </w:r>
      <w:r w:rsidR="00200814">
        <w:rPr>
          <w:lang w:val="en-US"/>
        </w:rPr>
        <w:t xml:space="preserve"> An example of this logic </w:t>
      </w:r>
      <w:r w:rsidR="00F429B7">
        <w:rPr>
          <w:lang w:val="en-US"/>
        </w:rPr>
        <w:t>is th</w:t>
      </w:r>
      <w:r w:rsidR="001F36F6">
        <w:rPr>
          <w:lang w:val="en-US"/>
        </w:rPr>
        <w:t xml:space="preserve">e argument that the production of fossil fuels is </w:t>
      </w:r>
      <w:r w:rsidR="001F36F6">
        <w:rPr>
          <w:i/>
          <w:iCs/>
          <w:lang w:val="en-US"/>
        </w:rPr>
        <w:t xml:space="preserve">relatively </w:t>
      </w:r>
      <w:r w:rsidR="001F36F6">
        <w:rPr>
          <w:lang w:val="en-US"/>
        </w:rPr>
        <w:t>cleaner than abroad</w:t>
      </w:r>
      <w:r w:rsidR="00FD6CDA">
        <w:rPr>
          <w:lang w:val="en-US"/>
        </w:rPr>
        <w:t xml:space="preserve">, supporting the rationale of </w:t>
      </w:r>
      <w:r w:rsidR="002D6EEF">
        <w:rPr>
          <w:lang w:val="en-US"/>
        </w:rPr>
        <w:t>producing</w:t>
      </w:r>
      <w:r w:rsidR="00011BF9">
        <w:rPr>
          <w:lang w:val="en-US"/>
        </w:rPr>
        <w:t xml:space="preserve"> </w:t>
      </w:r>
      <w:r w:rsidR="00011BF9">
        <w:rPr>
          <w:i/>
          <w:iCs/>
          <w:lang w:val="en-US"/>
        </w:rPr>
        <w:t xml:space="preserve">more </w:t>
      </w:r>
      <w:r w:rsidR="00C53CE1">
        <w:rPr>
          <w:lang w:val="en-US"/>
        </w:rPr>
        <w:t>in Norway/the UK</w:t>
      </w:r>
      <w:r w:rsidR="003A24FC">
        <w:rPr>
          <w:lang w:val="en-US"/>
        </w:rPr>
        <w:t>.</w:t>
      </w:r>
      <w:r w:rsidR="005C49C7" w:rsidRPr="004C0A06">
        <w:rPr>
          <w:lang w:val="en-US"/>
        </w:rPr>
        <w:t xml:space="preserve"> Meanwhile, challengers were given the code 151, 152, 153 when they used climate/environmental arguments </w:t>
      </w:r>
      <w:r w:rsidR="005C49C7" w:rsidRPr="004C0A06">
        <w:rPr>
          <w:i/>
          <w:iCs/>
          <w:lang w:val="en-US"/>
        </w:rPr>
        <w:t xml:space="preserve">against </w:t>
      </w:r>
      <w:r w:rsidR="005C49C7" w:rsidRPr="004C0A06">
        <w:rPr>
          <w:lang w:val="en-US"/>
        </w:rPr>
        <w:t xml:space="preserve">expanding fossil fuels in these countries. </w:t>
      </w:r>
      <w:r w:rsidR="003A50E6">
        <w:rPr>
          <w:lang w:val="en-US"/>
        </w:rPr>
        <w:t xml:space="preserve">Here an example is the </w:t>
      </w:r>
      <w:r w:rsidR="004D5742">
        <w:rPr>
          <w:lang w:val="en-US"/>
        </w:rPr>
        <w:t xml:space="preserve">argument of the </w:t>
      </w:r>
      <w:r w:rsidR="003A50E6">
        <w:rPr>
          <w:lang w:val="en-US"/>
        </w:rPr>
        <w:t xml:space="preserve">global carbon </w:t>
      </w:r>
      <w:r w:rsidR="00E40329">
        <w:rPr>
          <w:lang w:val="en-US"/>
        </w:rPr>
        <w:t>budget,</w:t>
      </w:r>
      <w:r w:rsidR="00662960">
        <w:rPr>
          <w:lang w:val="en-US"/>
        </w:rPr>
        <w:t xml:space="preserve"> which</w:t>
      </w:r>
      <w:r w:rsidR="003F599F">
        <w:rPr>
          <w:lang w:val="en-US"/>
        </w:rPr>
        <w:t xml:space="preserve"> is being exceeded with new fields,</w:t>
      </w:r>
      <w:r w:rsidR="00662960">
        <w:rPr>
          <w:lang w:val="en-US"/>
        </w:rPr>
        <w:t xml:space="preserve"> </w:t>
      </w:r>
      <w:r w:rsidR="00C939AA">
        <w:rPr>
          <w:lang w:val="en-US"/>
        </w:rPr>
        <w:t>consider</w:t>
      </w:r>
      <w:r w:rsidR="003F599F">
        <w:rPr>
          <w:lang w:val="en-US"/>
        </w:rPr>
        <w:t>ing</w:t>
      </w:r>
      <w:r w:rsidR="00662960">
        <w:rPr>
          <w:lang w:val="en-US"/>
        </w:rPr>
        <w:t xml:space="preserve"> </w:t>
      </w:r>
      <w:r w:rsidR="00640D6A">
        <w:rPr>
          <w:lang w:val="en-US"/>
        </w:rPr>
        <w:t xml:space="preserve">their </w:t>
      </w:r>
      <w:r w:rsidR="00662960">
        <w:rPr>
          <w:lang w:val="en-US"/>
        </w:rPr>
        <w:t>combustion-related (scope 3) emissions</w:t>
      </w:r>
      <w:r w:rsidR="00CF12C1">
        <w:rPr>
          <w:lang w:val="en-US"/>
        </w:rPr>
        <w:t>.</w:t>
      </w:r>
    </w:p>
    <w:p w14:paraId="7182DC76" w14:textId="77777777" w:rsidR="005C49C7" w:rsidRPr="004C0A06" w:rsidRDefault="005C49C7" w:rsidP="005C49C7">
      <w:pPr>
        <w:pStyle w:val="Default"/>
        <w:spacing w:line="360" w:lineRule="auto"/>
        <w:jc w:val="both"/>
        <w:rPr>
          <w:lang w:val="en-US"/>
        </w:rPr>
      </w:pPr>
    </w:p>
    <w:p w14:paraId="44508DBB" w14:textId="3E75B9E8" w:rsidR="005C49C7" w:rsidRPr="004C0A06" w:rsidRDefault="000E7B42" w:rsidP="005C49C7">
      <w:pPr>
        <w:pStyle w:val="Default"/>
        <w:spacing w:line="360" w:lineRule="auto"/>
        <w:jc w:val="both"/>
        <w:rPr>
          <w:lang w:val="en-US"/>
        </w:rPr>
      </w:pPr>
      <w:r w:rsidRPr="004C0A06">
        <w:rPr>
          <w:lang w:val="en-US"/>
        </w:rPr>
        <w:t>Finally</w:t>
      </w:r>
      <w:r w:rsidR="005C49C7" w:rsidRPr="004C0A06">
        <w:rPr>
          <w:lang w:val="en-US"/>
        </w:rPr>
        <w:t xml:space="preserve">, we added </w:t>
      </w:r>
      <w:r w:rsidR="0090426E">
        <w:rPr>
          <w:lang w:val="en-US"/>
        </w:rPr>
        <w:t xml:space="preserve">the </w:t>
      </w:r>
      <w:r w:rsidR="005C49C7" w:rsidRPr="004C0A06">
        <w:rPr>
          <w:lang w:val="en-US"/>
        </w:rPr>
        <w:t>category ‘</w:t>
      </w:r>
      <w:r w:rsidR="005C49C7" w:rsidRPr="004C0A06">
        <w:rPr>
          <w:b/>
          <w:bCs/>
          <w:i/>
          <w:iCs/>
          <w:lang w:val="en-US"/>
        </w:rPr>
        <w:t>Joint themes</w:t>
      </w:r>
      <w:r w:rsidR="005C49C7" w:rsidRPr="004C0A06">
        <w:rPr>
          <w:lang w:val="en-US"/>
        </w:rPr>
        <w:t xml:space="preserve">’ (codes </w:t>
      </w:r>
      <w:r w:rsidR="00283703">
        <w:rPr>
          <w:lang w:val="en-US"/>
        </w:rPr>
        <w:t>9</w:t>
      </w:r>
      <w:r w:rsidR="005C49C7" w:rsidRPr="004C0A06">
        <w:rPr>
          <w:lang w:val="en-US"/>
        </w:rPr>
        <w:t>00) to denote utterances that</w:t>
      </w:r>
      <w:r w:rsidR="006D3D32">
        <w:rPr>
          <w:lang w:val="en-US"/>
        </w:rPr>
        <w:t xml:space="preserve"> have no immediate</w:t>
      </w:r>
      <w:r w:rsidR="005C49C7" w:rsidRPr="004C0A06">
        <w:rPr>
          <w:lang w:val="en-US"/>
        </w:rPr>
        <w:t xml:space="preserve"> </w:t>
      </w:r>
      <w:r w:rsidR="001850F4">
        <w:rPr>
          <w:lang w:val="en-US"/>
        </w:rPr>
        <w:t xml:space="preserve">relation </w:t>
      </w:r>
      <w:r w:rsidR="005C49C7" w:rsidRPr="004C0A06">
        <w:rPr>
          <w:lang w:val="en-US"/>
        </w:rPr>
        <w:t>in favor or against</w:t>
      </w:r>
      <w:r w:rsidR="000B3546">
        <w:rPr>
          <w:lang w:val="en-US"/>
        </w:rPr>
        <w:t xml:space="preserve"> government</w:t>
      </w:r>
      <w:r w:rsidR="005C49C7" w:rsidRPr="004C0A06">
        <w:rPr>
          <w:lang w:val="en-US"/>
        </w:rPr>
        <w:t xml:space="preserve"> licensing policy </w:t>
      </w:r>
      <w:r w:rsidR="000B3546">
        <w:rPr>
          <w:lang w:val="en-US"/>
        </w:rPr>
        <w:t>for new supply fields</w:t>
      </w:r>
      <w:r w:rsidR="005C49C7" w:rsidRPr="004C0A06">
        <w:rPr>
          <w:lang w:val="en-US"/>
        </w:rPr>
        <w:t xml:space="preserve"> but still provide relevant insights to the debate</w:t>
      </w:r>
      <w:r w:rsidR="0043342D" w:rsidRPr="004C0A06">
        <w:rPr>
          <w:lang w:val="en-US"/>
        </w:rPr>
        <w:t xml:space="preserve"> (e.g., </w:t>
      </w:r>
      <w:r w:rsidR="00CA2AFB">
        <w:rPr>
          <w:lang w:val="en-US"/>
        </w:rPr>
        <w:t xml:space="preserve">obstacles, </w:t>
      </w:r>
      <w:r w:rsidR="0043342D" w:rsidRPr="004C0A06">
        <w:rPr>
          <w:lang w:val="en-US"/>
        </w:rPr>
        <w:t xml:space="preserve">current market trends, </w:t>
      </w:r>
      <w:r w:rsidR="00B6782F">
        <w:rPr>
          <w:lang w:val="en-US"/>
        </w:rPr>
        <w:t>technology</w:t>
      </w:r>
      <w:r w:rsidR="0043342D" w:rsidRPr="004C0A06">
        <w:rPr>
          <w:lang w:val="en-US"/>
        </w:rPr>
        <w:t>, political sentiments, historical developments</w:t>
      </w:r>
      <w:r w:rsidR="00FD052F">
        <w:rPr>
          <w:lang w:val="en-US"/>
        </w:rPr>
        <w:t>, the effects of Russia’s invasion of Ukraine</w:t>
      </w:r>
      <w:r w:rsidR="0043342D" w:rsidRPr="004C0A06">
        <w:rPr>
          <w:lang w:val="en-US"/>
        </w:rPr>
        <w:t>)</w:t>
      </w:r>
      <w:r w:rsidR="005C49C7" w:rsidRPr="004C0A06">
        <w:rPr>
          <w:lang w:val="en-US"/>
        </w:rPr>
        <w:t xml:space="preserve">. </w:t>
      </w:r>
    </w:p>
    <w:p w14:paraId="615A2A4E" w14:textId="77777777" w:rsidR="005C49C7" w:rsidRPr="004C0A06" w:rsidRDefault="005C49C7" w:rsidP="005C49C7">
      <w:pPr>
        <w:pStyle w:val="Default"/>
        <w:spacing w:line="360" w:lineRule="auto"/>
        <w:jc w:val="both"/>
        <w:rPr>
          <w:lang w:val="en-US"/>
        </w:rPr>
      </w:pPr>
    </w:p>
    <w:p w14:paraId="6D75EC06" w14:textId="11EC8800" w:rsidR="00913149" w:rsidRPr="004C0A06" w:rsidRDefault="00913149" w:rsidP="005C49C7">
      <w:pPr>
        <w:pStyle w:val="Default"/>
        <w:spacing w:line="360" w:lineRule="auto"/>
        <w:jc w:val="both"/>
        <w:rPr>
          <w:lang w:val="en-US"/>
        </w:rPr>
      </w:pPr>
      <w:r w:rsidRPr="004C0A06">
        <w:rPr>
          <w:lang w:val="en-US"/>
        </w:rPr>
        <w:t xml:space="preserve">Some </w:t>
      </w:r>
      <w:r w:rsidR="00A008DC" w:rsidRPr="004C0A06">
        <w:rPr>
          <w:lang w:val="en-US"/>
        </w:rPr>
        <w:t>complementary</w:t>
      </w:r>
      <w:r w:rsidRPr="004C0A06">
        <w:rPr>
          <w:lang w:val="en-US"/>
        </w:rPr>
        <w:t xml:space="preserve"> remarks regarding the coding procedure:</w:t>
      </w:r>
    </w:p>
    <w:p w14:paraId="785867BB" w14:textId="25383F6A" w:rsidR="00E40902" w:rsidRPr="004C0A06" w:rsidRDefault="005C49C7" w:rsidP="007002CC">
      <w:pPr>
        <w:pStyle w:val="Default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4C0A06">
        <w:rPr>
          <w:lang w:val="en-US"/>
        </w:rPr>
        <w:t xml:space="preserve">To ensure originality of arguments, we did not </w:t>
      </w:r>
      <w:r w:rsidR="00A22104" w:rsidRPr="004C0A06">
        <w:rPr>
          <w:lang w:val="en-US"/>
        </w:rPr>
        <w:t>code</w:t>
      </w:r>
      <w:r w:rsidRPr="004C0A06">
        <w:rPr>
          <w:lang w:val="en-US"/>
        </w:rPr>
        <w:t xml:space="preserve"> utterances where actors (e.g., a challenger) talk about how the respective adversaries (</w:t>
      </w:r>
      <w:r w:rsidR="00401133">
        <w:rPr>
          <w:lang w:val="en-US"/>
        </w:rPr>
        <w:t>i.e.</w:t>
      </w:r>
      <w:r w:rsidRPr="004C0A06">
        <w:rPr>
          <w:lang w:val="en-US"/>
        </w:rPr>
        <w:t xml:space="preserve">, the incumbent) think or act. </w:t>
      </w:r>
    </w:p>
    <w:p w14:paraId="6D7E4850" w14:textId="48E0BC68" w:rsidR="00601AD4" w:rsidRPr="004C0A06" w:rsidRDefault="00AA4041" w:rsidP="005C49C7">
      <w:pPr>
        <w:pStyle w:val="Default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4C0A06">
        <w:rPr>
          <w:lang w:val="en-US"/>
        </w:rPr>
        <w:t>W</w:t>
      </w:r>
      <w:r w:rsidR="007002CC" w:rsidRPr="004C0A06">
        <w:rPr>
          <w:lang w:val="en-US"/>
        </w:rPr>
        <w:t>e do not distinguish ‘judgement validation institutions’ because</w:t>
      </w:r>
      <w:r w:rsidR="00B8476B" w:rsidRPr="004C0A06">
        <w:rPr>
          <w:lang w:val="en-US"/>
        </w:rPr>
        <w:t>,</w:t>
      </w:r>
      <w:r w:rsidR="007002CC" w:rsidRPr="004C0A06">
        <w:rPr>
          <w:lang w:val="en-US"/>
        </w:rPr>
        <w:t xml:space="preserve"> with few exceptions</w:t>
      </w:r>
      <w:r w:rsidR="00B8476B" w:rsidRPr="004C0A06">
        <w:rPr>
          <w:lang w:val="en-US"/>
        </w:rPr>
        <w:t>,</w:t>
      </w:r>
      <w:r w:rsidR="007002CC" w:rsidRPr="004C0A06">
        <w:rPr>
          <w:lang w:val="en-US"/>
        </w:rPr>
        <w:t xml:space="preserve"> all interviewees</w:t>
      </w:r>
      <w:r w:rsidR="00330B4F">
        <w:rPr>
          <w:lang w:val="en-US"/>
        </w:rPr>
        <w:t>, even those representing such institutions,</w:t>
      </w:r>
      <w:r w:rsidR="007002CC" w:rsidRPr="004C0A06">
        <w:rPr>
          <w:lang w:val="en-US"/>
        </w:rPr>
        <w:t xml:space="preserve"> had a clear private opinion on th</w:t>
      </w:r>
      <w:r w:rsidR="00174240" w:rsidRPr="004C0A06">
        <w:rPr>
          <w:lang w:val="en-US"/>
        </w:rPr>
        <w:t>e</w:t>
      </w:r>
      <w:r w:rsidR="007002CC" w:rsidRPr="004C0A06">
        <w:rPr>
          <w:lang w:val="en-US"/>
        </w:rPr>
        <w:t xml:space="preserve"> </w:t>
      </w:r>
      <w:r w:rsidR="00174240" w:rsidRPr="004C0A06">
        <w:rPr>
          <w:lang w:val="en-US"/>
        </w:rPr>
        <w:t>‘wedge issue’ of endorsing or disproving of fossil fuel expansion after 2021</w:t>
      </w:r>
      <w:r w:rsidR="00A01D82" w:rsidRPr="004C0A06">
        <w:rPr>
          <w:lang w:val="en-US"/>
        </w:rPr>
        <w:t>.</w:t>
      </w:r>
    </w:p>
    <w:p w14:paraId="44BF6EAD" w14:textId="77777777" w:rsidR="00832C2A" w:rsidRPr="004C0A06" w:rsidRDefault="00832C2A" w:rsidP="005C49C7">
      <w:pPr>
        <w:pStyle w:val="Default"/>
        <w:spacing w:line="360" w:lineRule="auto"/>
        <w:jc w:val="both"/>
        <w:rPr>
          <w:lang w:val="en-US"/>
        </w:rPr>
      </w:pPr>
    </w:p>
    <w:p w14:paraId="573DB6EA" w14:textId="77777777" w:rsidR="005C49C7" w:rsidRPr="004C0A06" w:rsidRDefault="005C49C7" w:rsidP="005C49C7">
      <w:pPr>
        <w:pStyle w:val="Default"/>
        <w:spacing w:line="360" w:lineRule="auto"/>
        <w:jc w:val="both"/>
        <w:rPr>
          <w:lang w:val="en-US"/>
        </w:rPr>
      </w:pPr>
      <w:r w:rsidRPr="004C0A06">
        <w:rPr>
          <w:lang w:val="en-US"/>
        </w:rPr>
        <w:t>All code categories represent aggregate categories from more than 200 initial raw codes, that are available from the first author.</w:t>
      </w:r>
    </w:p>
    <w:p w14:paraId="2E8C241B" w14:textId="131F0351" w:rsidR="00BC747A" w:rsidRPr="004C0A06" w:rsidRDefault="00BC747A" w:rsidP="00602278">
      <w:pPr>
        <w:pStyle w:val="Default"/>
        <w:spacing w:line="360" w:lineRule="auto"/>
        <w:jc w:val="both"/>
        <w:rPr>
          <w:lang w:val="en-US"/>
        </w:rPr>
        <w:sectPr w:rsidR="00BC747A" w:rsidRPr="004C0A06" w:rsidSect="000435B9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113B89" w14:textId="77777777" w:rsidR="00A852D5" w:rsidRPr="004C0A06" w:rsidRDefault="00A852D5" w:rsidP="00A852D5">
      <w:pPr>
        <w:pStyle w:val="Default"/>
        <w:rPr>
          <w:lang w:val="en-US"/>
        </w:rPr>
      </w:pPr>
    </w:p>
    <w:tbl>
      <w:tblPr>
        <w:tblW w:w="140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"/>
        <w:gridCol w:w="2554"/>
        <w:gridCol w:w="141"/>
        <w:gridCol w:w="851"/>
        <w:gridCol w:w="47"/>
        <w:gridCol w:w="236"/>
        <w:gridCol w:w="2127"/>
        <w:gridCol w:w="85"/>
        <w:gridCol w:w="198"/>
        <w:gridCol w:w="1056"/>
        <w:gridCol w:w="1784"/>
        <w:gridCol w:w="846"/>
        <w:gridCol w:w="1031"/>
        <w:gridCol w:w="2099"/>
        <w:gridCol w:w="684"/>
        <w:gridCol w:w="125"/>
      </w:tblGrid>
      <w:tr w:rsidR="00D64AB8" w:rsidRPr="004C0A06" w14:paraId="4C8E0970" w14:textId="77777777" w:rsidTr="0007346E">
        <w:trPr>
          <w:gridBefore w:val="1"/>
          <w:wBefore w:w="140" w:type="dxa"/>
          <w:trHeight w:val="680"/>
        </w:trPr>
        <w:tc>
          <w:tcPr>
            <w:tcW w:w="1386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5C935B" w14:textId="7E9361B1" w:rsidR="00D64AB8" w:rsidRPr="004C0A06" w:rsidRDefault="00D64AB8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Incumbents: Defending fossil fuel expansion</w:t>
            </w:r>
          </w:p>
        </w:tc>
      </w:tr>
      <w:tr w:rsidR="00CD436E" w:rsidRPr="004C0A06" w14:paraId="03B0FCF6" w14:textId="77777777" w:rsidTr="00FE3EFD">
        <w:trPr>
          <w:gridBefore w:val="1"/>
          <w:wBefore w:w="140" w:type="dxa"/>
          <w:trHeight w:val="680"/>
        </w:trPr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023AAB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General category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917FF8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Code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742BC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Sub-category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F7E084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Description/rationale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6D06F7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Semantic descriptors</w:t>
            </w:r>
          </w:p>
        </w:tc>
      </w:tr>
      <w:tr w:rsidR="00CD436E" w:rsidRPr="004C0A06" w14:paraId="6DACC3D3" w14:textId="77777777" w:rsidTr="0007346E">
        <w:trPr>
          <w:gridBefore w:val="1"/>
          <w:wBefore w:w="140" w:type="dxa"/>
          <w:trHeight w:val="320"/>
        </w:trPr>
        <w:tc>
          <w:tcPr>
            <w:tcW w:w="1386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52AEE" w14:textId="67347515" w:rsidR="00CD436E" w:rsidRPr="004C0A06" w:rsidRDefault="009807CB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Beliefs</w:t>
            </w:r>
            <w:r w:rsidR="00CD436E"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 (</w:t>
            </w:r>
            <w:r w:rsidR="008F5AF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rhetorical elements used as </w:t>
            </w:r>
            <w:r w:rsidR="00CD436E"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justifications)</w:t>
            </w:r>
          </w:p>
        </w:tc>
      </w:tr>
      <w:tr w:rsidR="00CD436E" w:rsidRPr="004C0A06" w14:paraId="4DC60809" w14:textId="77777777" w:rsidTr="00FE3EFD">
        <w:trPr>
          <w:gridBefore w:val="1"/>
          <w:wBefore w:w="140" w:type="dxa"/>
          <w:trHeight w:val="380"/>
        </w:trPr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16DEA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Climate/environmental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427204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100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1CCC49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5D546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63C694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D436E" w:rsidRPr="004C0A06" w14:paraId="7F2D9A60" w14:textId="77777777" w:rsidTr="00FE3EFD">
        <w:trPr>
          <w:gridBefore w:val="1"/>
          <w:wBefore w:w="140" w:type="dxa"/>
          <w:trHeight w:val="1308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F2D2B" w14:textId="77777777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493AD" w14:textId="1C24B2C1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</w:t>
            </w:r>
            <w:r w:rsidR="00306AEE"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0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23182" w14:textId="4C4131E0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Relatively clean production</w:t>
            </w:r>
            <w:r w:rsidR="002619A5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and technological progress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22404" w14:textId="4934F5F0" w:rsidR="00CD436E" w:rsidRPr="004C0A06" w:rsidRDefault="00CD436E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Domestically produced</w:t>
            </w:r>
            <w:r w:rsidR="003D2B48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oil and gas </w:t>
            </w:r>
            <w:r w:rsidR="00B607E4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is clean and </w:t>
            </w:r>
            <w:r w:rsidR="00D659AA"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can substitute</w:t>
            </w:r>
            <w:r w:rsidR="00920DB7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dirtier </w:t>
            </w:r>
            <w:r w:rsidR="00920DB7"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oil and gas</w:t>
            </w:r>
            <w:r w:rsidR="00920DB7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from abroad</w:t>
            </w:r>
            <w:r w:rsidR="00E846E1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="006A743C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C747D" w14:textId="514D7D0A" w:rsidR="00CD436E" w:rsidRPr="004C0A06" w:rsidRDefault="00640921" w:rsidP="003607D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</w:t>
            </w:r>
            <w:r w:rsidR="00CD436E"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lean oil and gas, </w:t>
            </w:r>
            <w:r w:rsidR="00A77084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carbon capture and storage</w:t>
            </w:r>
            <w:r w:rsidR="00311BAA"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r w:rsidR="003D0941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</w:t>
            </w:r>
            <w:r w:rsidR="003D0941"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ubstitutability</w:t>
            </w:r>
            <w:r w:rsidR="006E0721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r w:rsidR="007F2321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use in </w:t>
            </w:r>
            <w:r w:rsidR="006E0721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petrochemic</w:t>
            </w:r>
            <w:r w:rsidR="001448A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als</w:t>
            </w:r>
          </w:p>
        </w:tc>
      </w:tr>
      <w:tr w:rsidR="00E7528E" w:rsidRPr="004C0A06" w14:paraId="66ABBFCE" w14:textId="77777777" w:rsidTr="00E7528E">
        <w:trPr>
          <w:gridBefore w:val="1"/>
          <w:wBefore w:w="140" w:type="dxa"/>
          <w:trHeight w:val="983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85335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CD52B" w14:textId="72B22C8F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AC64F" w14:textId="77832DF3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Gas as a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‘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transition fuel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’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6AFEB" w14:textId="7E86C06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Gas different than oil; seen as a transition fuel to alternative gases or energy supplies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7C7E0" w14:textId="12903CA9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ransition fuel, supposed alignment with 1.5° C scenarios</w:t>
            </w:r>
          </w:p>
        </w:tc>
      </w:tr>
      <w:tr w:rsidR="00E7528E" w:rsidRPr="004C0A06" w14:paraId="7529E53E" w14:textId="77777777" w:rsidTr="00FE3EFD">
        <w:trPr>
          <w:gridBefore w:val="1"/>
          <w:wBefore w:w="140" w:type="dxa"/>
          <w:trHeight w:val="983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05936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B20B2" w14:textId="7B32DAFC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82095B" w14:textId="2DB3BF9C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Past achievements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and production-related emissions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DC6D7" w14:textId="63CA872E" w:rsidR="00E7528E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Achievements of r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educing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(territorial)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emission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21DB1" w14:textId="6BB0E2CC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Electrification, prevention of flaring, reduction of operated scope 1 and 2 emissions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companies as heroes of the transition</w:t>
            </w:r>
          </w:p>
        </w:tc>
      </w:tr>
      <w:tr w:rsidR="00E7528E" w:rsidRPr="004C0A06" w14:paraId="773E0745" w14:textId="77777777" w:rsidTr="00FE3EFD">
        <w:trPr>
          <w:gridBefore w:val="1"/>
          <w:wBefore w:w="140" w:type="dxa"/>
          <w:trHeight w:val="406"/>
        </w:trPr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05C674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Economic/fiscal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9B2675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200</w:t>
            </w:r>
          </w:p>
        </w:tc>
        <w:tc>
          <w:tcPr>
            <w:tcW w:w="37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1F39EF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FE6116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9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F6BF9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E7528E" w:rsidRPr="004C0A06" w14:paraId="285C5ADF" w14:textId="77777777" w:rsidTr="00FE3EFD">
        <w:trPr>
          <w:gridBefore w:val="1"/>
          <w:wBefore w:w="140" w:type="dxa"/>
          <w:trHeight w:val="983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9DDC6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DCA94" w14:textId="67D4B036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201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1347C" w14:textId="3EB214C0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Contribution to social and economic welfare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72CAD" w14:textId="7D4BCD8A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Fossil fuel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expansion ensures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energy security, shared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prosperity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employment, investment, profitability, and fiscal space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9A218" w14:textId="4E40B78A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Energy prices,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supply security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trickle-down effect, fiscal effects, jobs</w:t>
            </w:r>
          </w:p>
        </w:tc>
      </w:tr>
      <w:tr w:rsidR="00E7528E" w:rsidRPr="004C0A06" w14:paraId="6B0C108A" w14:textId="77777777" w:rsidTr="00FE3EFD">
        <w:trPr>
          <w:gridBefore w:val="1"/>
          <w:wBefore w:w="140" w:type="dxa"/>
          <w:trHeight w:val="1060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49A73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605BE" w14:textId="174B6164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72D4D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Demand side/market logic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1D6A9" w14:textId="339249D5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emand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should regulate the supply, not vice versa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4FC9D" w14:textId="3C51864B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arket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-based policies,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work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prices, de-regulation</w:t>
            </w:r>
          </w:p>
        </w:tc>
      </w:tr>
      <w:tr w:rsidR="00E7528E" w:rsidRPr="004C0A06" w14:paraId="20F37B52" w14:textId="77777777" w:rsidTr="00FE3EFD">
        <w:trPr>
          <w:gridBefore w:val="1"/>
          <w:wBefore w:w="140" w:type="dxa"/>
          <w:trHeight w:val="1020"/>
        </w:trPr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FEF520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lastRenderedPageBreak/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E9109" w14:textId="645E9A33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ED9E5" w14:textId="4B676ADB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Complexity of the transition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9CE94" w14:textId="0BD8FE75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Cannot stop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fossil expansion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because of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the ‘energy trilemma’ and uncertainty of alternatives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6D9EE" w14:textId="75861C6C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Fear, afraid, collapse, overnight, new fields to prevent too steep a decline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complexity, balance, high costs</w:t>
            </w:r>
          </w:p>
        </w:tc>
      </w:tr>
      <w:tr w:rsidR="00E7528E" w:rsidRPr="004C0A06" w14:paraId="23F316E4" w14:textId="77777777" w:rsidTr="00FE3EFD">
        <w:trPr>
          <w:gridBefore w:val="1"/>
          <w:wBefore w:w="140" w:type="dxa"/>
          <w:trHeight w:val="454"/>
        </w:trPr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679331" w14:textId="77777777" w:rsidR="00E7528E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Political/geopolitical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/</w:t>
            </w:r>
          </w:p>
          <w:p w14:paraId="37CEB5EE" w14:textId="7844CC89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legal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264DB2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300</w:t>
            </w:r>
          </w:p>
        </w:tc>
        <w:tc>
          <w:tcPr>
            <w:tcW w:w="37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F5E29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4C2316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9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AD4D1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E7528E" w:rsidRPr="004C0A06" w14:paraId="274CBF1C" w14:textId="77777777" w:rsidTr="00FE3EFD">
        <w:trPr>
          <w:gridBefore w:val="1"/>
          <w:wBefore w:w="140" w:type="dxa"/>
          <w:trHeight w:val="1404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1EED0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36E11" w14:textId="2667DEDE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301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2471C" w14:textId="3306B5E6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Need to maintain political mandates 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EDB34" w14:textId="0ED6F751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Need to ensure energy security at home and/or in Europe 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C5886" w14:textId="54434288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Being a stable supplier to Europe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following parliamentary mandates</w:t>
            </w:r>
          </w:p>
        </w:tc>
      </w:tr>
      <w:tr w:rsidR="00E7528E" w:rsidRPr="004C0A06" w14:paraId="5817C9FD" w14:textId="77777777" w:rsidTr="00FE3EFD">
        <w:trPr>
          <w:gridBefore w:val="1"/>
          <w:wBefore w:w="140" w:type="dxa"/>
          <w:trHeight w:val="993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C5203" w14:textId="77777777" w:rsidR="00E7528E" w:rsidRPr="004C0A06" w:rsidRDefault="00E7528E" w:rsidP="00E7528E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329CF" w14:textId="48DC62B5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302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7D98B" w14:textId="751ADE83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Need to adapt to changing geopolitical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contexts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18031" w14:textId="454F77A8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Fossil fuel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expansion as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geopolitical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crisis response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F9158" w14:textId="7DBFA93B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Russia's invasion of Ukraine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, external pressure, independence from authoritarian states </w:t>
            </w:r>
          </w:p>
        </w:tc>
      </w:tr>
      <w:tr w:rsidR="00E7528E" w:rsidRPr="004C0A06" w14:paraId="6F5D87F9" w14:textId="77777777" w:rsidTr="00FE3EFD">
        <w:trPr>
          <w:gridBefore w:val="1"/>
          <w:wBefore w:w="140" w:type="dxa"/>
          <w:trHeight w:val="993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B17F4" w14:textId="77777777" w:rsidR="00E7528E" w:rsidRPr="004C0A06" w:rsidRDefault="00E7528E" w:rsidP="00E7528E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2D54A" w14:textId="56E9BC3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303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D5611" w14:textId="6A3FB5AA" w:rsidR="00E7528E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Legality of the activity  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BB061" w14:textId="73D3CF42" w:rsidR="00E7528E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Fossil fuel expansion justified since it is congruent with legal provisions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A49CA" w14:textId="2BDCD8C0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Article 112, constitution, EIA Directive</w:t>
            </w:r>
          </w:p>
        </w:tc>
      </w:tr>
      <w:tr w:rsidR="00E7528E" w:rsidRPr="004C0A06" w14:paraId="0C79B5B1" w14:textId="77777777" w:rsidTr="005D4A73">
        <w:trPr>
          <w:gridBefore w:val="1"/>
          <w:wBefore w:w="140" w:type="dxa"/>
          <w:trHeight w:val="733"/>
        </w:trPr>
        <w:tc>
          <w:tcPr>
            <w:tcW w:w="1386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F29CE5" w14:textId="5D45800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A</w:t>
            </w: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ctions/strategies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non-rhetorical elements </w:t>
            </w: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achieve incumbent goals</w:t>
            </w: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</w:tr>
      <w:tr w:rsidR="00E7528E" w:rsidRPr="004C0A06" w14:paraId="74CBED2E" w14:textId="77777777" w:rsidTr="00FE3EFD">
        <w:trPr>
          <w:gridBefore w:val="1"/>
          <w:wBefore w:w="140" w:type="dxa"/>
          <w:trHeight w:val="340"/>
        </w:trPr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3BF921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Legal action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138CF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400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7D4487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BAB519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C279EB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E7528E" w:rsidRPr="004C0A06" w14:paraId="05C6CFEF" w14:textId="77777777" w:rsidTr="00801D2A">
        <w:trPr>
          <w:gridBefore w:val="1"/>
          <w:wBefore w:w="140" w:type="dxa"/>
          <w:trHeight w:val="136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7027C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723CA" w14:textId="3E9EA88B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401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AF2A6" w14:textId="03E73161" w:rsidR="00E7528E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Incumbents sue or</w:t>
            </w:r>
          </w:p>
          <w:p w14:paraId="5BF4E6EE" w14:textId="6289252E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appeal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against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challengers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C1D8A" w14:textId="4E04ACA6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Governments/companies take legal action against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challengers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6123F" w14:textId="142C87EA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Appeal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</w:t>
            </w: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direct suits,</w:t>
            </w: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</w:t>
            </w: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tate prosecution, fines, prison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nvestor-state settlement disputes (ISDS)</w:t>
            </w:r>
          </w:p>
        </w:tc>
      </w:tr>
      <w:tr w:rsidR="00E7528E" w:rsidRPr="004C0A06" w14:paraId="37AAC773" w14:textId="77777777" w:rsidTr="00FE3EFD">
        <w:trPr>
          <w:gridBefore w:val="1"/>
          <w:wBefore w:w="140" w:type="dxa"/>
          <w:trHeight w:val="1125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132F0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BEA8C" w14:textId="145FC2BA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402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21A9AB" w14:textId="75CDBF92" w:rsidR="00E7528E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Adjunct legal actions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6D06D" w14:textId="7AC7CF83" w:rsidR="00E7528E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Strategic actions to support claims in the Court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6B998" w14:textId="427E9831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Commissioning of studies, invitation of expert witnesses, evoking legal threats</w:t>
            </w:r>
          </w:p>
        </w:tc>
      </w:tr>
      <w:tr w:rsidR="00E7528E" w:rsidRPr="004C0A06" w14:paraId="4967C357" w14:textId="77777777" w:rsidTr="00FE3EFD">
        <w:trPr>
          <w:gridBefore w:val="1"/>
          <w:wBefore w:w="140" w:type="dxa"/>
          <w:trHeight w:val="278"/>
        </w:trPr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428A07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lastRenderedPageBreak/>
              <w:t>Political action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B5DFB3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500</w:t>
            </w:r>
          </w:p>
        </w:tc>
        <w:tc>
          <w:tcPr>
            <w:tcW w:w="37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538F7F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4E131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9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2FD769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E7528E" w:rsidRPr="004C0A06" w14:paraId="5DB888AC" w14:textId="77777777" w:rsidTr="00FE3EFD">
        <w:trPr>
          <w:gridBefore w:val="1"/>
          <w:wBefore w:w="140" w:type="dxa"/>
          <w:trHeight w:val="757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FF43E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99F60" w14:textId="550E90F0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41032" w14:textId="03C10F06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Influence actors with political power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E44C7" w14:textId="34523B15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Lobbying of actors with direct political influence 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14E60" w14:textId="3554BB65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</w:t>
            </w: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ocal MPs, coast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al</w:t>
            </w: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population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uropean </w:t>
            </w: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nion</w:t>
            </w: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Oslo, Westminster</w:t>
            </w:r>
          </w:p>
        </w:tc>
      </w:tr>
      <w:tr w:rsidR="00E7528E" w:rsidRPr="004C0A06" w14:paraId="72687925" w14:textId="77777777" w:rsidTr="00FE3EFD">
        <w:trPr>
          <w:gridBefore w:val="1"/>
          <w:wBefore w:w="140" w:type="dxa"/>
          <w:trHeight w:val="340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019F2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0549E" w14:textId="7413904B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B2D69" w14:textId="25A88EE6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Strengthen the state-industry-labor nexus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9B9EF" w14:textId="79B7B355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Strengthening ties with actors that have indirect political power (unions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Equinor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etc)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EE6C8" w14:textId="21B326A0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Swing door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</w:t>
            </w:r>
            <w:r w:rsidRPr="004C0A0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, revolving door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</w:t>
            </w:r>
          </w:p>
        </w:tc>
      </w:tr>
      <w:tr w:rsidR="00E7528E" w:rsidRPr="008C1329" w14:paraId="30B26ED6" w14:textId="77777777" w:rsidTr="00FE3EFD">
        <w:trPr>
          <w:gridBefore w:val="1"/>
          <w:wBefore w:w="140" w:type="dxa"/>
          <w:trHeight w:val="430"/>
        </w:trPr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FC6F43" w14:textId="77777777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Corporate strategy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4529B1" w14:textId="77777777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600</w:t>
            </w:r>
          </w:p>
        </w:tc>
        <w:tc>
          <w:tcPr>
            <w:tcW w:w="37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D48A9" w14:textId="77777777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961AC" w14:textId="77777777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9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E4DB00" w14:textId="77777777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E7528E" w:rsidRPr="008C1329" w14:paraId="249D019A" w14:textId="77777777" w:rsidTr="00FE3EFD">
        <w:trPr>
          <w:gridBefore w:val="1"/>
          <w:wBefore w:w="140" w:type="dxa"/>
          <w:trHeight w:val="56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2C76E" w14:textId="77777777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9AFF0" w14:textId="2C9F8A14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601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F5006" w14:textId="302003C1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Strategy re-alignment 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DB4BE" w14:textId="27570D70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Strategies/actions aimed to adapt to changing environments (e.g., move abroad if domestic business becomes unattractive)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BD08F" w14:textId="1B87562F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Investing abroad, internationalization,</w:t>
            </w: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strategic interest purchases, joint ventures, acquisitions</w:t>
            </w:r>
            <w: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</w:p>
        </w:tc>
      </w:tr>
      <w:tr w:rsidR="00E7528E" w:rsidRPr="008C1329" w14:paraId="520B5411" w14:textId="77777777" w:rsidTr="00FE3EFD">
        <w:trPr>
          <w:gridBefore w:val="1"/>
          <w:wBefore w:w="140" w:type="dxa"/>
          <w:trHeight w:val="1133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329F7" w14:textId="77777777" w:rsidR="00E7528E" w:rsidRPr="00D63682" w:rsidRDefault="00E7528E" w:rsidP="00E7528E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DCB56" w14:textId="120E6DE8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602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E7D95" w14:textId="04A5A045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Public relation campaigns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480B6" w14:textId="2A8BB1A7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Advertising, sponsorships, consumer relations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AC02D" w14:textId="35EE899D" w:rsidR="00E7528E" w:rsidRPr="00D63682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6368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Media, advertisements, m</w:t>
            </w:r>
            <w:r w:rsidRPr="00D6368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arketing, sponsorships and donations</w:t>
            </w:r>
          </w:p>
        </w:tc>
      </w:tr>
      <w:tr w:rsidR="00E7528E" w:rsidRPr="004C0A06" w14:paraId="7FD88491" w14:textId="77777777" w:rsidTr="00FE3EFD">
        <w:trPr>
          <w:gridBefore w:val="1"/>
          <w:wBefore w:w="140" w:type="dxa"/>
          <w:trHeight w:val="420"/>
        </w:trPr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3B04F3" w14:textId="07428015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4C0A06">
              <w:rPr>
                <w:rFonts w:ascii="Times New Roman" w:hAnsi="Times New Roman" w:cs="Times New Roman"/>
                <w:b/>
                <w:bCs/>
              </w:rPr>
              <w:t>Goals of the incumbent field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9B99E" w14:textId="232C5975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hAnsi="Times New Roman" w:cs="Times New Roman"/>
                <w:b/>
                <w:bCs/>
                <w:color w:val="000000"/>
              </w:rPr>
              <w:t>700</w:t>
            </w:r>
          </w:p>
        </w:tc>
        <w:tc>
          <w:tcPr>
            <w:tcW w:w="37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92A5FD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F6883E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29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D5883E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E7528E" w:rsidRPr="004C0A06" w14:paraId="21E73D44" w14:textId="77777777" w:rsidTr="00FE3EFD">
        <w:trPr>
          <w:gridBefore w:val="1"/>
          <w:wBefore w:w="140" w:type="dxa"/>
          <w:trHeight w:val="1254"/>
        </w:trPr>
        <w:tc>
          <w:tcPr>
            <w:tcW w:w="2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2AAE8" w14:textId="77777777" w:rsidR="00E7528E" w:rsidRPr="004C0A06" w:rsidRDefault="00E7528E" w:rsidP="00E7528E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36643" w14:textId="440AF164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701</w:t>
            </w:r>
          </w:p>
        </w:tc>
        <w:tc>
          <w:tcPr>
            <w:tcW w:w="37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70C54" w14:textId="5A483E36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Keep existing assets in operation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&amp; expand near-field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0D33F" w14:textId="57FB405A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Involving already developed infrastructure and near-field expansion</w:t>
            </w:r>
          </w:p>
        </w:tc>
        <w:tc>
          <w:tcPr>
            <w:tcW w:w="29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504D5" w14:textId="008588DE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Future option value, prioritization, near-field, domestic/abroad</w:t>
            </w:r>
          </w:p>
        </w:tc>
      </w:tr>
      <w:tr w:rsidR="00E7528E" w:rsidRPr="004C0A06" w14:paraId="2A5DA70F" w14:textId="77777777" w:rsidTr="00FE3EFD">
        <w:trPr>
          <w:gridBefore w:val="1"/>
          <w:wBefore w:w="140" w:type="dxa"/>
          <w:trHeight w:val="708"/>
        </w:trPr>
        <w:tc>
          <w:tcPr>
            <w:tcW w:w="255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F262408" w14:textId="77777777" w:rsidR="00E7528E" w:rsidRPr="004C0A06" w:rsidRDefault="00E7528E" w:rsidP="00E7528E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54127F0" w14:textId="31B899AA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702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FA604A5" w14:textId="4D295E00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Keep existing assets in operation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&amp;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expand frontier areas 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F0CFB58" w14:textId="7C92F5C4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Involving already developed infrastructure and frontier are as to maximize value creation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0132ACB" w14:textId="68770CE0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Maximized recovery, domestic/abroad</w:t>
            </w:r>
          </w:p>
        </w:tc>
      </w:tr>
      <w:tr w:rsidR="00E7528E" w:rsidRPr="004C0A06" w14:paraId="7C7EA9AB" w14:textId="77777777" w:rsidTr="00FE3EFD">
        <w:trPr>
          <w:gridBefore w:val="1"/>
          <w:wBefore w:w="140" w:type="dxa"/>
          <w:trHeight w:val="1158"/>
        </w:trPr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DEA0EC" w14:textId="77777777" w:rsidR="00E7528E" w:rsidRPr="004C0A06" w:rsidRDefault="00E7528E" w:rsidP="00E7528E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D05999" w14:textId="69CB258D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703</w:t>
            </w:r>
          </w:p>
        </w:tc>
        <w:tc>
          <w:tcPr>
            <w:tcW w:w="37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0A1095" w14:textId="53D36F11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Ensure stable political framework</w:t>
            </w:r>
          </w:p>
        </w:tc>
        <w:tc>
          <w:tcPr>
            <w:tcW w:w="36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2B0158" w14:textId="0DADAEBB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Goal of lobbying 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DF3EF2" w14:textId="4AE35826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E.g., concerning the tax regime, licensing regime etc.</w:t>
            </w:r>
          </w:p>
        </w:tc>
      </w:tr>
      <w:tr w:rsidR="00E7528E" w:rsidRPr="004C0A06" w14:paraId="4192BC40" w14:textId="77777777" w:rsidTr="0007346E">
        <w:trPr>
          <w:gridBefore w:val="1"/>
          <w:gridAfter w:val="2"/>
          <w:wBefore w:w="140" w:type="dxa"/>
          <w:wAfter w:w="809" w:type="dxa"/>
          <w:trHeight w:val="320"/>
        </w:trPr>
        <w:tc>
          <w:tcPr>
            <w:tcW w:w="130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9833" w14:textId="77777777" w:rsidR="00E7528E" w:rsidRDefault="00E7528E" w:rsidP="00E7528E">
            <w:pPr>
              <w:spacing w:before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  <w:p w14:paraId="08B5CD54" w14:textId="684DB5C7" w:rsidR="00E7528E" w:rsidRPr="002F1379" w:rsidRDefault="00E7528E" w:rsidP="00E7528E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lastRenderedPageBreak/>
              <w:t>Challengers: Disproving of fossil fuel expansio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</w:tr>
      <w:tr w:rsidR="00E7528E" w:rsidRPr="004C0A06" w14:paraId="4240E526" w14:textId="77777777" w:rsidTr="0095276E">
        <w:trPr>
          <w:gridBefore w:val="1"/>
          <w:gridAfter w:val="2"/>
          <w:wBefore w:w="140" w:type="dxa"/>
          <w:wAfter w:w="809" w:type="dxa"/>
          <w:trHeight w:val="340"/>
        </w:trPr>
        <w:tc>
          <w:tcPr>
            <w:tcW w:w="26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CA796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lastRenderedPageBreak/>
              <w:t>General category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5F225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Code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E74850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Sub-category</w:t>
            </w:r>
          </w:p>
        </w:tc>
        <w:tc>
          <w:tcPr>
            <w:tcW w:w="30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DFADC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Description/rationale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1D7C92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Semantic descriptors</w:t>
            </w:r>
          </w:p>
        </w:tc>
      </w:tr>
      <w:tr w:rsidR="00E7528E" w:rsidRPr="004C0A06" w14:paraId="7B85CC3B" w14:textId="77777777" w:rsidTr="0007346E">
        <w:trPr>
          <w:gridBefore w:val="1"/>
          <w:gridAfter w:val="2"/>
          <w:wBefore w:w="140" w:type="dxa"/>
          <w:wAfter w:w="809" w:type="dxa"/>
          <w:trHeight w:val="320"/>
        </w:trPr>
        <w:tc>
          <w:tcPr>
            <w:tcW w:w="1305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3C33D" w14:textId="6B40880C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Beliefs</w:t>
            </w: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rhetorical elements used as </w:t>
            </w: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justifications)</w:t>
            </w:r>
          </w:p>
        </w:tc>
      </w:tr>
      <w:tr w:rsidR="00E7528E" w:rsidRPr="004C0A06" w14:paraId="6819DA8A" w14:textId="77777777" w:rsidTr="0095276E">
        <w:trPr>
          <w:gridBefore w:val="1"/>
          <w:gridAfter w:val="2"/>
          <w:wBefore w:w="140" w:type="dxa"/>
          <w:wAfter w:w="809" w:type="dxa"/>
          <w:trHeight w:val="320"/>
        </w:trPr>
        <w:tc>
          <w:tcPr>
            <w:tcW w:w="26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8E1CD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Climate/environmental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B64BE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100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549CBF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0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E2F6A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3DE228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E7528E" w:rsidRPr="004C0A06" w14:paraId="26DD3268" w14:textId="77777777" w:rsidTr="0095276E">
        <w:trPr>
          <w:gridBefore w:val="1"/>
          <w:gridAfter w:val="2"/>
          <w:wBefore w:w="140" w:type="dxa"/>
          <w:wAfter w:w="809" w:type="dxa"/>
          <w:trHeight w:val="558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E14F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733B" w14:textId="0DA41A94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151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8EFA" w14:textId="77777777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Global climate impact</w:t>
            </w: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BDFEB" w14:textId="7BBA3243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Exceeding the g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lobal carbon budget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leads to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risks and impacts of global warming beyond 1.5° C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9FEB5" w14:textId="23E7070C" w:rsidR="00E7528E" w:rsidRPr="004C0A06" w:rsidRDefault="00E7528E" w:rsidP="00E7528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Scope 3 emissions,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costs of climate change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international responsibility, climate justice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past inaction, public health</w:t>
            </w:r>
          </w:p>
        </w:tc>
      </w:tr>
      <w:tr w:rsidR="004A0560" w:rsidRPr="004C0A06" w14:paraId="46CDA2E8" w14:textId="77777777" w:rsidTr="004A0560">
        <w:trPr>
          <w:gridBefore w:val="1"/>
          <w:gridAfter w:val="2"/>
          <w:wBefore w:w="140" w:type="dxa"/>
          <w:wAfter w:w="809" w:type="dxa"/>
          <w:trHeight w:val="1420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92A8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E676" w14:textId="6865D55B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152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F15E2" w14:textId="5F77962F" w:rsidR="004A0560" w:rsidRPr="005E6CA0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System's perspective and uncertainty</w:t>
            </w: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750D9" w14:textId="09C96970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How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a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systemic perspective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invalidate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incumbents’ arguments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57530" w14:textId="0EDE916E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ipping elements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in the Earth system (uncertainty), reductionism, precautionary approach </w:t>
            </w:r>
          </w:p>
        </w:tc>
      </w:tr>
      <w:tr w:rsidR="004A0560" w:rsidRPr="004C0A06" w14:paraId="60FB9BDC" w14:textId="77777777" w:rsidTr="0095276E">
        <w:trPr>
          <w:gridBefore w:val="1"/>
          <w:gridAfter w:val="2"/>
          <w:wBefore w:w="140" w:type="dxa"/>
          <w:wAfter w:w="809" w:type="dxa"/>
          <w:trHeight w:val="1420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18B76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02DFE" w14:textId="277366D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153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15A56" w14:textId="194CFF01" w:rsidR="004A0560" w:rsidRPr="005E6CA0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5E6CA0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Local environmental degradation</w:t>
            </w: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39930" w14:textId="39DF908C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Disproval because of local pollution/degradation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C1B1" w14:textId="50B913C4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Harm to fragile areas, including birds or marine life,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lace-based conservationism, tourism</w:t>
            </w:r>
          </w:p>
        </w:tc>
      </w:tr>
      <w:tr w:rsidR="004A0560" w:rsidRPr="004C0A06" w14:paraId="541523E2" w14:textId="77777777" w:rsidTr="0095276E">
        <w:trPr>
          <w:gridBefore w:val="1"/>
          <w:gridAfter w:val="2"/>
          <w:wBefore w:w="140" w:type="dxa"/>
          <w:wAfter w:w="809" w:type="dxa"/>
          <w:trHeight w:val="320"/>
        </w:trPr>
        <w:tc>
          <w:tcPr>
            <w:tcW w:w="2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FBED5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Economic/fiscal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8B5CA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200</w:t>
            </w:r>
          </w:p>
        </w:tc>
        <w:tc>
          <w:tcPr>
            <w:tcW w:w="24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2DA01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0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62271D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359B5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4A0560" w:rsidRPr="004C0A06" w14:paraId="1A875D0D" w14:textId="77777777" w:rsidTr="0095276E">
        <w:trPr>
          <w:gridBefore w:val="1"/>
          <w:gridAfter w:val="2"/>
          <w:wBefore w:w="140" w:type="dxa"/>
          <w:wAfter w:w="809" w:type="dxa"/>
          <w:trHeight w:val="1296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789B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B48B" w14:textId="6264D4AB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251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BF0FE" w14:textId="0DB156C9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Economic arguments against expansion</w:t>
            </w: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91876" w14:textId="3072B991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igh lead times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(15-20 years)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render new projects obsolete,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better job security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in renewables 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C5F0E" w14:textId="4097C3A3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Stranded assets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approaching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depletion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, oil price changes, negative externalities, demand reduction, c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row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ing out, skills, labor market</w:t>
            </w:r>
          </w:p>
        </w:tc>
      </w:tr>
      <w:tr w:rsidR="004A0560" w:rsidRPr="004C0A06" w14:paraId="6C5A85FD" w14:textId="77777777" w:rsidTr="00E71116">
        <w:trPr>
          <w:gridBefore w:val="1"/>
          <w:gridAfter w:val="2"/>
          <w:wBefore w:w="140" w:type="dxa"/>
          <w:wAfter w:w="809" w:type="dxa"/>
          <w:trHeight w:val="1389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7126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A72E" w14:textId="67E82F2B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66A87" w14:textId="195479EC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Possibilities and resilience of alternatives</w:t>
            </w: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17637" w14:textId="5476239D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Availability of renewable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energy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technologies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which can become economically viable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0E628" w14:textId="2C182E4B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Energy security via r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enewables,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industrial alternatives, state </w:t>
            </w: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investment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, oil fund, </w:t>
            </w:r>
            <w:r>
              <w:rPr>
                <w:rFonts w:ascii="Times New Roman" w:hAnsi="Times New Roman" w:cs="Times New Roman"/>
              </w:rPr>
              <w:t>m</w:t>
            </w:r>
            <w:r w:rsidRPr="004C0A06">
              <w:rPr>
                <w:rFonts w:ascii="Times New Roman" w:hAnsi="Times New Roman" w:cs="Times New Roman"/>
              </w:rPr>
              <w:t>anaged decline</w:t>
            </w:r>
            <w:r>
              <w:rPr>
                <w:rFonts w:ascii="Times New Roman" w:hAnsi="Times New Roman" w:cs="Times New Roman"/>
              </w:rPr>
              <w:t>/</w:t>
            </w:r>
            <w:r w:rsidRPr="004C0A06">
              <w:rPr>
                <w:rFonts w:ascii="Times New Roman" w:hAnsi="Times New Roman" w:cs="Times New Roman"/>
              </w:rPr>
              <w:t>just transition</w:t>
            </w:r>
          </w:p>
        </w:tc>
      </w:tr>
      <w:tr w:rsidR="004A0560" w:rsidRPr="004C0A06" w14:paraId="7B63F8B3" w14:textId="77777777" w:rsidTr="0095276E">
        <w:trPr>
          <w:gridBefore w:val="1"/>
          <w:gridAfter w:val="2"/>
          <w:wBefore w:w="140" w:type="dxa"/>
          <w:wAfter w:w="809" w:type="dxa"/>
          <w:trHeight w:val="815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259B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9E53" w14:textId="61480F42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4C0A06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4A906" w14:textId="587E92F1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fr-FR"/>
                <w14:ligatures w14:val="none"/>
              </w:rPr>
              <w:t>Social injustice</w:t>
            </w: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520F9" w14:textId="1484D297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fr-FR"/>
                <w14:ligatures w14:val="none"/>
              </w:rPr>
              <w:t>Current economic/energy model is socially unjust in terms of access to energy, prices, taxes etc.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EC979" w14:textId="03B679B3" w:rsidR="004A0560" w:rsidRPr="004C0A06" w:rsidRDefault="004A0560" w:rsidP="004A056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fr-FR"/>
                <w14:ligatures w14:val="none"/>
              </w:rPr>
              <w:t>R</w:t>
            </w:r>
            <w:r w:rsidRPr="004C0A0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fr-FR"/>
                <w14:ligatures w14:val="none"/>
              </w:rPr>
              <w:t>edistribution, new social contract, public ownership of assets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fr-FR"/>
                <w14:ligatures w14:val="none"/>
              </w:rPr>
              <w:t>, tax justice, class politics, unjust distribution of climate impacts, occupation of Palestine</w:t>
            </w:r>
          </w:p>
        </w:tc>
      </w:tr>
      <w:tr w:rsidR="004A0560" w:rsidRPr="004C0A06" w14:paraId="4BBBEC47" w14:textId="77777777" w:rsidTr="00F25A90">
        <w:trPr>
          <w:gridAfter w:val="1"/>
          <w:wAfter w:w="125" w:type="dxa"/>
          <w:trHeight w:val="392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EF8F0" w14:textId="2A261B96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4C0A0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Political/geopolitical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/legal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0EF65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0A06">
              <w:rPr>
                <w:rFonts w:ascii="Times New Roman" w:hAnsi="Times New Roman" w:cs="Times New Roman"/>
                <w:b/>
                <w:bCs/>
                <w:color w:val="000000"/>
              </w:rPr>
              <w:t>300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CD83A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4FD714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FAE1F8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A0560" w:rsidRPr="004C0A06" w14:paraId="4CE18D60" w14:textId="77777777" w:rsidTr="00F25A90">
        <w:trPr>
          <w:gridAfter w:val="1"/>
          <w:wAfter w:w="125" w:type="dxa"/>
          <w:trHeight w:val="846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48161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428FF" w14:textId="265A8CCA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35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5B8C5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International reputation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E3A40" w14:textId="69BC16F8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A licensing ban can increase int</w:t>
            </w:r>
            <w:r>
              <w:rPr>
                <w:rFonts w:ascii="Times New Roman" w:hAnsi="Times New Roman" w:cs="Times New Roman"/>
                <w:color w:val="000000"/>
              </w:rPr>
              <w:t>ernational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reputation of the country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D9D8A" w14:textId="2CA13D6D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Legitimacy, reputation, external views, credibility</w:t>
            </w:r>
            <w:r>
              <w:rPr>
                <w:rFonts w:ascii="Times New Roman" w:hAnsi="Times New Roman" w:cs="Times New Roman"/>
                <w:color w:val="000000"/>
              </w:rPr>
              <w:t>, BOGA, obstacles of int. climate negotiations</w:t>
            </w:r>
          </w:p>
        </w:tc>
      </w:tr>
      <w:tr w:rsidR="004A0560" w:rsidRPr="004C0A06" w14:paraId="78F1EF13" w14:textId="77777777" w:rsidTr="00F25A90">
        <w:trPr>
          <w:gridAfter w:val="1"/>
          <w:wAfter w:w="125" w:type="dxa"/>
          <w:trHeight w:val="1020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96102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B7699" w14:textId="4597C763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35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1A292" w14:textId="6E75380A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Popular support for just transitions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6B6D1" w14:textId="14311740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transition</w:t>
            </w:r>
            <w:r>
              <w:rPr>
                <w:rFonts w:ascii="Times New Roman" w:hAnsi="Times New Roman" w:cs="Times New Roman"/>
                <w:color w:val="000000"/>
              </w:rPr>
              <w:t xml:space="preserve"> away from fossils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speak to </w:t>
            </w:r>
            <w:r>
              <w:rPr>
                <w:rFonts w:ascii="Times New Roman" w:hAnsi="Times New Roman" w:cs="Times New Roman"/>
                <w:color w:val="000000"/>
              </w:rPr>
              <w:t>a growing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portion of society   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072D3" w14:textId="1F4C5DD9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Mainstreaming of climate, political consensus</w:t>
            </w:r>
          </w:p>
        </w:tc>
      </w:tr>
      <w:tr w:rsidR="004A0560" w:rsidRPr="00CE78A2" w14:paraId="2367CB5D" w14:textId="77777777" w:rsidTr="00F25A90">
        <w:trPr>
          <w:gridAfter w:val="1"/>
          <w:wAfter w:w="125" w:type="dxa"/>
          <w:trHeight w:val="1020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F2A8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A027A" w14:textId="43662A6D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353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DEE4B" w14:textId="356C8634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Illegality of the activity  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B8358" w14:textId="6BBD640F" w:rsidR="004A0560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Fossil fuel expansion unjustified since incongruent with legal provisions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AA779" w14:textId="71982249" w:rsidR="004A0560" w:rsidRPr="00CE78A2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lang w:val="fr-CH"/>
              </w:rPr>
            </w:pPr>
            <w:r w:rsidRPr="00CE78A2">
              <w:rPr>
                <w:rFonts w:ascii="Times New Roman" w:eastAsia="Times New Roman" w:hAnsi="Times New Roman" w:cs="Times New Roman"/>
                <w:color w:val="000000"/>
                <w:kern w:val="0"/>
                <w:lang w:val="fr-CH" w:eastAsia="fr-FR"/>
                <w14:ligatures w14:val="none"/>
              </w:rPr>
              <w:t>Article 112, the constitution, EIA Directive,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fr-CH" w:eastAsia="fr-FR"/>
                <w14:ligatures w14:val="none"/>
              </w:rPr>
              <w:t xml:space="preserve"> </w:t>
            </w:r>
            <w:r w:rsidRPr="00F71430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procedural errors etc.</w:t>
            </w:r>
          </w:p>
        </w:tc>
      </w:tr>
      <w:tr w:rsidR="004A0560" w:rsidRPr="00CE78A2" w14:paraId="1D1D7927" w14:textId="77777777" w:rsidTr="00F25A90">
        <w:trPr>
          <w:gridAfter w:val="1"/>
          <w:wAfter w:w="125" w:type="dxa"/>
          <w:trHeight w:val="83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7857" w14:textId="77777777" w:rsidR="004A0560" w:rsidRPr="00CE78A2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A5AA1" w14:textId="77777777" w:rsidR="004A0560" w:rsidRPr="00CE78A2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38EBC" w14:textId="77777777" w:rsidR="004A0560" w:rsidRPr="00CE78A2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77745" w14:textId="77777777" w:rsidR="004A0560" w:rsidRPr="00CE78A2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77C03" w14:textId="77777777" w:rsidR="004A0560" w:rsidRPr="00CE78A2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4A0560" w:rsidRPr="004C0A06" w14:paraId="165EF2BB" w14:textId="77777777" w:rsidTr="003828D0">
        <w:trPr>
          <w:gridAfter w:val="1"/>
          <w:wAfter w:w="125" w:type="dxa"/>
          <w:trHeight w:val="356"/>
        </w:trPr>
        <w:tc>
          <w:tcPr>
            <w:tcW w:w="1387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D7C87" w14:textId="56D8CECA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A</w:t>
            </w: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ctions/strategies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non-rhetorical elements </w:t>
            </w: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achieve challenger goals</w:t>
            </w:r>
            <w:r w:rsidRPr="004C0A0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</w:tr>
      <w:tr w:rsidR="004A0560" w:rsidRPr="004C0A06" w14:paraId="29507F2C" w14:textId="77777777" w:rsidTr="00F25A90">
        <w:trPr>
          <w:gridAfter w:val="1"/>
          <w:wAfter w:w="125" w:type="dxa"/>
          <w:trHeight w:val="438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29F70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0A06">
              <w:rPr>
                <w:rFonts w:ascii="Times New Roman" w:hAnsi="Times New Roman" w:cs="Times New Roman"/>
                <w:b/>
                <w:bCs/>
                <w:color w:val="000000"/>
              </w:rPr>
              <w:t>Legal action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B6BAC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0A06">
              <w:rPr>
                <w:rFonts w:ascii="Times New Roman" w:hAnsi="Times New Roman" w:cs="Times New Roman"/>
                <w:b/>
                <w:bCs/>
                <w:color w:val="000000"/>
              </w:rPr>
              <w:t>400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5E731C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72D9E7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E5FDC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A0560" w:rsidRPr="004C0A06" w14:paraId="3D664382" w14:textId="77777777" w:rsidTr="00F25A90">
        <w:trPr>
          <w:gridAfter w:val="1"/>
          <w:wAfter w:w="125" w:type="dxa"/>
          <w:trHeight w:val="763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B8564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0EF6" w14:textId="50A7CE32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451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FF811" w14:textId="281E8F32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Challengers sue or appeal against incumbents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C7207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File a suit (e.g., against licensing, environmental assessment and permitting)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F45D1" w14:textId="332D15DF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Lawsuit, g</w:t>
            </w:r>
            <w:r w:rsidRPr="004C0A06">
              <w:rPr>
                <w:rFonts w:ascii="Times New Roman" w:hAnsi="Times New Roman" w:cs="Times New Roman"/>
                <w:color w:val="000000"/>
              </w:rPr>
              <w:t>rounds, legal strategies</w:t>
            </w:r>
            <w:r>
              <w:rPr>
                <w:rFonts w:ascii="Times New Roman" w:hAnsi="Times New Roman" w:cs="Times New Roman"/>
                <w:color w:val="000000"/>
              </w:rPr>
              <w:t xml:space="preserve">, climate litigation </w:t>
            </w:r>
          </w:p>
        </w:tc>
      </w:tr>
      <w:tr w:rsidR="004A0560" w:rsidRPr="004C0A06" w14:paraId="763A0FB2" w14:textId="77777777" w:rsidTr="00F25A90">
        <w:trPr>
          <w:gridAfter w:val="1"/>
          <w:wAfter w:w="125" w:type="dxa"/>
          <w:trHeight w:val="657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67091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9257F" w14:textId="167D9A11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45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D0432A" w14:textId="7293C1E4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Adjunct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legal actions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AD8DC8" w14:textId="515F648E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Strategic actions to support claims in the Court or raise media attention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24FE3C" w14:textId="37AEC0B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Commissioning reports, inviting expert witnesses, </w:t>
            </w:r>
            <w:r w:rsidRPr="004C0A06">
              <w:rPr>
                <w:rFonts w:ascii="Times New Roman" w:hAnsi="Times New Roman" w:cs="Times New Roman"/>
                <w:color w:val="000000"/>
              </w:rPr>
              <w:t>criminal offence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4A0560" w:rsidRPr="004C0A06" w14:paraId="4C2FC06F" w14:textId="77777777" w:rsidTr="00F25A90">
        <w:trPr>
          <w:gridAfter w:val="1"/>
          <w:wAfter w:w="125" w:type="dxa"/>
          <w:trHeight w:val="328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91FF1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0A06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Political action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B3931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0A06">
              <w:rPr>
                <w:rFonts w:ascii="Times New Roman" w:hAnsi="Times New Roman" w:cs="Times New Roman"/>
                <w:b/>
                <w:bCs/>
                <w:color w:val="000000"/>
              </w:rPr>
              <w:t>500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5DE212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B69B25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6A7C4E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A0560" w:rsidRPr="004C0A06" w14:paraId="19FBDCAA" w14:textId="77777777" w:rsidTr="004B6ECB">
        <w:trPr>
          <w:gridAfter w:val="1"/>
          <w:wAfter w:w="125" w:type="dxa"/>
          <w:trHeight w:val="1376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4527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7D96A" w14:textId="46E81C82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551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C6EBC" w14:textId="51747380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Strengthening of actor alliances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0D0C1" w14:textId="7B7FE032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Strategies involving synergies between different actors with common goals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54744" w14:textId="73C8D12D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Climate-labor nexus,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new actors (e.g., </w:t>
            </w:r>
            <w:r w:rsidRPr="004C0A06">
              <w:rPr>
                <w:rFonts w:ascii="Times New Roman" w:hAnsi="Times New Roman" w:cs="Times New Roman"/>
              </w:rPr>
              <w:t>Great British Energy</w:t>
            </w:r>
            <w:r>
              <w:rPr>
                <w:rFonts w:ascii="Times New Roman" w:hAnsi="Times New Roman" w:cs="Times New Roman"/>
              </w:rPr>
              <w:t xml:space="preserve"> or climate commissions)</w:t>
            </w:r>
          </w:p>
        </w:tc>
      </w:tr>
      <w:tr w:rsidR="004A0560" w:rsidRPr="004C0A06" w14:paraId="631346EC" w14:textId="77777777" w:rsidTr="004B6ECB">
        <w:trPr>
          <w:gridAfter w:val="1"/>
          <w:wAfter w:w="125" w:type="dxa"/>
          <w:trHeight w:val="680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B3F8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7EF22" w14:textId="601F2995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55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DD47A" w14:textId="5C3B28A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 xml:space="preserve">Influencing actors with political power 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D2018" w14:textId="64937F49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Lobbying of actors with direct political influence, </w:t>
            </w:r>
            <w:r w:rsidRPr="004C0A06">
              <w:rPr>
                <w:rFonts w:ascii="Times New Roman" w:hAnsi="Times New Roman" w:cs="Times New Roman"/>
                <w:color w:val="000000"/>
              </w:rPr>
              <w:t>public campaigns to ‘catch voters’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4EF0C" w14:textId="0986ED96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 xml:space="preserve">Parliamentarians/political parties/voters around the </w:t>
            </w:r>
            <w:r w:rsidRPr="004C0A06">
              <w:rPr>
                <w:rFonts w:ascii="Times New Roman" w:hAnsi="Times New Roman" w:cs="Times New Roman"/>
              </w:rPr>
              <w:t>‘wedge issue’ of fossil expansion</w:t>
            </w:r>
          </w:p>
        </w:tc>
      </w:tr>
      <w:tr w:rsidR="004A0560" w:rsidRPr="004C0A06" w14:paraId="17F0307C" w14:textId="77777777" w:rsidTr="00F25A90">
        <w:trPr>
          <w:gridAfter w:val="1"/>
          <w:wAfter w:w="125" w:type="dxa"/>
          <w:trHeight w:val="1020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4AD7A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0C77" w14:textId="12EAD131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55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B27B1" w14:textId="508DC8EB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Civil disobedience/direct action/protests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E91CE" w14:textId="13A1D880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Civil resistance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‘standing in the way’, mobilization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C8A3E" w14:textId="41B39A2A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Friday-for-futures, general strikes, direct action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demonstrations</w:t>
            </w:r>
          </w:p>
        </w:tc>
      </w:tr>
      <w:tr w:rsidR="004A0560" w:rsidRPr="004C0A06" w14:paraId="05679A82" w14:textId="77777777" w:rsidTr="00F25A90">
        <w:trPr>
          <w:gridAfter w:val="1"/>
          <w:wAfter w:w="125" w:type="dxa"/>
          <w:trHeight w:val="32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0D538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0A06">
              <w:rPr>
                <w:rFonts w:ascii="Times New Roman" w:hAnsi="Times New Roman" w:cs="Times New Roman"/>
                <w:b/>
                <w:bCs/>
                <w:color w:val="000000"/>
              </w:rPr>
              <w:t>Corporate strategy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0ACD3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0A06">
              <w:rPr>
                <w:rFonts w:ascii="Times New Roman" w:hAnsi="Times New Roman" w:cs="Times New Roman"/>
                <w:b/>
                <w:bCs/>
                <w:color w:val="000000"/>
              </w:rPr>
              <w:t>600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72C849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7A63BF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17E50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4A0560" w:rsidRPr="004C0A06" w14:paraId="1B245611" w14:textId="77777777" w:rsidTr="00F25A90">
        <w:trPr>
          <w:gridAfter w:val="1"/>
          <w:wAfter w:w="125" w:type="dxa"/>
          <w:trHeight w:val="320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1FBA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0CBE" w14:textId="427BA8A2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651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BDB3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Shareholder activism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4C5A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 xml:space="preserve">Strategies aimed to influence board decisions favoring fossil phase-out 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E7BF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4C0A06">
              <w:rPr>
                <w:rFonts w:ascii="Times New Roman" w:hAnsi="Times New Roman" w:cs="Times New Roman"/>
              </w:rPr>
              <w:t>Shareholder activism, state owners, non-state owners, groups of like-minded</w:t>
            </w:r>
          </w:p>
        </w:tc>
      </w:tr>
      <w:tr w:rsidR="004A0560" w:rsidRPr="004C0A06" w14:paraId="53128D03" w14:textId="77777777" w:rsidTr="00F25A90">
        <w:trPr>
          <w:gridAfter w:val="1"/>
          <w:wAfter w:w="125" w:type="dxa"/>
          <w:trHeight w:val="999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8F2F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FE315" w14:textId="505D81A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652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74A69" w14:textId="1CCD166A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Pr="004C0A06">
              <w:rPr>
                <w:rFonts w:ascii="Times New Roman" w:hAnsi="Times New Roman" w:cs="Times New Roman"/>
                <w:color w:val="000000"/>
              </w:rPr>
              <w:t>ampaigns</w:t>
            </w:r>
            <w:r>
              <w:rPr>
                <w:rFonts w:ascii="Times New Roman" w:hAnsi="Times New Roman" w:cs="Times New Roman"/>
                <w:color w:val="000000"/>
              </w:rPr>
              <w:t xml:space="preserve"> targeted at corporate actors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(e.g., Equinor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C0A06">
              <w:rPr>
                <w:rFonts w:ascii="Times New Roman" w:hAnsi="Times New Roman" w:cs="Times New Roman"/>
                <w:color w:val="000000"/>
              </w:rPr>
              <w:t>Out)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E7750" w14:textId="0CC0A284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Diverse campaigning strategies favoring fossil phase-out</w:t>
            </w:r>
            <w:r>
              <w:rPr>
                <w:rFonts w:ascii="Times New Roman" w:hAnsi="Times New Roman" w:cs="Times New Roman"/>
                <w:color w:val="000000"/>
              </w:rPr>
              <w:t xml:space="preserve"> and strategy re-alignment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0863" w14:textId="64B04C6E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Social media, international campaigning, synergies</w:t>
            </w:r>
            <w:r w:rsidRPr="004C0A0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A0560" w:rsidRPr="004C0A06" w14:paraId="39C1B5CC" w14:textId="77777777" w:rsidTr="00F25A90">
        <w:trPr>
          <w:gridAfter w:val="1"/>
          <w:wAfter w:w="125" w:type="dxa"/>
          <w:trHeight w:val="775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939AF6" w14:textId="6E8584A3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0A06">
              <w:rPr>
                <w:rFonts w:ascii="Times New Roman" w:hAnsi="Times New Roman" w:cs="Times New Roman"/>
                <w:b/>
                <w:bCs/>
              </w:rPr>
              <w:t>Goals of the challenger field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ACA383" w14:textId="4801B33D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0A06">
              <w:rPr>
                <w:rFonts w:ascii="Times New Roman" w:hAnsi="Times New Roman" w:cs="Times New Roman"/>
                <w:b/>
                <w:bCs/>
                <w:color w:val="000000"/>
              </w:rPr>
              <w:t>700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09B1C0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F518CD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C5224D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A0560" w:rsidRPr="004C0A06" w14:paraId="255B4108" w14:textId="77777777" w:rsidTr="00F25A90">
        <w:trPr>
          <w:gridAfter w:val="1"/>
          <w:wAfter w:w="125" w:type="dxa"/>
          <w:trHeight w:val="857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81412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6E2E3" w14:textId="5284E462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751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AEAF8" w14:textId="6CCD1642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 xml:space="preserve">Stop new licenses </w:t>
            </w:r>
            <w:r>
              <w:rPr>
                <w:rFonts w:ascii="Times New Roman" w:hAnsi="Times New Roman" w:cs="Times New Roman"/>
                <w:color w:val="000000"/>
              </w:rPr>
              <w:t xml:space="preserve">&amp; </w:t>
            </w:r>
            <w:r w:rsidRPr="004C0A06">
              <w:rPr>
                <w:rFonts w:ascii="Times New Roman" w:hAnsi="Times New Roman" w:cs="Times New Roman"/>
                <w:color w:val="000000"/>
              </w:rPr>
              <w:t>keep existing production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4F108" w14:textId="601E4C19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Involves a stop of new licenses (frontier/near-field) </w:t>
            </w:r>
          </w:p>
        </w:tc>
        <w:tc>
          <w:tcPr>
            <w:tcW w:w="381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F7794" w14:textId="0FDE51BE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government licensing, new conservation areas</w:t>
            </w:r>
          </w:p>
        </w:tc>
      </w:tr>
      <w:tr w:rsidR="004A0560" w:rsidRPr="004C0A06" w14:paraId="7DADB636" w14:textId="77777777" w:rsidTr="00F25A90">
        <w:trPr>
          <w:gridAfter w:val="1"/>
          <w:wAfter w:w="125" w:type="dxa"/>
          <w:trHeight w:val="1130"/>
        </w:trPr>
        <w:tc>
          <w:tcPr>
            <w:tcW w:w="28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DAA8B2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8697DF" w14:textId="3DF13078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752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17D0C5F" w14:textId="25000E25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 xml:space="preserve">Stop new licenses </w:t>
            </w:r>
            <w:r>
              <w:rPr>
                <w:rFonts w:ascii="Times New Roman" w:hAnsi="Times New Roman" w:cs="Times New Roman"/>
                <w:color w:val="000000"/>
              </w:rPr>
              <w:t>&amp; phase out</w:t>
            </w:r>
            <w:r w:rsidRPr="004C0A06">
              <w:rPr>
                <w:rFonts w:ascii="Times New Roman" w:hAnsi="Times New Roman" w:cs="Times New Roman"/>
                <w:color w:val="000000"/>
              </w:rPr>
              <w:t xml:space="preserve"> existing production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50617D" w14:textId="2018C072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Involves a stop of new licenses &amp; a scale-down of existing production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B8F578" w14:textId="597149B3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government licensing policy, phase-out, phase-down, terminal decline</w:t>
            </w:r>
          </w:p>
        </w:tc>
      </w:tr>
      <w:tr w:rsidR="004A0560" w:rsidRPr="004C0A06" w14:paraId="2950A208" w14:textId="77777777" w:rsidTr="00F25A90">
        <w:trPr>
          <w:gridAfter w:val="1"/>
          <w:wAfter w:w="125" w:type="dxa"/>
          <w:trHeight w:val="857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9C1472" w14:textId="77777777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91ECC" w14:textId="20F0E5A1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>753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AF5998" w14:textId="3CB34B6F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0A06">
              <w:rPr>
                <w:rFonts w:ascii="Times New Roman" w:hAnsi="Times New Roman" w:cs="Times New Roman"/>
                <w:color w:val="000000"/>
              </w:rPr>
              <w:t xml:space="preserve">Stop new licenses </w:t>
            </w:r>
            <w:r>
              <w:rPr>
                <w:rFonts w:ascii="Times New Roman" w:hAnsi="Times New Roman" w:cs="Times New Roman"/>
                <w:color w:val="000000"/>
              </w:rPr>
              <w:t xml:space="preserve">&amp; </w:t>
            </w:r>
            <w:r w:rsidRPr="004C0A06">
              <w:rPr>
                <w:rFonts w:ascii="Times New Roman" w:hAnsi="Times New Roman" w:cs="Times New Roman"/>
                <w:color w:val="000000"/>
              </w:rPr>
              <w:t>and transform the industrial structure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0CDBC2" w14:textId="68234981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Whole-of-society transformation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577C84" w14:textId="7D11A790" w:rsidR="004A0560" w:rsidRPr="004C0A06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Transformation, transition, industrial change </w:t>
            </w:r>
          </w:p>
        </w:tc>
      </w:tr>
      <w:tr w:rsidR="004A0560" w:rsidRPr="004C0A06" w14:paraId="6A7CC260" w14:textId="77777777" w:rsidTr="001B0E17">
        <w:trPr>
          <w:gridAfter w:val="1"/>
          <w:wAfter w:w="125" w:type="dxa"/>
          <w:trHeight w:val="32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1E94332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CC3B6A6" w14:textId="77777777" w:rsidR="004A0560" w:rsidRPr="004C0A06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93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B42BDEC" w14:textId="082CB925" w:rsidR="004A0560" w:rsidRDefault="004A0560" w:rsidP="004A0560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</w:tr>
      <w:tr w:rsidR="004A0560" w:rsidRPr="0084430E" w14:paraId="26C3A4D2" w14:textId="77777777" w:rsidTr="00833794">
        <w:trPr>
          <w:gridAfter w:val="1"/>
          <w:wAfter w:w="125" w:type="dxa"/>
          <w:trHeight w:val="320"/>
        </w:trPr>
        <w:tc>
          <w:tcPr>
            <w:tcW w:w="13879" w:type="dxa"/>
            <w:gridSpan w:val="15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BA7912" w14:textId="52AB0A60" w:rsidR="004A0560" w:rsidRPr="0075295B" w:rsidRDefault="004A0560" w:rsidP="004A056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6670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Joint themes</w:t>
            </w:r>
          </w:p>
        </w:tc>
      </w:tr>
      <w:tr w:rsidR="004A0560" w:rsidRPr="0084430E" w14:paraId="6D85A655" w14:textId="77777777" w:rsidTr="00CF1734">
        <w:trPr>
          <w:gridAfter w:val="1"/>
          <w:wAfter w:w="125" w:type="dxa"/>
          <w:trHeight w:val="320"/>
        </w:trPr>
        <w:tc>
          <w:tcPr>
            <w:tcW w:w="3969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B9ADDC" w14:textId="3FCDA054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                                 </w:t>
            </w:r>
            <w:r w:rsidRPr="0084430E">
              <w:rPr>
                <w:rFonts w:ascii="Times New Roman" w:hAnsi="Times New Roman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7A3A37" w14:textId="3C2EB732" w:rsidR="004A0560" w:rsidRPr="009E4311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E4311">
              <w:rPr>
                <w:rFonts w:ascii="Times New Roman" w:hAnsi="Times New Roman" w:cs="Times New Roman"/>
                <w:b/>
                <w:bCs/>
                <w:color w:val="000000"/>
              </w:rPr>
              <w:t>Sub-category</w:t>
            </w:r>
          </w:p>
        </w:tc>
        <w:tc>
          <w:tcPr>
            <w:tcW w:w="396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2019AA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4C0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Description/rationale</w:t>
            </w:r>
          </w:p>
        </w:tc>
        <w:tc>
          <w:tcPr>
            <w:tcW w:w="3814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9E573D" w14:textId="793F9B93" w:rsidR="004A0560" w:rsidRPr="00161A5F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61A5F">
              <w:rPr>
                <w:rFonts w:ascii="Times New Roman" w:hAnsi="Times New Roman" w:cs="Times New Roman"/>
                <w:b/>
                <w:bCs/>
                <w:color w:val="000000"/>
              </w:rPr>
              <w:t>Semantic descriptors</w:t>
            </w:r>
          </w:p>
        </w:tc>
      </w:tr>
      <w:tr w:rsidR="004A0560" w:rsidRPr="0084430E" w14:paraId="40AAC6D0" w14:textId="77777777" w:rsidTr="00D00601">
        <w:trPr>
          <w:gridAfter w:val="1"/>
          <w:wAfter w:w="125" w:type="dxa"/>
          <w:trHeight w:val="320"/>
        </w:trPr>
        <w:tc>
          <w:tcPr>
            <w:tcW w:w="283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9573B" w14:textId="33B7E82D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45C4F" w14:textId="32B0E0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4430E">
              <w:rPr>
                <w:rFonts w:ascii="Times New Roman" w:hAnsi="Times New Roman" w:cs="Times New Roman"/>
                <w:b/>
                <w:bCs/>
                <w:color w:val="000000"/>
              </w:rPr>
              <w:t>900</w:t>
            </w:r>
          </w:p>
        </w:tc>
        <w:tc>
          <w:tcPr>
            <w:tcW w:w="10193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06745D" w14:textId="2583C933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i/>
                <w:iCs/>
                <w:color w:val="000000"/>
              </w:rPr>
              <w:t>Shared topics by both challengers and incumbents</w:t>
            </w:r>
          </w:p>
        </w:tc>
      </w:tr>
      <w:tr w:rsidR="004A0560" w:rsidRPr="0084430E" w14:paraId="4905BD10" w14:textId="77777777" w:rsidTr="00F25A90">
        <w:trPr>
          <w:gridAfter w:val="1"/>
          <w:wAfter w:w="125" w:type="dxa"/>
          <w:trHeight w:val="680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E7C9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FC23" w14:textId="5F4F9083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901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E96C4" w14:textId="707A0E93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Obstacles to the transition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C50E" w14:textId="3709B8D8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How actors frame obstacles to transitioning away from fossil fuels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7A7C" w14:textId="725B59F4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Fiscal/political/geopolitical/economic/administrative</w:t>
            </w:r>
            <w:r>
              <w:rPr>
                <w:rFonts w:ascii="Times New Roman" w:hAnsi="Times New Roman" w:cs="Times New Roman"/>
                <w:color w:val="000000"/>
              </w:rPr>
              <w:t>/erosion of trust/emotional</w:t>
            </w:r>
          </w:p>
        </w:tc>
      </w:tr>
      <w:tr w:rsidR="004A0560" w:rsidRPr="0084430E" w14:paraId="0EE8068A" w14:textId="77777777" w:rsidTr="00F25A90">
        <w:trPr>
          <w:gridAfter w:val="1"/>
          <w:wAfter w:w="125" w:type="dxa"/>
          <w:trHeight w:val="1258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FCBB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7DAE" w14:textId="4DD10BA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902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05DB2" w14:textId="0F2A5D15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Recurrent narratives and contradictions (as perceived by challengers)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3535" w14:textId="49DFAC2B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How challengers perceive the incumbent field 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E6EF" w14:textId="21D8E131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Narratives / contradictions </w:t>
            </w:r>
          </w:p>
        </w:tc>
      </w:tr>
      <w:tr w:rsidR="004A0560" w:rsidRPr="0084430E" w14:paraId="07D12001" w14:textId="77777777" w:rsidTr="00F25A90">
        <w:trPr>
          <w:gridAfter w:val="1"/>
          <w:wAfter w:w="125" w:type="dxa"/>
          <w:trHeight w:val="612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F99F3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EA7F" w14:textId="3DD00874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903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E07A5" w14:textId="5DE8E0FA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Recurrent narratives and contradictions (as perceived by incumbents)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801F0" w14:textId="32AE9F14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How incumbents perceive the challenger field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021F" w14:textId="3CCAB874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Narratives / contradictions</w:t>
            </w:r>
          </w:p>
        </w:tc>
      </w:tr>
      <w:tr w:rsidR="004A0560" w:rsidRPr="0084430E" w14:paraId="6AF88E47" w14:textId="77777777" w:rsidTr="00F25A90">
        <w:trPr>
          <w:gridAfter w:val="1"/>
          <w:wAfter w:w="125" w:type="dxa"/>
          <w:trHeight w:val="799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582F0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3F11" w14:textId="0978B6FD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904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93370" w14:textId="58746D2E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 xml:space="preserve">Norwegian specificities 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155F" w14:textId="00B6DA74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Specificities to the struggle around O&amp;G in Norway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BB482" w14:textId="29275349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Political/economic/cultural/historic</w:t>
            </w:r>
          </w:p>
        </w:tc>
      </w:tr>
      <w:tr w:rsidR="004A0560" w:rsidRPr="0084430E" w14:paraId="7F632A9C" w14:textId="77777777" w:rsidTr="00F25A90">
        <w:trPr>
          <w:gridAfter w:val="1"/>
          <w:wAfter w:w="125" w:type="dxa"/>
          <w:trHeight w:val="555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3CB1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038BA" w14:textId="55DAEEB1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905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D1D06" w14:textId="01E7325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 xml:space="preserve">British specificities 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46C5" w14:textId="114DA8DA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Specificities to the struggle around O&amp;G in the U.K.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2A14" w14:textId="1D2A0F68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Political/economic/cultural/historic</w:t>
            </w:r>
          </w:p>
        </w:tc>
      </w:tr>
      <w:tr w:rsidR="004A0560" w:rsidRPr="0084430E" w14:paraId="47F5D539" w14:textId="77777777" w:rsidTr="00F25A90">
        <w:trPr>
          <w:gridAfter w:val="1"/>
          <w:wAfter w:w="125" w:type="dxa"/>
          <w:trHeight w:val="709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6B1B6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C6383" w14:textId="6D0CF6D1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906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294FA" w14:textId="2117A28E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 xml:space="preserve">Enablers of the transition 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59DC04" w14:textId="29B7A7CD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 xml:space="preserve">Which enablers actors perceive to overcome obstacles 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A4AD6" w14:textId="08254FED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E.g., social tipping elements, policies etc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4A0560" w:rsidRPr="0084430E" w14:paraId="7E8ABB8C" w14:textId="77777777" w:rsidTr="00F25A90">
        <w:trPr>
          <w:gridAfter w:val="1"/>
          <w:wAfter w:w="125" w:type="dxa"/>
          <w:trHeight w:val="744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D19C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28B7" w14:textId="47738722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907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D9C32" w14:textId="7F387EA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Responsibility and moral questions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DE7FA" w14:textId="662E1BD9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 xml:space="preserve">How actors evoke ethics </w:t>
            </w:r>
            <w:r>
              <w:rPr>
                <w:rFonts w:ascii="Times New Roman" w:hAnsi="Times New Roman" w:cs="Times New Roman"/>
                <w:color w:val="000000"/>
              </w:rPr>
              <w:t>and</w:t>
            </w:r>
            <w:r w:rsidRPr="0084430E">
              <w:rPr>
                <w:rFonts w:ascii="Times New Roman" w:hAnsi="Times New Roman" w:cs="Times New Roman"/>
                <w:color w:val="000000"/>
              </w:rPr>
              <w:t xml:space="preserve"> responsibility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95C67" w14:textId="3EB2B82F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Moral question, ethics, responsibility</w:t>
            </w:r>
          </w:p>
        </w:tc>
      </w:tr>
      <w:tr w:rsidR="004A0560" w:rsidRPr="0084430E" w14:paraId="60BD68AA" w14:textId="77777777" w:rsidTr="00F25A90">
        <w:trPr>
          <w:gridAfter w:val="1"/>
          <w:wAfter w:w="125" w:type="dxa"/>
          <w:trHeight w:val="707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EBC9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5682" w14:textId="3985DFB9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908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EA6EC" w14:textId="250C5E6B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Relation to judgement validation institutions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68293" w14:textId="0A26EA3C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How actors relate to authority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C2F40" w14:textId="18ED90A5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hAnsi="Times New Roman" w:cs="Times New Roman"/>
              </w:rPr>
              <w:t>Science, the law, parliament, the government</w:t>
            </w:r>
          </w:p>
        </w:tc>
      </w:tr>
      <w:tr w:rsidR="004A0560" w:rsidRPr="0084430E" w14:paraId="15EFE5F7" w14:textId="77777777" w:rsidTr="00F25A90">
        <w:trPr>
          <w:gridAfter w:val="1"/>
          <w:wAfter w:w="125" w:type="dxa"/>
          <w:trHeight w:val="709"/>
        </w:trPr>
        <w:tc>
          <w:tcPr>
            <w:tcW w:w="28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275C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D9F4" w14:textId="5BFBE2F5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909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ED1DD7" w14:textId="406E273E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Comparison Norway/UK/inter</w:t>
            </w:r>
            <w:r>
              <w:rPr>
                <w:rFonts w:ascii="Times New Roman" w:hAnsi="Times New Roman" w:cs="Times New Roman"/>
                <w:color w:val="000000"/>
              </w:rPr>
              <w:t>national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9E7D6D" w14:textId="40B6A401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How actors compare different national contexts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3E7A8B" w14:textId="2718B32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hAnsi="Times New Roman" w:cs="Times New Roman"/>
              </w:rPr>
              <w:t>UK/Norway/Denmark/Colombia/United States/etc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A0560" w:rsidRPr="0084430E" w14:paraId="48AEBA46" w14:textId="77777777" w:rsidTr="00F25A90">
        <w:trPr>
          <w:gridAfter w:val="1"/>
          <w:wAfter w:w="125" w:type="dxa"/>
          <w:trHeight w:val="68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5E270" w14:textId="77777777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CB4E3" w14:textId="26073CCE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910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1425E9" w14:textId="7E86DFD2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>Effects of Russia's invasion of Ukraine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FF0D06" w14:textId="5E8447CD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430E">
              <w:rPr>
                <w:rFonts w:ascii="Times New Roman" w:hAnsi="Times New Roman" w:cs="Times New Roman"/>
                <w:color w:val="000000"/>
              </w:rPr>
              <w:t xml:space="preserve">How the geopolitical crisis affects current </w:t>
            </w:r>
            <w:r>
              <w:rPr>
                <w:rFonts w:ascii="Times New Roman" w:hAnsi="Times New Roman" w:cs="Times New Roman"/>
                <w:color w:val="000000"/>
              </w:rPr>
              <w:t>pathways (without immediately bearing on the sub-field goals)</w:t>
            </w:r>
          </w:p>
        </w:tc>
        <w:tc>
          <w:tcPr>
            <w:tcW w:w="38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A36D8D" w14:textId="04ABFDDD" w:rsidR="004A0560" w:rsidRPr="0084430E" w:rsidRDefault="004A0560" w:rsidP="004A05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4430E">
              <w:rPr>
                <w:rFonts w:ascii="Times New Roman" w:hAnsi="Times New Roman" w:cs="Times New Roman"/>
              </w:rPr>
              <w:t>Russia, war, Ukraine, energy security, price effects, supply crisis</w:t>
            </w:r>
          </w:p>
        </w:tc>
      </w:tr>
    </w:tbl>
    <w:p w14:paraId="2BAB5840" w14:textId="707322D7" w:rsidR="003927C1" w:rsidRPr="0084430E" w:rsidRDefault="003927C1" w:rsidP="0062213F">
      <w:pPr>
        <w:rPr>
          <w:rFonts w:ascii="Times New Roman" w:hAnsi="Times New Roman" w:cs="Times New Roman"/>
          <w:sz w:val="22"/>
          <w:szCs w:val="22"/>
        </w:rPr>
      </w:pPr>
    </w:p>
    <w:sectPr w:rsidR="003927C1" w:rsidRPr="0084430E" w:rsidSect="007805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CEDD1" w14:textId="77777777" w:rsidR="00B718EE" w:rsidRDefault="00B718EE" w:rsidP="00C33E73">
      <w:pPr>
        <w:spacing w:before="0" w:after="0"/>
      </w:pPr>
      <w:r>
        <w:separator/>
      </w:r>
    </w:p>
  </w:endnote>
  <w:endnote w:type="continuationSeparator" w:id="0">
    <w:p w14:paraId="4024666D" w14:textId="77777777" w:rsidR="00B718EE" w:rsidRDefault="00B718EE" w:rsidP="00C33E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843841897"/>
      <w:docPartObj>
        <w:docPartGallery w:val="Page Numbers (Bottom of Page)"/>
        <w:docPartUnique/>
      </w:docPartObj>
    </w:sdtPr>
    <w:sdtContent>
      <w:p w14:paraId="24A65E53" w14:textId="06E1FF5A" w:rsidR="00C33E73" w:rsidRDefault="00C33E73" w:rsidP="00B5106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A852D5">
          <w:rPr>
            <w:rStyle w:val="Numrodepage"/>
            <w:noProof/>
          </w:rPr>
          <w:t>3</w:t>
        </w:r>
        <w:r>
          <w:rPr>
            <w:rStyle w:val="Numrodepage"/>
          </w:rPr>
          <w:fldChar w:fldCharType="end"/>
        </w:r>
      </w:p>
    </w:sdtContent>
  </w:sdt>
  <w:p w14:paraId="7CA36D55" w14:textId="77777777" w:rsidR="00C33E73" w:rsidRDefault="00C33E73" w:rsidP="00C33E7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589922549"/>
      <w:docPartObj>
        <w:docPartGallery w:val="Page Numbers (Bottom of Page)"/>
        <w:docPartUnique/>
      </w:docPartObj>
    </w:sdtPr>
    <w:sdtContent>
      <w:p w14:paraId="56C3161A" w14:textId="0353600E" w:rsidR="00C33E73" w:rsidRDefault="00C33E73" w:rsidP="00B5106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482BE15" w14:textId="77777777" w:rsidR="00C33E73" w:rsidRDefault="00C33E73" w:rsidP="00C33E7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01005" w14:textId="77777777" w:rsidR="00B718EE" w:rsidRDefault="00B718EE" w:rsidP="00C33E73">
      <w:pPr>
        <w:spacing w:before="0" w:after="0"/>
      </w:pPr>
      <w:r>
        <w:separator/>
      </w:r>
    </w:p>
  </w:footnote>
  <w:footnote w:type="continuationSeparator" w:id="0">
    <w:p w14:paraId="6F46757E" w14:textId="77777777" w:rsidR="00B718EE" w:rsidRDefault="00B718EE" w:rsidP="00C33E7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97A7B"/>
    <w:multiLevelType w:val="hybridMultilevel"/>
    <w:tmpl w:val="8A8ECE32"/>
    <w:lvl w:ilvl="0" w:tplc="FF585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0787A"/>
    <w:multiLevelType w:val="hybridMultilevel"/>
    <w:tmpl w:val="1C7034C4"/>
    <w:lvl w:ilvl="0" w:tplc="ECCE20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683074">
    <w:abstractNumId w:val="0"/>
  </w:num>
  <w:num w:numId="2" w16cid:durableId="182631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9"/>
    <w:rsid w:val="00001430"/>
    <w:rsid w:val="000016A1"/>
    <w:rsid w:val="000017EE"/>
    <w:rsid w:val="000026E8"/>
    <w:rsid w:val="00002E6F"/>
    <w:rsid w:val="00004FEE"/>
    <w:rsid w:val="000054B6"/>
    <w:rsid w:val="00005905"/>
    <w:rsid w:val="0000685C"/>
    <w:rsid w:val="00006D0A"/>
    <w:rsid w:val="0000705D"/>
    <w:rsid w:val="000073BD"/>
    <w:rsid w:val="00010605"/>
    <w:rsid w:val="0001132F"/>
    <w:rsid w:val="00011AD2"/>
    <w:rsid w:val="00011BF9"/>
    <w:rsid w:val="00012833"/>
    <w:rsid w:val="000141E1"/>
    <w:rsid w:val="00016633"/>
    <w:rsid w:val="00016944"/>
    <w:rsid w:val="00017EA9"/>
    <w:rsid w:val="000200B8"/>
    <w:rsid w:val="00020298"/>
    <w:rsid w:val="00021F24"/>
    <w:rsid w:val="00021FDB"/>
    <w:rsid w:val="00022804"/>
    <w:rsid w:val="00022D8E"/>
    <w:rsid w:val="0002356F"/>
    <w:rsid w:val="0002473B"/>
    <w:rsid w:val="00024CDA"/>
    <w:rsid w:val="00024F9E"/>
    <w:rsid w:val="000268BB"/>
    <w:rsid w:val="000270AF"/>
    <w:rsid w:val="000273AC"/>
    <w:rsid w:val="00027739"/>
    <w:rsid w:val="00033CAC"/>
    <w:rsid w:val="000347CC"/>
    <w:rsid w:val="00036418"/>
    <w:rsid w:val="00036661"/>
    <w:rsid w:val="00040D28"/>
    <w:rsid w:val="00040E19"/>
    <w:rsid w:val="00041045"/>
    <w:rsid w:val="00041636"/>
    <w:rsid w:val="0004227F"/>
    <w:rsid w:val="00042BDA"/>
    <w:rsid w:val="00043399"/>
    <w:rsid w:val="000435B9"/>
    <w:rsid w:val="00043836"/>
    <w:rsid w:val="000449EA"/>
    <w:rsid w:val="00044FC0"/>
    <w:rsid w:val="00046485"/>
    <w:rsid w:val="0004651A"/>
    <w:rsid w:val="00047325"/>
    <w:rsid w:val="00050406"/>
    <w:rsid w:val="00051AA1"/>
    <w:rsid w:val="00052D92"/>
    <w:rsid w:val="00053BDA"/>
    <w:rsid w:val="00054DC9"/>
    <w:rsid w:val="000568CD"/>
    <w:rsid w:val="0006003B"/>
    <w:rsid w:val="000608F3"/>
    <w:rsid w:val="000617CE"/>
    <w:rsid w:val="00061B82"/>
    <w:rsid w:val="00061C00"/>
    <w:rsid w:val="00061F47"/>
    <w:rsid w:val="00062C67"/>
    <w:rsid w:val="00062DF9"/>
    <w:rsid w:val="00062F43"/>
    <w:rsid w:val="00063632"/>
    <w:rsid w:val="00063C8A"/>
    <w:rsid w:val="000651B6"/>
    <w:rsid w:val="00066244"/>
    <w:rsid w:val="000666A4"/>
    <w:rsid w:val="00066707"/>
    <w:rsid w:val="000675E4"/>
    <w:rsid w:val="00070929"/>
    <w:rsid w:val="0007176B"/>
    <w:rsid w:val="00072179"/>
    <w:rsid w:val="00072AAC"/>
    <w:rsid w:val="0007346E"/>
    <w:rsid w:val="00074094"/>
    <w:rsid w:val="000747C6"/>
    <w:rsid w:val="000748CB"/>
    <w:rsid w:val="00074BE0"/>
    <w:rsid w:val="00074C33"/>
    <w:rsid w:val="000758C6"/>
    <w:rsid w:val="00075901"/>
    <w:rsid w:val="00076142"/>
    <w:rsid w:val="00076A80"/>
    <w:rsid w:val="00076AEE"/>
    <w:rsid w:val="00076D14"/>
    <w:rsid w:val="00076FAB"/>
    <w:rsid w:val="00080483"/>
    <w:rsid w:val="00081112"/>
    <w:rsid w:val="0008207A"/>
    <w:rsid w:val="000829AA"/>
    <w:rsid w:val="00082A0C"/>
    <w:rsid w:val="00082AE8"/>
    <w:rsid w:val="0008314F"/>
    <w:rsid w:val="00083C04"/>
    <w:rsid w:val="0008496F"/>
    <w:rsid w:val="0008595F"/>
    <w:rsid w:val="00085EA9"/>
    <w:rsid w:val="00085FEC"/>
    <w:rsid w:val="00086ACA"/>
    <w:rsid w:val="00086BBD"/>
    <w:rsid w:val="00087722"/>
    <w:rsid w:val="00087C5A"/>
    <w:rsid w:val="00087ECD"/>
    <w:rsid w:val="00090189"/>
    <w:rsid w:val="000904E6"/>
    <w:rsid w:val="00090717"/>
    <w:rsid w:val="00091019"/>
    <w:rsid w:val="00091378"/>
    <w:rsid w:val="00091CD1"/>
    <w:rsid w:val="00092F53"/>
    <w:rsid w:val="00093802"/>
    <w:rsid w:val="00093C4B"/>
    <w:rsid w:val="00094457"/>
    <w:rsid w:val="000945CF"/>
    <w:rsid w:val="000956F3"/>
    <w:rsid w:val="00095858"/>
    <w:rsid w:val="00095FE2"/>
    <w:rsid w:val="0009629A"/>
    <w:rsid w:val="00096AFA"/>
    <w:rsid w:val="00096CA9"/>
    <w:rsid w:val="00096FD0"/>
    <w:rsid w:val="000A01F8"/>
    <w:rsid w:val="000A1514"/>
    <w:rsid w:val="000A1606"/>
    <w:rsid w:val="000A160F"/>
    <w:rsid w:val="000A2E69"/>
    <w:rsid w:val="000A3D28"/>
    <w:rsid w:val="000A556B"/>
    <w:rsid w:val="000A5A55"/>
    <w:rsid w:val="000A5CD4"/>
    <w:rsid w:val="000A7394"/>
    <w:rsid w:val="000A7DE0"/>
    <w:rsid w:val="000B084D"/>
    <w:rsid w:val="000B1218"/>
    <w:rsid w:val="000B216D"/>
    <w:rsid w:val="000B2A53"/>
    <w:rsid w:val="000B3546"/>
    <w:rsid w:val="000B3599"/>
    <w:rsid w:val="000B48C7"/>
    <w:rsid w:val="000B59A1"/>
    <w:rsid w:val="000B61A1"/>
    <w:rsid w:val="000B64AA"/>
    <w:rsid w:val="000B6D8A"/>
    <w:rsid w:val="000C00E5"/>
    <w:rsid w:val="000C06D6"/>
    <w:rsid w:val="000C108D"/>
    <w:rsid w:val="000C1627"/>
    <w:rsid w:val="000C19D9"/>
    <w:rsid w:val="000C2B0F"/>
    <w:rsid w:val="000C2D5C"/>
    <w:rsid w:val="000C473E"/>
    <w:rsid w:val="000C64B0"/>
    <w:rsid w:val="000C6C04"/>
    <w:rsid w:val="000D0093"/>
    <w:rsid w:val="000D0C46"/>
    <w:rsid w:val="000D0EB1"/>
    <w:rsid w:val="000D298E"/>
    <w:rsid w:val="000D3AB4"/>
    <w:rsid w:val="000D3AB6"/>
    <w:rsid w:val="000D4015"/>
    <w:rsid w:val="000D4D1D"/>
    <w:rsid w:val="000D5984"/>
    <w:rsid w:val="000D5F4A"/>
    <w:rsid w:val="000D5FEE"/>
    <w:rsid w:val="000D717A"/>
    <w:rsid w:val="000E0035"/>
    <w:rsid w:val="000E0652"/>
    <w:rsid w:val="000E1243"/>
    <w:rsid w:val="000E1A16"/>
    <w:rsid w:val="000E219D"/>
    <w:rsid w:val="000E2B52"/>
    <w:rsid w:val="000E2E4A"/>
    <w:rsid w:val="000E30B8"/>
    <w:rsid w:val="000E34C5"/>
    <w:rsid w:val="000E406A"/>
    <w:rsid w:val="000E5438"/>
    <w:rsid w:val="000E62C6"/>
    <w:rsid w:val="000E6C7F"/>
    <w:rsid w:val="000E783A"/>
    <w:rsid w:val="000E7B42"/>
    <w:rsid w:val="000E7CF8"/>
    <w:rsid w:val="000F1241"/>
    <w:rsid w:val="000F1347"/>
    <w:rsid w:val="000F15C5"/>
    <w:rsid w:val="000F343C"/>
    <w:rsid w:val="000F39BA"/>
    <w:rsid w:val="000F3E2A"/>
    <w:rsid w:val="000F3E64"/>
    <w:rsid w:val="000F418A"/>
    <w:rsid w:val="000F449D"/>
    <w:rsid w:val="000F6973"/>
    <w:rsid w:val="000F6FEC"/>
    <w:rsid w:val="0010065B"/>
    <w:rsid w:val="001007C5"/>
    <w:rsid w:val="001007CE"/>
    <w:rsid w:val="00102483"/>
    <w:rsid w:val="00102746"/>
    <w:rsid w:val="001027E7"/>
    <w:rsid w:val="00102C4D"/>
    <w:rsid w:val="00102CAD"/>
    <w:rsid w:val="0010359D"/>
    <w:rsid w:val="001035F3"/>
    <w:rsid w:val="001039C5"/>
    <w:rsid w:val="00103B46"/>
    <w:rsid w:val="00103ECA"/>
    <w:rsid w:val="0010461D"/>
    <w:rsid w:val="001048DE"/>
    <w:rsid w:val="00105289"/>
    <w:rsid w:val="001052EF"/>
    <w:rsid w:val="0010597C"/>
    <w:rsid w:val="00105C7D"/>
    <w:rsid w:val="00105D2F"/>
    <w:rsid w:val="0010770B"/>
    <w:rsid w:val="00107754"/>
    <w:rsid w:val="001115C7"/>
    <w:rsid w:val="001119A0"/>
    <w:rsid w:val="00111D73"/>
    <w:rsid w:val="00113E07"/>
    <w:rsid w:val="00114313"/>
    <w:rsid w:val="00114619"/>
    <w:rsid w:val="00117826"/>
    <w:rsid w:val="00117C76"/>
    <w:rsid w:val="00120CC9"/>
    <w:rsid w:val="001210CC"/>
    <w:rsid w:val="00121329"/>
    <w:rsid w:val="00122389"/>
    <w:rsid w:val="001225C6"/>
    <w:rsid w:val="001229DD"/>
    <w:rsid w:val="00123199"/>
    <w:rsid w:val="00124B55"/>
    <w:rsid w:val="00124DBF"/>
    <w:rsid w:val="00124FA5"/>
    <w:rsid w:val="001251EA"/>
    <w:rsid w:val="001251FC"/>
    <w:rsid w:val="001256A7"/>
    <w:rsid w:val="001256D4"/>
    <w:rsid w:val="0012656F"/>
    <w:rsid w:val="00126E15"/>
    <w:rsid w:val="0013099E"/>
    <w:rsid w:val="001309E7"/>
    <w:rsid w:val="00130A2F"/>
    <w:rsid w:val="001310A8"/>
    <w:rsid w:val="001310C6"/>
    <w:rsid w:val="001314F2"/>
    <w:rsid w:val="00132212"/>
    <w:rsid w:val="001326E8"/>
    <w:rsid w:val="001336C3"/>
    <w:rsid w:val="00134ABE"/>
    <w:rsid w:val="00134E13"/>
    <w:rsid w:val="001353DD"/>
    <w:rsid w:val="00137CB7"/>
    <w:rsid w:val="00140F0C"/>
    <w:rsid w:val="00141132"/>
    <w:rsid w:val="0014144E"/>
    <w:rsid w:val="00141C7F"/>
    <w:rsid w:val="00142058"/>
    <w:rsid w:val="001420BB"/>
    <w:rsid w:val="00142810"/>
    <w:rsid w:val="00142A2E"/>
    <w:rsid w:val="0014318D"/>
    <w:rsid w:val="001448A2"/>
    <w:rsid w:val="00144D2E"/>
    <w:rsid w:val="00145A66"/>
    <w:rsid w:val="00146A74"/>
    <w:rsid w:val="001501ED"/>
    <w:rsid w:val="0015041F"/>
    <w:rsid w:val="0015090C"/>
    <w:rsid w:val="00150A54"/>
    <w:rsid w:val="0015222F"/>
    <w:rsid w:val="00152D4F"/>
    <w:rsid w:val="0015337E"/>
    <w:rsid w:val="001551D9"/>
    <w:rsid w:val="00155687"/>
    <w:rsid w:val="00160029"/>
    <w:rsid w:val="00161A15"/>
    <w:rsid w:val="00161A5F"/>
    <w:rsid w:val="0016253D"/>
    <w:rsid w:val="00163C14"/>
    <w:rsid w:val="00163DED"/>
    <w:rsid w:val="00164651"/>
    <w:rsid w:val="0016468C"/>
    <w:rsid w:val="00165AC6"/>
    <w:rsid w:val="0016612B"/>
    <w:rsid w:val="001677A7"/>
    <w:rsid w:val="00170505"/>
    <w:rsid w:val="00170831"/>
    <w:rsid w:val="001719BA"/>
    <w:rsid w:val="00172435"/>
    <w:rsid w:val="00173071"/>
    <w:rsid w:val="0017357A"/>
    <w:rsid w:val="00174240"/>
    <w:rsid w:val="00174F9A"/>
    <w:rsid w:val="00174FD9"/>
    <w:rsid w:val="0017551A"/>
    <w:rsid w:val="001766AA"/>
    <w:rsid w:val="001775B2"/>
    <w:rsid w:val="00177F4B"/>
    <w:rsid w:val="001806BC"/>
    <w:rsid w:val="00181367"/>
    <w:rsid w:val="001821C7"/>
    <w:rsid w:val="001825E2"/>
    <w:rsid w:val="00182767"/>
    <w:rsid w:val="00182F21"/>
    <w:rsid w:val="00182FA1"/>
    <w:rsid w:val="00182FA4"/>
    <w:rsid w:val="001832B7"/>
    <w:rsid w:val="001850F4"/>
    <w:rsid w:val="00185164"/>
    <w:rsid w:val="001853D5"/>
    <w:rsid w:val="001855C9"/>
    <w:rsid w:val="00185C0B"/>
    <w:rsid w:val="00185CAD"/>
    <w:rsid w:val="00186C32"/>
    <w:rsid w:val="00187036"/>
    <w:rsid w:val="0018705C"/>
    <w:rsid w:val="00187116"/>
    <w:rsid w:val="00187C11"/>
    <w:rsid w:val="001904AC"/>
    <w:rsid w:val="00190B78"/>
    <w:rsid w:val="00190C85"/>
    <w:rsid w:val="00191BA6"/>
    <w:rsid w:val="00192B33"/>
    <w:rsid w:val="00193643"/>
    <w:rsid w:val="001939B2"/>
    <w:rsid w:val="00194B6A"/>
    <w:rsid w:val="00194E09"/>
    <w:rsid w:val="00196DE9"/>
    <w:rsid w:val="001970FD"/>
    <w:rsid w:val="001974FB"/>
    <w:rsid w:val="00197CCB"/>
    <w:rsid w:val="00197EF2"/>
    <w:rsid w:val="001A0038"/>
    <w:rsid w:val="001A0338"/>
    <w:rsid w:val="001A05EF"/>
    <w:rsid w:val="001A0612"/>
    <w:rsid w:val="001A0D4A"/>
    <w:rsid w:val="001A1939"/>
    <w:rsid w:val="001A44B2"/>
    <w:rsid w:val="001A49DC"/>
    <w:rsid w:val="001B0E17"/>
    <w:rsid w:val="001B3A75"/>
    <w:rsid w:val="001B53D9"/>
    <w:rsid w:val="001B5A91"/>
    <w:rsid w:val="001B60DC"/>
    <w:rsid w:val="001B6398"/>
    <w:rsid w:val="001B6A51"/>
    <w:rsid w:val="001B7207"/>
    <w:rsid w:val="001B7432"/>
    <w:rsid w:val="001B7D76"/>
    <w:rsid w:val="001B7D78"/>
    <w:rsid w:val="001C01FA"/>
    <w:rsid w:val="001C09C2"/>
    <w:rsid w:val="001C29F7"/>
    <w:rsid w:val="001C3F08"/>
    <w:rsid w:val="001C5E46"/>
    <w:rsid w:val="001C6908"/>
    <w:rsid w:val="001C7A6A"/>
    <w:rsid w:val="001C7BAE"/>
    <w:rsid w:val="001C7C63"/>
    <w:rsid w:val="001C7CEB"/>
    <w:rsid w:val="001D0513"/>
    <w:rsid w:val="001D1186"/>
    <w:rsid w:val="001D1772"/>
    <w:rsid w:val="001D4F94"/>
    <w:rsid w:val="001D5015"/>
    <w:rsid w:val="001D63E5"/>
    <w:rsid w:val="001D6A1A"/>
    <w:rsid w:val="001D6DD6"/>
    <w:rsid w:val="001D77EE"/>
    <w:rsid w:val="001D7C67"/>
    <w:rsid w:val="001D7ED0"/>
    <w:rsid w:val="001E0810"/>
    <w:rsid w:val="001E1615"/>
    <w:rsid w:val="001E1DB0"/>
    <w:rsid w:val="001E245D"/>
    <w:rsid w:val="001E2A45"/>
    <w:rsid w:val="001E348B"/>
    <w:rsid w:val="001E3835"/>
    <w:rsid w:val="001E4083"/>
    <w:rsid w:val="001E40DD"/>
    <w:rsid w:val="001E4A7F"/>
    <w:rsid w:val="001E50F7"/>
    <w:rsid w:val="001E661B"/>
    <w:rsid w:val="001E6645"/>
    <w:rsid w:val="001E7DD1"/>
    <w:rsid w:val="001E7DEA"/>
    <w:rsid w:val="001F18AC"/>
    <w:rsid w:val="001F19BD"/>
    <w:rsid w:val="001F36F6"/>
    <w:rsid w:val="001F3F9B"/>
    <w:rsid w:val="001F4E6E"/>
    <w:rsid w:val="001F577B"/>
    <w:rsid w:val="001F76D4"/>
    <w:rsid w:val="00200529"/>
    <w:rsid w:val="00200814"/>
    <w:rsid w:val="00200863"/>
    <w:rsid w:val="002016A2"/>
    <w:rsid w:val="002017BF"/>
    <w:rsid w:val="00202ABA"/>
    <w:rsid w:val="00204443"/>
    <w:rsid w:val="00205EC4"/>
    <w:rsid w:val="00206086"/>
    <w:rsid w:val="00206488"/>
    <w:rsid w:val="00206E29"/>
    <w:rsid w:val="00206EF3"/>
    <w:rsid w:val="00206F0E"/>
    <w:rsid w:val="0020727E"/>
    <w:rsid w:val="00210167"/>
    <w:rsid w:val="002102D7"/>
    <w:rsid w:val="00210D2B"/>
    <w:rsid w:val="00211131"/>
    <w:rsid w:val="00212758"/>
    <w:rsid w:val="00212B86"/>
    <w:rsid w:val="002137BE"/>
    <w:rsid w:val="00213831"/>
    <w:rsid w:val="00213C38"/>
    <w:rsid w:val="00213D49"/>
    <w:rsid w:val="00214235"/>
    <w:rsid w:val="00215DC1"/>
    <w:rsid w:val="00216782"/>
    <w:rsid w:val="00216A22"/>
    <w:rsid w:val="00216CCC"/>
    <w:rsid w:val="0021773D"/>
    <w:rsid w:val="00217749"/>
    <w:rsid w:val="00217C6D"/>
    <w:rsid w:val="0022006B"/>
    <w:rsid w:val="0022009F"/>
    <w:rsid w:val="002204F0"/>
    <w:rsid w:val="00220776"/>
    <w:rsid w:val="00220792"/>
    <w:rsid w:val="00221457"/>
    <w:rsid w:val="00221F4B"/>
    <w:rsid w:val="00222A1D"/>
    <w:rsid w:val="002233EE"/>
    <w:rsid w:val="00224DC6"/>
    <w:rsid w:val="002250A1"/>
    <w:rsid w:val="002251D5"/>
    <w:rsid w:val="00225A8A"/>
    <w:rsid w:val="00226085"/>
    <w:rsid w:val="002268DC"/>
    <w:rsid w:val="002308F7"/>
    <w:rsid w:val="00230FC8"/>
    <w:rsid w:val="002316AB"/>
    <w:rsid w:val="00231982"/>
    <w:rsid w:val="002324AD"/>
    <w:rsid w:val="002325B9"/>
    <w:rsid w:val="0023348F"/>
    <w:rsid w:val="00233558"/>
    <w:rsid w:val="00234473"/>
    <w:rsid w:val="00234782"/>
    <w:rsid w:val="002352F0"/>
    <w:rsid w:val="002357BD"/>
    <w:rsid w:val="002357C5"/>
    <w:rsid w:val="00235D55"/>
    <w:rsid w:val="00236114"/>
    <w:rsid w:val="0023717E"/>
    <w:rsid w:val="00237983"/>
    <w:rsid w:val="00240369"/>
    <w:rsid w:val="00240CBA"/>
    <w:rsid w:val="00241364"/>
    <w:rsid w:val="00241680"/>
    <w:rsid w:val="00243176"/>
    <w:rsid w:val="00244C7E"/>
    <w:rsid w:val="002450D2"/>
    <w:rsid w:val="0024530F"/>
    <w:rsid w:val="00245867"/>
    <w:rsid w:val="00245A0C"/>
    <w:rsid w:val="00245AE1"/>
    <w:rsid w:val="00245CAE"/>
    <w:rsid w:val="00246F04"/>
    <w:rsid w:val="0024758A"/>
    <w:rsid w:val="00247592"/>
    <w:rsid w:val="00247891"/>
    <w:rsid w:val="0025006D"/>
    <w:rsid w:val="002505B2"/>
    <w:rsid w:val="00250DA9"/>
    <w:rsid w:val="00250F96"/>
    <w:rsid w:val="00251C19"/>
    <w:rsid w:val="0025291E"/>
    <w:rsid w:val="00253DBC"/>
    <w:rsid w:val="002544C8"/>
    <w:rsid w:val="00254962"/>
    <w:rsid w:val="00254AB3"/>
    <w:rsid w:val="00254E3F"/>
    <w:rsid w:val="00254FA8"/>
    <w:rsid w:val="0025561E"/>
    <w:rsid w:val="00255E7C"/>
    <w:rsid w:val="00256093"/>
    <w:rsid w:val="002571DB"/>
    <w:rsid w:val="002573AB"/>
    <w:rsid w:val="002578CE"/>
    <w:rsid w:val="00257E10"/>
    <w:rsid w:val="002600B2"/>
    <w:rsid w:val="0026010F"/>
    <w:rsid w:val="00260865"/>
    <w:rsid w:val="00260BE3"/>
    <w:rsid w:val="002619A5"/>
    <w:rsid w:val="00262201"/>
    <w:rsid w:val="00262534"/>
    <w:rsid w:val="00262699"/>
    <w:rsid w:val="00262909"/>
    <w:rsid w:val="00264020"/>
    <w:rsid w:val="00264ED3"/>
    <w:rsid w:val="00265802"/>
    <w:rsid w:val="00266232"/>
    <w:rsid w:val="00266B31"/>
    <w:rsid w:val="00267011"/>
    <w:rsid w:val="002670C1"/>
    <w:rsid w:val="002700CE"/>
    <w:rsid w:val="002721CD"/>
    <w:rsid w:val="002722FF"/>
    <w:rsid w:val="0027244C"/>
    <w:rsid w:val="0027278C"/>
    <w:rsid w:val="002746B0"/>
    <w:rsid w:val="00275C8C"/>
    <w:rsid w:val="00275F1F"/>
    <w:rsid w:val="002764C7"/>
    <w:rsid w:val="00276C70"/>
    <w:rsid w:val="0027771E"/>
    <w:rsid w:val="002801DA"/>
    <w:rsid w:val="00280790"/>
    <w:rsid w:val="002816DD"/>
    <w:rsid w:val="002823A9"/>
    <w:rsid w:val="00282CA1"/>
    <w:rsid w:val="00282ED5"/>
    <w:rsid w:val="00283703"/>
    <w:rsid w:val="002837D4"/>
    <w:rsid w:val="00283ADC"/>
    <w:rsid w:val="00287439"/>
    <w:rsid w:val="002877F5"/>
    <w:rsid w:val="00287D4C"/>
    <w:rsid w:val="00287D60"/>
    <w:rsid w:val="002907B7"/>
    <w:rsid w:val="00291CFC"/>
    <w:rsid w:val="00291D43"/>
    <w:rsid w:val="00292437"/>
    <w:rsid w:val="00292BE7"/>
    <w:rsid w:val="0029320F"/>
    <w:rsid w:val="00293C4F"/>
    <w:rsid w:val="00294173"/>
    <w:rsid w:val="00295001"/>
    <w:rsid w:val="0029644D"/>
    <w:rsid w:val="00296E6B"/>
    <w:rsid w:val="002971AE"/>
    <w:rsid w:val="00297787"/>
    <w:rsid w:val="0029783A"/>
    <w:rsid w:val="002A063F"/>
    <w:rsid w:val="002A0FB4"/>
    <w:rsid w:val="002A2FA8"/>
    <w:rsid w:val="002A322A"/>
    <w:rsid w:val="002A3702"/>
    <w:rsid w:val="002A4908"/>
    <w:rsid w:val="002A5380"/>
    <w:rsid w:val="002A6462"/>
    <w:rsid w:val="002B2616"/>
    <w:rsid w:val="002B2B96"/>
    <w:rsid w:val="002B2BAF"/>
    <w:rsid w:val="002B2FE8"/>
    <w:rsid w:val="002B34ED"/>
    <w:rsid w:val="002B38A6"/>
    <w:rsid w:val="002B3B21"/>
    <w:rsid w:val="002B4E64"/>
    <w:rsid w:val="002B532E"/>
    <w:rsid w:val="002B5648"/>
    <w:rsid w:val="002B6001"/>
    <w:rsid w:val="002B6518"/>
    <w:rsid w:val="002B66BA"/>
    <w:rsid w:val="002B773A"/>
    <w:rsid w:val="002C05F2"/>
    <w:rsid w:val="002C094C"/>
    <w:rsid w:val="002C2463"/>
    <w:rsid w:val="002C2482"/>
    <w:rsid w:val="002C271B"/>
    <w:rsid w:val="002C2928"/>
    <w:rsid w:val="002C2B26"/>
    <w:rsid w:val="002C3D40"/>
    <w:rsid w:val="002C4D21"/>
    <w:rsid w:val="002C5905"/>
    <w:rsid w:val="002C63D5"/>
    <w:rsid w:val="002C6434"/>
    <w:rsid w:val="002C68CE"/>
    <w:rsid w:val="002C6A79"/>
    <w:rsid w:val="002C719B"/>
    <w:rsid w:val="002C7527"/>
    <w:rsid w:val="002D0ECA"/>
    <w:rsid w:val="002D199E"/>
    <w:rsid w:val="002D2023"/>
    <w:rsid w:val="002D3293"/>
    <w:rsid w:val="002D357C"/>
    <w:rsid w:val="002D36DF"/>
    <w:rsid w:val="002D3FFB"/>
    <w:rsid w:val="002D4663"/>
    <w:rsid w:val="002D4777"/>
    <w:rsid w:val="002D47B9"/>
    <w:rsid w:val="002D4C3B"/>
    <w:rsid w:val="002D4ED9"/>
    <w:rsid w:val="002D6A7B"/>
    <w:rsid w:val="002D6AF9"/>
    <w:rsid w:val="002D6EEF"/>
    <w:rsid w:val="002D75A1"/>
    <w:rsid w:val="002D7B2C"/>
    <w:rsid w:val="002D7F5F"/>
    <w:rsid w:val="002E2B76"/>
    <w:rsid w:val="002E3B90"/>
    <w:rsid w:val="002E43F3"/>
    <w:rsid w:val="002E4BD4"/>
    <w:rsid w:val="002E6235"/>
    <w:rsid w:val="002E73DF"/>
    <w:rsid w:val="002F0CF3"/>
    <w:rsid w:val="002F10A3"/>
    <w:rsid w:val="002F115F"/>
    <w:rsid w:val="002F1379"/>
    <w:rsid w:val="002F17CD"/>
    <w:rsid w:val="002F18F9"/>
    <w:rsid w:val="002F1D06"/>
    <w:rsid w:val="002F265F"/>
    <w:rsid w:val="002F3189"/>
    <w:rsid w:val="002F40C1"/>
    <w:rsid w:val="002F71F9"/>
    <w:rsid w:val="002F7C14"/>
    <w:rsid w:val="003005C2"/>
    <w:rsid w:val="00300BBF"/>
    <w:rsid w:val="003014E4"/>
    <w:rsid w:val="003038C0"/>
    <w:rsid w:val="00303C60"/>
    <w:rsid w:val="00304187"/>
    <w:rsid w:val="00305CCA"/>
    <w:rsid w:val="00306AEE"/>
    <w:rsid w:val="00306B80"/>
    <w:rsid w:val="00310B94"/>
    <w:rsid w:val="00311BAA"/>
    <w:rsid w:val="00312563"/>
    <w:rsid w:val="00312C64"/>
    <w:rsid w:val="00313849"/>
    <w:rsid w:val="00313F34"/>
    <w:rsid w:val="0031469C"/>
    <w:rsid w:val="00316E49"/>
    <w:rsid w:val="00316E9C"/>
    <w:rsid w:val="00317C70"/>
    <w:rsid w:val="0032140D"/>
    <w:rsid w:val="0032154F"/>
    <w:rsid w:val="00321ED5"/>
    <w:rsid w:val="003221FB"/>
    <w:rsid w:val="003223A3"/>
    <w:rsid w:val="003224F4"/>
    <w:rsid w:val="003233BF"/>
    <w:rsid w:val="003233E4"/>
    <w:rsid w:val="0032366C"/>
    <w:rsid w:val="00324763"/>
    <w:rsid w:val="00324D6B"/>
    <w:rsid w:val="00326107"/>
    <w:rsid w:val="0032670A"/>
    <w:rsid w:val="00326A13"/>
    <w:rsid w:val="00326A98"/>
    <w:rsid w:val="00326ECA"/>
    <w:rsid w:val="00326F5F"/>
    <w:rsid w:val="0032739F"/>
    <w:rsid w:val="003306B0"/>
    <w:rsid w:val="00330B4F"/>
    <w:rsid w:val="00330DBB"/>
    <w:rsid w:val="00331A49"/>
    <w:rsid w:val="003322A0"/>
    <w:rsid w:val="00332B1D"/>
    <w:rsid w:val="00333141"/>
    <w:rsid w:val="00334706"/>
    <w:rsid w:val="00334731"/>
    <w:rsid w:val="00334C4E"/>
    <w:rsid w:val="00336D48"/>
    <w:rsid w:val="00337197"/>
    <w:rsid w:val="00337549"/>
    <w:rsid w:val="003378AB"/>
    <w:rsid w:val="00340A7D"/>
    <w:rsid w:val="00340E38"/>
    <w:rsid w:val="00340FA4"/>
    <w:rsid w:val="003415E6"/>
    <w:rsid w:val="00342225"/>
    <w:rsid w:val="00342CB6"/>
    <w:rsid w:val="00342F21"/>
    <w:rsid w:val="003436AC"/>
    <w:rsid w:val="00343F86"/>
    <w:rsid w:val="0034534F"/>
    <w:rsid w:val="0034562E"/>
    <w:rsid w:val="00345D88"/>
    <w:rsid w:val="003478E6"/>
    <w:rsid w:val="00347BC9"/>
    <w:rsid w:val="0035067E"/>
    <w:rsid w:val="00350E15"/>
    <w:rsid w:val="003516F6"/>
    <w:rsid w:val="00351725"/>
    <w:rsid w:val="00352657"/>
    <w:rsid w:val="00352A2A"/>
    <w:rsid w:val="00353F38"/>
    <w:rsid w:val="00354CBB"/>
    <w:rsid w:val="00356142"/>
    <w:rsid w:val="003564E8"/>
    <w:rsid w:val="00356D1E"/>
    <w:rsid w:val="00356E90"/>
    <w:rsid w:val="003573C7"/>
    <w:rsid w:val="003577B9"/>
    <w:rsid w:val="00357832"/>
    <w:rsid w:val="00357FBB"/>
    <w:rsid w:val="0036075C"/>
    <w:rsid w:val="0036089F"/>
    <w:rsid w:val="003608DC"/>
    <w:rsid w:val="00360E6D"/>
    <w:rsid w:val="003613A2"/>
    <w:rsid w:val="00361421"/>
    <w:rsid w:val="00361876"/>
    <w:rsid w:val="00361C96"/>
    <w:rsid w:val="00364FD9"/>
    <w:rsid w:val="003652D4"/>
    <w:rsid w:val="00365972"/>
    <w:rsid w:val="00365ADC"/>
    <w:rsid w:val="00366A6A"/>
    <w:rsid w:val="00367269"/>
    <w:rsid w:val="0037104B"/>
    <w:rsid w:val="00371197"/>
    <w:rsid w:val="00371B3A"/>
    <w:rsid w:val="0037241D"/>
    <w:rsid w:val="003724E6"/>
    <w:rsid w:val="00373F3F"/>
    <w:rsid w:val="003746E4"/>
    <w:rsid w:val="00374D32"/>
    <w:rsid w:val="00375A8E"/>
    <w:rsid w:val="00375DBA"/>
    <w:rsid w:val="00380278"/>
    <w:rsid w:val="00380E3F"/>
    <w:rsid w:val="00381330"/>
    <w:rsid w:val="0038145E"/>
    <w:rsid w:val="003822D2"/>
    <w:rsid w:val="0038253B"/>
    <w:rsid w:val="003828D0"/>
    <w:rsid w:val="003831AC"/>
    <w:rsid w:val="00383AFB"/>
    <w:rsid w:val="00383C41"/>
    <w:rsid w:val="003842C0"/>
    <w:rsid w:val="003844C7"/>
    <w:rsid w:val="00384CBD"/>
    <w:rsid w:val="00384F37"/>
    <w:rsid w:val="00384F54"/>
    <w:rsid w:val="00384F5B"/>
    <w:rsid w:val="00385A56"/>
    <w:rsid w:val="003864AB"/>
    <w:rsid w:val="00390BC9"/>
    <w:rsid w:val="00390EAF"/>
    <w:rsid w:val="00391315"/>
    <w:rsid w:val="003922B6"/>
    <w:rsid w:val="003927C1"/>
    <w:rsid w:val="00392A70"/>
    <w:rsid w:val="00392B1C"/>
    <w:rsid w:val="00392F64"/>
    <w:rsid w:val="00393095"/>
    <w:rsid w:val="00393D64"/>
    <w:rsid w:val="003940C8"/>
    <w:rsid w:val="003941A3"/>
    <w:rsid w:val="003947E2"/>
    <w:rsid w:val="00394A7E"/>
    <w:rsid w:val="00394C48"/>
    <w:rsid w:val="00394D4D"/>
    <w:rsid w:val="00395832"/>
    <w:rsid w:val="00395A27"/>
    <w:rsid w:val="00396318"/>
    <w:rsid w:val="003965DC"/>
    <w:rsid w:val="003972C2"/>
    <w:rsid w:val="003977F0"/>
    <w:rsid w:val="00397866"/>
    <w:rsid w:val="00397FBA"/>
    <w:rsid w:val="00397FE9"/>
    <w:rsid w:val="003A1194"/>
    <w:rsid w:val="003A15B3"/>
    <w:rsid w:val="003A17A0"/>
    <w:rsid w:val="003A1942"/>
    <w:rsid w:val="003A1D87"/>
    <w:rsid w:val="003A1DD9"/>
    <w:rsid w:val="003A21FF"/>
    <w:rsid w:val="003A2236"/>
    <w:rsid w:val="003A24FC"/>
    <w:rsid w:val="003A3FA1"/>
    <w:rsid w:val="003A3FE9"/>
    <w:rsid w:val="003A4748"/>
    <w:rsid w:val="003A50E6"/>
    <w:rsid w:val="003A6A3E"/>
    <w:rsid w:val="003A6D9A"/>
    <w:rsid w:val="003A73AA"/>
    <w:rsid w:val="003A7A7B"/>
    <w:rsid w:val="003B0455"/>
    <w:rsid w:val="003B0E45"/>
    <w:rsid w:val="003B0EA8"/>
    <w:rsid w:val="003B0EF2"/>
    <w:rsid w:val="003B2177"/>
    <w:rsid w:val="003B2193"/>
    <w:rsid w:val="003B22B7"/>
    <w:rsid w:val="003B24C7"/>
    <w:rsid w:val="003B30AC"/>
    <w:rsid w:val="003B4A39"/>
    <w:rsid w:val="003B64E9"/>
    <w:rsid w:val="003B69AB"/>
    <w:rsid w:val="003B74AF"/>
    <w:rsid w:val="003C02CC"/>
    <w:rsid w:val="003C17F0"/>
    <w:rsid w:val="003C2B04"/>
    <w:rsid w:val="003C2C64"/>
    <w:rsid w:val="003C2DFF"/>
    <w:rsid w:val="003C2FC1"/>
    <w:rsid w:val="003C2FF7"/>
    <w:rsid w:val="003C335C"/>
    <w:rsid w:val="003C343D"/>
    <w:rsid w:val="003C38B9"/>
    <w:rsid w:val="003C3D5B"/>
    <w:rsid w:val="003C4A4B"/>
    <w:rsid w:val="003C5314"/>
    <w:rsid w:val="003C5793"/>
    <w:rsid w:val="003C5979"/>
    <w:rsid w:val="003C5F02"/>
    <w:rsid w:val="003C6BAC"/>
    <w:rsid w:val="003D02F0"/>
    <w:rsid w:val="003D0941"/>
    <w:rsid w:val="003D13EF"/>
    <w:rsid w:val="003D2033"/>
    <w:rsid w:val="003D2B48"/>
    <w:rsid w:val="003D3277"/>
    <w:rsid w:val="003D3872"/>
    <w:rsid w:val="003D389C"/>
    <w:rsid w:val="003D47A1"/>
    <w:rsid w:val="003D4937"/>
    <w:rsid w:val="003D62D2"/>
    <w:rsid w:val="003D6353"/>
    <w:rsid w:val="003D7348"/>
    <w:rsid w:val="003D775B"/>
    <w:rsid w:val="003D7A2C"/>
    <w:rsid w:val="003D7C35"/>
    <w:rsid w:val="003E0013"/>
    <w:rsid w:val="003E046B"/>
    <w:rsid w:val="003E12B0"/>
    <w:rsid w:val="003E1719"/>
    <w:rsid w:val="003E1C19"/>
    <w:rsid w:val="003E2EB4"/>
    <w:rsid w:val="003E3EC8"/>
    <w:rsid w:val="003E514E"/>
    <w:rsid w:val="003E5320"/>
    <w:rsid w:val="003E59CA"/>
    <w:rsid w:val="003E7202"/>
    <w:rsid w:val="003F0B86"/>
    <w:rsid w:val="003F0BB4"/>
    <w:rsid w:val="003F0FB1"/>
    <w:rsid w:val="003F1089"/>
    <w:rsid w:val="003F1196"/>
    <w:rsid w:val="003F15D1"/>
    <w:rsid w:val="003F3AE4"/>
    <w:rsid w:val="003F3FBE"/>
    <w:rsid w:val="003F4B9A"/>
    <w:rsid w:val="003F58E5"/>
    <w:rsid w:val="003F599F"/>
    <w:rsid w:val="003F6283"/>
    <w:rsid w:val="003F704C"/>
    <w:rsid w:val="003F7228"/>
    <w:rsid w:val="003F77CE"/>
    <w:rsid w:val="00400044"/>
    <w:rsid w:val="00401133"/>
    <w:rsid w:val="004016F4"/>
    <w:rsid w:val="00402585"/>
    <w:rsid w:val="00403B62"/>
    <w:rsid w:val="004040B6"/>
    <w:rsid w:val="004055C1"/>
    <w:rsid w:val="00405808"/>
    <w:rsid w:val="00406287"/>
    <w:rsid w:val="004063F1"/>
    <w:rsid w:val="0040651B"/>
    <w:rsid w:val="00406F98"/>
    <w:rsid w:val="004075B2"/>
    <w:rsid w:val="004078D2"/>
    <w:rsid w:val="0041039F"/>
    <w:rsid w:val="00412629"/>
    <w:rsid w:val="00413607"/>
    <w:rsid w:val="00414855"/>
    <w:rsid w:val="00414953"/>
    <w:rsid w:val="0041495E"/>
    <w:rsid w:val="00415186"/>
    <w:rsid w:val="00415587"/>
    <w:rsid w:val="00415B4C"/>
    <w:rsid w:val="00416520"/>
    <w:rsid w:val="004208EA"/>
    <w:rsid w:val="0042106B"/>
    <w:rsid w:val="004219E6"/>
    <w:rsid w:val="00421D5B"/>
    <w:rsid w:val="0042243F"/>
    <w:rsid w:val="00424212"/>
    <w:rsid w:val="00424C70"/>
    <w:rsid w:val="00424F91"/>
    <w:rsid w:val="004302D3"/>
    <w:rsid w:val="004303B0"/>
    <w:rsid w:val="00430B03"/>
    <w:rsid w:val="00430F19"/>
    <w:rsid w:val="0043342D"/>
    <w:rsid w:val="00433BE4"/>
    <w:rsid w:val="004345BD"/>
    <w:rsid w:val="00435513"/>
    <w:rsid w:val="00435C02"/>
    <w:rsid w:val="00437ECF"/>
    <w:rsid w:val="00440F39"/>
    <w:rsid w:val="00441EB0"/>
    <w:rsid w:val="00442436"/>
    <w:rsid w:val="00443F7E"/>
    <w:rsid w:val="00443FC7"/>
    <w:rsid w:val="004441E5"/>
    <w:rsid w:val="00444340"/>
    <w:rsid w:val="00445018"/>
    <w:rsid w:val="00445C6A"/>
    <w:rsid w:val="00445DAC"/>
    <w:rsid w:val="00446AA2"/>
    <w:rsid w:val="00446B26"/>
    <w:rsid w:val="00447ECB"/>
    <w:rsid w:val="00450933"/>
    <w:rsid w:val="00450A13"/>
    <w:rsid w:val="00450BDD"/>
    <w:rsid w:val="00450CE3"/>
    <w:rsid w:val="00450F0B"/>
    <w:rsid w:val="00451A13"/>
    <w:rsid w:val="0045382C"/>
    <w:rsid w:val="00454EFF"/>
    <w:rsid w:val="0045592C"/>
    <w:rsid w:val="00455EE7"/>
    <w:rsid w:val="00456C01"/>
    <w:rsid w:val="004571CD"/>
    <w:rsid w:val="00457379"/>
    <w:rsid w:val="0046073E"/>
    <w:rsid w:val="00460D46"/>
    <w:rsid w:val="00460E0B"/>
    <w:rsid w:val="00462515"/>
    <w:rsid w:val="004639CF"/>
    <w:rsid w:val="00463AAB"/>
    <w:rsid w:val="00464E0C"/>
    <w:rsid w:val="00465198"/>
    <w:rsid w:val="00465DD0"/>
    <w:rsid w:val="0046645E"/>
    <w:rsid w:val="00467279"/>
    <w:rsid w:val="004675B0"/>
    <w:rsid w:val="004677E2"/>
    <w:rsid w:val="00470037"/>
    <w:rsid w:val="00470119"/>
    <w:rsid w:val="00470297"/>
    <w:rsid w:val="004708E8"/>
    <w:rsid w:val="00470B5F"/>
    <w:rsid w:val="00471164"/>
    <w:rsid w:val="0047140F"/>
    <w:rsid w:val="00471BD8"/>
    <w:rsid w:val="0047239D"/>
    <w:rsid w:val="00473483"/>
    <w:rsid w:val="00474688"/>
    <w:rsid w:val="00474C9B"/>
    <w:rsid w:val="00475D73"/>
    <w:rsid w:val="004774BF"/>
    <w:rsid w:val="00477D52"/>
    <w:rsid w:val="00477F22"/>
    <w:rsid w:val="00480EA2"/>
    <w:rsid w:val="004811C2"/>
    <w:rsid w:val="004819F5"/>
    <w:rsid w:val="00481C7F"/>
    <w:rsid w:val="00481F41"/>
    <w:rsid w:val="00482181"/>
    <w:rsid w:val="004823D6"/>
    <w:rsid w:val="00482F3C"/>
    <w:rsid w:val="004830FF"/>
    <w:rsid w:val="00484631"/>
    <w:rsid w:val="00484E08"/>
    <w:rsid w:val="00485A2B"/>
    <w:rsid w:val="00485CF2"/>
    <w:rsid w:val="0048694D"/>
    <w:rsid w:val="00486E23"/>
    <w:rsid w:val="004874F7"/>
    <w:rsid w:val="00487D9D"/>
    <w:rsid w:val="0049089A"/>
    <w:rsid w:val="0049168E"/>
    <w:rsid w:val="00491D96"/>
    <w:rsid w:val="004927AC"/>
    <w:rsid w:val="00492872"/>
    <w:rsid w:val="00492FB4"/>
    <w:rsid w:val="004930A1"/>
    <w:rsid w:val="004936DD"/>
    <w:rsid w:val="004938EA"/>
    <w:rsid w:val="0049507C"/>
    <w:rsid w:val="0049548F"/>
    <w:rsid w:val="0049555D"/>
    <w:rsid w:val="004968EA"/>
    <w:rsid w:val="00496C86"/>
    <w:rsid w:val="004A03D1"/>
    <w:rsid w:val="004A0560"/>
    <w:rsid w:val="004A3ACB"/>
    <w:rsid w:val="004A3F25"/>
    <w:rsid w:val="004A6070"/>
    <w:rsid w:val="004A765F"/>
    <w:rsid w:val="004B04EA"/>
    <w:rsid w:val="004B0CE0"/>
    <w:rsid w:val="004B13AA"/>
    <w:rsid w:val="004B1E6F"/>
    <w:rsid w:val="004B2670"/>
    <w:rsid w:val="004B4731"/>
    <w:rsid w:val="004B5B25"/>
    <w:rsid w:val="004B5F75"/>
    <w:rsid w:val="004B6ECB"/>
    <w:rsid w:val="004B70FA"/>
    <w:rsid w:val="004C076A"/>
    <w:rsid w:val="004C0A06"/>
    <w:rsid w:val="004C1552"/>
    <w:rsid w:val="004C164A"/>
    <w:rsid w:val="004C169E"/>
    <w:rsid w:val="004C1860"/>
    <w:rsid w:val="004C1E35"/>
    <w:rsid w:val="004C24F3"/>
    <w:rsid w:val="004C37BD"/>
    <w:rsid w:val="004C5A78"/>
    <w:rsid w:val="004C6718"/>
    <w:rsid w:val="004C6851"/>
    <w:rsid w:val="004C719F"/>
    <w:rsid w:val="004C7550"/>
    <w:rsid w:val="004D1369"/>
    <w:rsid w:val="004D253C"/>
    <w:rsid w:val="004D2659"/>
    <w:rsid w:val="004D26D6"/>
    <w:rsid w:val="004D3189"/>
    <w:rsid w:val="004D3401"/>
    <w:rsid w:val="004D4DE4"/>
    <w:rsid w:val="004D5742"/>
    <w:rsid w:val="004D5D64"/>
    <w:rsid w:val="004D5EE9"/>
    <w:rsid w:val="004D609A"/>
    <w:rsid w:val="004D6CFA"/>
    <w:rsid w:val="004D7559"/>
    <w:rsid w:val="004D798B"/>
    <w:rsid w:val="004D7FC3"/>
    <w:rsid w:val="004E1549"/>
    <w:rsid w:val="004E295C"/>
    <w:rsid w:val="004E2D98"/>
    <w:rsid w:val="004E33ED"/>
    <w:rsid w:val="004E3C16"/>
    <w:rsid w:val="004E3CE2"/>
    <w:rsid w:val="004E3FD8"/>
    <w:rsid w:val="004E45AF"/>
    <w:rsid w:val="004E4AC1"/>
    <w:rsid w:val="004E501D"/>
    <w:rsid w:val="004E5E7B"/>
    <w:rsid w:val="004E6B75"/>
    <w:rsid w:val="004F098C"/>
    <w:rsid w:val="004F0E66"/>
    <w:rsid w:val="004F2701"/>
    <w:rsid w:val="004F2DC1"/>
    <w:rsid w:val="004F2FB2"/>
    <w:rsid w:val="004F4882"/>
    <w:rsid w:val="004F4C7E"/>
    <w:rsid w:val="004F57C8"/>
    <w:rsid w:val="004F63FD"/>
    <w:rsid w:val="004F6704"/>
    <w:rsid w:val="004F6F21"/>
    <w:rsid w:val="004F7558"/>
    <w:rsid w:val="004F7D83"/>
    <w:rsid w:val="0050069D"/>
    <w:rsid w:val="00501C8B"/>
    <w:rsid w:val="00503B79"/>
    <w:rsid w:val="00503E61"/>
    <w:rsid w:val="00504904"/>
    <w:rsid w:val="00504A43"/>
    <w:rsid w:val="00505FDE"/>
    <w:rsid w:val="00506BC9"/>
    <w:rsid w:val="00507BD8"/>
    <w:rsid w:val="00510B8B"/>
    <w:rsid w:val="0051167D"/>
    <w:rsid w:val="00512363"/>
    <w:rsid w:val="00512502"/>
    <w:rsid w:val="005138A1"/>
    <w:rsid w:val="005152F1"/>
    <w:rsid w:val="0051602A"/>
    <w:rsid w:val="005162FD"/>
    <w:rsid w:val="00516A2C"/>
    <w:rsid w:val="00516D9A"/>
    <w:rsid w:val="0051764A"/>
    <w:rsid w:val="00517702"/>
    <w:rsid w:val="00517B59"/>
    <w:rsid w:val="00517C6F"/>
    <w:rsid w:val="00520289"/>
    <w:rsid w:val="00520F45"/>
    <w:rsid w:val="005227F6"/>
    <w:rsid w:val="00522E4F"/>
    <w:rsid w:val="00523B9C"/>
    <w:rsid w:val="00524053"/>
    <w:rsid w:val="00524207"/>
    <w:rsid w:val="00524F2D"/>
    <w:rsid w:val="0052506D"/>
    <w:rsid w:val="00525157"/>
    <w:rsid w:val="00525493"/>
    <w:rsid w:val="00525BDE"/>
    <w:rsid w:val="00526EB5"/>
    <w:rsid w:val="00527DB0"/>
    <w:rsid w:val="00530F4F"/>
    <w:rsid w:val="00532025"/>
    <w:rsid w:val="00532369"/>
    <w:rsid w:val="00532AC6"/>
    <w:rsid w:val="00533286"/>
    <w:rsid w:val="005333FC"/>
    <w:rsid w:val="0053364B"/>
    <w:rsid w:val="005340BE"/>
    <w:rsid w:val="0053612C"/>
    <w:rsid w:val="005365B4"/>
    <w:rsid w:val="005368D8"/>
    <w:rsid w:val="00536DA5"/>
    <w:rsid w:val="00537635"/>
    <w:rsid w:val="005378A8"/>
    <w:rsid w:val="00540568"/>
    <w:rsid w:val="0054127A"/>
    <w:rsid w:val="005418E7"/>
    <w:rsid w:val="005418F0"/>
    <w:rsid w:val="00541D9F"/>
    <w:rsid w:val="00542858"/>
    <w:rsid w:val="0054319C"/>
    <w:rsid w:val="00543330"/>
    <w:rsid w:val="00543365"/>
    <w:rsid w:val="00543804"/>
    <w:rsid w:val="005443D0"/>
    <w:rsid w:val="005451E0"/>
    <w:rsid w:val="00545BA4"/>
    <w:rsid w:val="00546408"/>
    <w:rsid w:val="00546862"/>
    <w:rsid w:val="00546940"/>
    <w:rsid w:val="00547943"/>
    <w:rsid w:val="0055077A"/>
    <w:rsid w:val="00550D53"/>
    <w:rsid w:val="00550E53"/>
    <w:rsid w:val="00550F3A"/>
    <w:rsid w:val="00552176"/>
    <w:rsid w:val="005523D6"/>
    <w:rsid w:val="00552D0A"/>
    <w:rsid w:val="005534E1"/>
    <w:rsid w:val="0055375C"/>
    <w:rsid w:val="00555C55"/>
    <w:rsid w:val="0055635B"/>
    <w:rsid w:val="00557A55"/>
    <w:rsid w:val="0056139F"/>
    <w:rsid w:val="00561449"/>
    <w:rsid w:val="00561DC0"/>
    <w:rsid w:val="005640F0"/>
    <w:rsid w:val="00565BF3"/>
    <w:rsid w:val="005700EC"/>
    <w:rsid w:val="00570552"/>
    <w:rsid w:val="00570DB9"/>
    <w:rsid w:val="00571848"/>
    <w:rsid w:val="005718DC"/>
    <w:rsid w:val="00572AF4"/>
    <w:rsid w:val="00573323"/>
    <w:rsid w:val="00573AF0"/>
    <w:rsid w:val="00573D04"/>
    <w:rsid w:val="005767F4"/>
    <w:rsid w:val="00576CD1"/>
    <w:rsid w:val="00580F0E"/>
    <w:rsid w:val="00581548"/>
    <w:rsid w:val="005815FD"/>
    <w:rsid w:val="005816A6"/>
    <w:rsid w:val="00581B25"/>
    <w:rsid w:val="00581F70"/>
    <w:rsid w:val="00582072"/>
    <w:rsid w:val="005834CA"/>
    <w:rsid w:val="005835AF"/>
    <w:rsid w:val="00583CFB"/>
    <w:rsid w:val="00584122"/>
    <w:rsid w:val="0058520E"/>
    <w:rsid w:val="00586DE2"/>
    <w:rsid w:val="005911BD"/>
    <w:rsid w:val="00591D31"/>
    <w:rsid w:val="00592DD9"/>
    <w:rsid w:val="0059397B"/>
    <w:rsid w:val="00594353"/>
    <w:rsid w:val="00594DFD"/>
    <w:rsid w:val="005A0335"/>
    <w:rsid w:val="005A0E8A"/>
    <w:rsid w:val="005A126F"/>
    <w:rsid w:val="005A1A3D"/>
    <w:rsid w:val="005A272F"/>
    <w:rsid w:val="005A330C"/>
    <w:rsid w:val="005A3F49"/>
    <w:rsid w:val="005A4194"/>
    <w:rsid w:val="005A435C"/>
    <w:rsid w:val="005A482F"/>
    <w:rsid w:val="005A5722"/>
    <w:rsid w:val="005A6225"/>
    <w:rsid w:val="005A706A"/>
    <w:rsid w:val="005A7236"/>
    <w:rsid w:val="005A75D8"/>
    <w:rsid w:val="005B01BA"/>
    <w:rsid w:val="005B0677"/>
    <w:rsid w:val="005B13F1"/>
    <w:rsid w:val="005B178F"/>
    <w:rsid w:val="005B1A30"/>
    <w:rsid w:val="005B1AD7"/>
    <w:rsid w:val="005B231E"/>
    <w:rsid w:val="005B32DF"/>
    <w:rsid w:val="005B44CD"/>
    <w:rsid w:val="005B49BF"/>
    <w:rsid w:val="005B4F56"/>
    <w:rsid w:val="005B558B"/>
    <w:rsid w:val="005B5E04"/>
    <w:rsid w:val="005C022C"/>
    <w:rsid w:val="005C0932"/>
    <w:rsid w:val="005C0CC7"/>
    <w:rsid w:val="005C1072"/>
    <w:rsid w:val="005C1D98"/>
    <w:rsid w:val="005C1DFF"/>
    <w:rsid w:val="005C2160"/>
    <w:rsid w:val="005C222E"/>
    <w:rsid w:val="005C2B0F"/>
    <w:rsid w:val="005C49C7"/>
    <w:rsid w:val="005C580B"/>
    <w:rsid w:val="005C66EB"/>
    <w:rsid w:val="005C6EA0"/>
    <w:rsid w:val="005C7B56"/>
    <w:rsid w:val="005D093C"/>
    <w:rsid w:val="005D12BD"/>
    <w:rsid w:val="005D1862"/>
    <w:rsid w:val="005D1A77"/>
    <w:rsid w:val="005D2F69"/>
    <w:rsid w:val="005D408C"/>
    <w:rsid w:val="005D4A6C"/>
    <w:rsid w:val="005D4A73"/>
    <w:rsid w:val="005D4E19"/>
    <w:rsid w:val="005D565A"/>
    <w:rsid w:val="005D680C"/>
    <w:rsid w:val="005D6BB0"/>
    <w:rsid w:val="005D7166"/>
    <w:rsid w:val="005E0E3C"/>
    <w:rsid w:val="005E2452"/>
    <w:rsid w:val="005E30D4"/>
    <w:rsid w:val="005E3D65"/>
    <w:rsid w:val="005E4811"/>
    <w:rsid w:val="005E6CA0"/>
    <w:rsid w:val="005E72FF"/>
    <w:rsid w:val="005E7901"/>
    <w:rsid w:val="005F0396"/>
    <w:rsid w:val="005F05F8"/>
    <w:rsid w:val="005F0CE8"/>
    <w:rsid w:val="005F1096"/>
    <w:rsid w:val="005F183D"/>
    <w:rsid w:val="005F21E7"/>
    <w:rsid w:val="005F34E0"/>
    <w:rsid w:val="005F459A"/>
    <w:rsid w:val="005F477D"/>
    <w:rsid w:val="005F47A2"/>
    <w:rsid w:val="005F5308"/>
    <w:rsid w:val="005F5473"/>
    <w:rsid w:val="005F5712"/>
    <w:rsid w:val="005F6096"/>
    <w:rsid w:val="005F6507"/>
    <w:rsid w:val="005F7D99"/>
    <w:rsid w:val="00600F3A"/>
    <w:rsid w:val="0060136D"/>
    <w:rsid w:val="006018EA"/>
    <w:rsid w:val="00601AD4"/>
    <w:rsid w:val="00602007"/>
    <w:rsid w:val="0060218E"/>
    <w:rsid w:val="00602278"/>
    <w:rsid w:val="00602488"/>
    <w:rsid w:val="00602C15"/>
    <w:rsid w:val="00602C1D"/>
    <w:rsid w:val="0060364C"/>
    <w:rsid w:val="00604AA1"/>
    <w:rsid w:val="00604BCD"/>
    <w:rsid w:val="00604F5E"/>
    <w:rsid w:val="00605BB2"/>
    <w:rsid w:val="00605FE6"/>
    <w:rsid w:val="006060D6"/>
    <w:rsid w:val="00607A3A"/>
    <w:rsid w:val="006104A7"/>
    <w:rsid w:val="00611833"/>
    <w:rsid w:val="00611A75"/>
    <w:rsid w:val="00611D6F"/>
    <w:rsid w:val="00611FD5"/>
    <w:rsid w:val="00613231"/>
    <w:rsid w:val="00613AFB"/>
    <w:rsid w:val="00616C93"/>
    <w:rsid w:val="006170F6"/>
    <w:rsid w:val="0061738F"/>
    <w:rsid w:val="00617A18"/>
    <w:rsid w:val="00617F15"/>
    <w:rsid w:val="00620FF4"/>
    <w:rsid w:val="00621B9F"/>
    <w:rsid w:val="00621C93"/>
    <w:rsid w:val="00621EA7"/>
    <w:rsid w:val="0062213F"/>
    <w:rsid w:val="00622547"/>
    <w:rsid w:val="006227B3"/>
    <w:rsid w:val="00624768"/>
    <w:rsid w:val="00624B2E"/>
    <w:rsid w:val="00626501"/>
    <w:rsid w:val="006271FA"/>
    <w:rsid w:val="0062754D"/>
    <w:rsid w:val="006310A1"/>
    <w:rsid w:val="00632E6B"/>
    <w:rsid w:val="00633B37"/>
    <w:rsid w:val="00633F7D"/>
    <w:rsid w:val="00634462"/>
    <w:rsid w:val="00636720"/>
    <w:rsid w:val="006369A2"/>
    <w:rsid w:val="00637312"/>
    <w:rsid w:val="00637684"/>
    <w:rsid w:val="006378B1"/>
    <w:rsid w:val="00640307"/>
    <w:rsid w:val="00640921"/>
    <w:rsid w:val="00640D6A"/>
    <w:rsid w:val="00641413"/>
    <w:rsid w:val="006415DE"/>
    <w:rsid w:val="00642389"/>
    <w:rsid w:val="00645A43"/>
    <w:rsid w:val="00646026"/>
    <w:rsid w:val="0065036F"/>
    <w:rsid w:val="00650A12"/>
    <w:rsid w:val="00651C0A"/>
    <w:rsid w:val="0065246A"/>
    <w:rsid w:val="00653FE6"/>
    <w:rsid w:val="006546AF"/>
    <w:rsid w:val="006550DD"/>
    <w:rsid w:val="006553C3"/>
    <w:rsid w:val="00655EC5"/>
    <w:rsid w:val="006579C5"/>
    <w:rsid w:val="00657DED"/>
    <w:rsid w:val="00660923"/>
    <w:rsid w:val="00660D53"/>
    <w:rsid w:val="00660E49"/>
    <w:rsid w:val="00661233"/>
    <w:rsid w:val="0066126C"/>
    <w:rsid w:val="00661FC6"/>
    <w:rsid w:val="006625FA"/>
    <w:rsid w:val="00662960"/>
    <w:rsid w:val="00662F4C"/>
    <w:rsid w:val="00663814"/>
    <w:rsid w:val="00663E10"/>
    <w:rsid w:val="006646AF"/>
    <w:rsid w:val="00664AEE"/>
    <w:rsid w:val="00665145"/>
    <w:rsid w:val="00665320"/>
    <w:rsid w:val="00665402"/>
    <w:rsid w:val="00665C7C"/>
    <w:rsid w:val="00665D55"/>
    <w:rsid w:val="00666191"/>
    <w:rsid w:val="00666473"/>
    <w:rsid w:val="00667092"/>
    <w:rsid w:val="00667A54"/>
    <w:rsid w:val="00670473"/>
    <w:rsid w:val="00671D9D"/>
    <w:rsid w:val="00672016"/>
    <w:rsid w:val="00672DF7"/>
    <w:rsid w:val="0067307A"/>
    <w:rsid w:val="006730D4"/>
    <w:rsid w:val="006732D0"/>
    <w:rsid w:val="00674850"/>
    <w:rsid w:val="006753CA"/>
    <w:rsid w:val="006761EB"/>
    <w:rsid w:val="00676417"/>
    <w:rsid w:val="00676C26"/>
    <w:rsid w:val="00677390"/>
    <w:rsid w:val="00681404"/>
    <w:rsid w:val="006824FB"/>
    <w:rsid w:val="00683885"/>
    <w:rsid w:val="00684F04"/>
    <w:rsid w:val="00686994"/>
    <w:rsid w:val="00687592"/>
    <w:rsid w:val="00687F27"/>
    <w:rsid w:val="00690138"/>
    <w:rsid w:val="0069028C"/>
    <w:rsid w:val="00690753"/>
    <w:rsid w:val="0069229F"/>
    <w:rsid w:val="00692698"/>
    <w:rsid w:val="00692D5D"/>
    <w:rsid w:val="006939B4"/>
    <w:rsid w:val="006960D6"/>
    <w:rsid w:val="0069625E"/>
    <w:rsid w:val="006966A8"/>
    <w:rsid w:val="00696741"/>
    <w:rsid w:val="006A1001"/>
    <w:rsid w:val="006A167F"/>
    <w:rsid w:val="006A1D8B"/>
    <w:rsid w:val="006A3111"/>
    <w:rsid w:val="006A34E3"/>
    <w:rsid w:val="006A3C35"/>
    <w:rsid w:val="006A4074"/>
    <w:rsid w:val="006A4721"/>
    <w:rsid w:val="006A4EC0"/>
    <w:rsid w:val="006A57BD"/>
    <w:rsid w:val="006A5A97"/>
    <w:rsid w:val="006A61F3"/>
    <w:rsid w:val="006A6BD5"/>
    <w:rsid w:val="006A743C"/>
    <w:rsid w:val="006A7475"/>
    <w:rsid w:val="006A7D50"/>
    <w:rsid w:val="006B0081"/>
    <w:rsid w:val="006B096C"/>
    <w:rsid w:val="006B0B63"/>
    <w:rsid w:val="006B1ADA"/>
    <w:rsid w:val="006B2416"/>
    <w:rsid w:val="006B254A"/>
    <w:rsid w:val="006B2B5A"/>
    <w:rsid w:val="006B2C51"/>
    <w:rsid w:val="006B3259"/>
    <w:rsid w:val="006B3318"/>
    <w:rsid w:val="006B36A3"/>
    <w:rsid w:val="006B39C7"/>
    <w:rsid w:val="006B3D95"/>
    <w:rsid w:val="006B43A6"/>
    <w:rsid w:val="006B4418"/>
    <w:rsid w:val="006B687C"/>
    <w:rsid w:val="006B68C4"/>
    <w:rsid w:val="006B6EA0"/>
    <w:rsid w:val="006B7806"/>
    <w:rsid w:val="006B7A02"/>
    <w:rsid w:val="006C077A"/>
    <w:rsid w:val="006C14B3"/>
    <w:rsid w:val="006C23C7"/>
    <w:rsid w:val="006C28BD"/>
    <w:rsid w:val="006C4FE6"/>
    <w:rsid w:val="006C5C65"/>
    <w:rsid w:val="006C5F15"/>
    <w:rsid w:val="006C61D4"/>
    <w:rsid w:val="006C6BCA"/>
    <w:rsid w:val="006D0536"/>
    <w:rsid w:val="006D1B0E"/>
    <w:rsid w:val="006D2E5A"/>
    <w:rsid w:val="006D3703"/>
    <w:rsid w:val="006D3D32"/>
    <w:rsid w:val="006D49BB"/>
    <w:rsid w:val="006D4BAD"/>
    <w:rsid w:val="006D4D2D"/>
    <w:rsid w:val="006D5F03"/>
    <w:rsid w:val="006D6275"/>
    <w:rsid w:val="006D6281"/>
    <w:rsid w:val="006D6545"/>
    <w:rsid w:val="006D7A0E"/>
    <w:rsid w:val="006D7FFD"/>
    <w:rsid w:val="006E01A6"/>
    <w:rsid w:val="006E0721"/>
    <w:rsid w:val="006E1200"/>
    <w:rsid w:val="006E1244"/>
    <w:rsid w:val="006E183D"/>
    <w:rsid w:val="006E258B"/>
    <w:rsid w:val="006E271F"/>
    <w:rsid w:val="006E29EA"/>
    <w:rsid w:val="006E4607"/>
    <w:rsid w:val="006E6235"/>
    <w:rsid w:val="006E6F65"/>
    <w:rsid w:val="006E6F69"/>
    <w:rsid w:val="006E734E"/>
    <w:rsid w:val="006F0C61"/>
    <w:rsid w:val="006F2475"/>
    <w:rsid w:val="006F2AD4"/>
    <w:rsid w:val="006F2B0B"/>
    <w:rsid w:val="006F2B8A"/>
    <w:rsid w:val="006F2ECC"/>
    <w:rsid w:val="006F47CB"/>
    <w:rsid w:val="006F481C"/>
    <w:rsid w:val="006F48B4"/>
    <w:rsid w:val="006F5006"/>
    <w:rsid w:val="006F6781"/>
    <w:rsid w:val="006F76D8"/>
    <w:rsid w:val="006F7852"/>
    <w:rsid w:val="007002CC"/>
    <w:rsid w:val="00700766"/>
    <w:rsid w:val="0070080F"/>
    <w:rsid w:val="00700FE1"/>
    <w:rsid w:val="00702661"/>
    <w:rsid w:val="00702AAB"/>
    <w:rsid w:val="00702ADB"/>
    <w:rsid w:val="0070389E"/>
    <w:rsid w:val="00703FF5"/>
    <w:rsid w:val="007041E9"/>
    <w:rsid w:val="00704253"/>
    <w:rsid w:val="007042D5"/>
    <w:rsid w:val="00704690"/>
    <w:rsid w:val="00705146"/>
    <w:rsid w:val="00705952"/>
    <w:rsid w:val="00706344"/>
    <w:rsid w:val="007068BC"/>
    <w:rsid w:val="00707187"/>
    <w:rsid w:val="00707AC0"/>
    <w:rsid w:val="00711F56"/>
    <w:rsid w:val="007126A3"/>
    <w:rsid w:val="00712C73"/>
    <w:rsid w:val="00712C93"/>
    <w:rsid w:val="00713490"/>
    <w:rsid w:val="007137AD"/>
    <w:rsid w:val="00716DF1"/>
    <w:rsid w:val="00720ED7"/>
    <w:rsid w:val="00721140"/>
    <w:rsid w:val="00721CD8"/>
    <w:rsid w:val="00723562"/>
    <w:rsid w:val="00723732"/>
    <w:rsid w:val="0072393F"/>
    <w:rsid w:val="00724450"/>
    <w:rsid w:val="00724B6F"/>
    <w:rsid w:val="00725244"/>
    <w:rsid w:val="0072535E"/>
    <w:rsid w:val="0072545C"/>
    <w:rsid w:val="0072551E"/>
    <w:rsid w:val="007261C9"/>
    <w:rsid w:val="00726FFF"/>
    <w:rsid w:val="007274DD"/>
    <w:rsid w:val="007304F7"/>
    <w:rsid w:val="007305EA"/>
    <w:rsid w:val="00731DDD"/>
    <w:rsid w:val="0073209A"/>
    <w:rsid w:val="00733273"/>
    <w:rsid w:val="00733C76"/>
    <w:rsid w:val="0073400E"/>
    <w:rsid w:val="00734534"/>
    <w:rsid w:val="00734A09"/>
    <w:rsid w:val="00734DE7"/>
    <w:rsid w:val="007353DD"/>
    <w:rsid w:val="00736129"/>
    <w:rsid w:val="007364F4"/>
    <w:rsid w:val="00736C69"/>
    <w:rsid w:val="00736DAA"/>
    <w:rsid w:val="0074037D"/>
    <w:rsid w:val="0074054A"/>
    <w:rsid w:val="007409AB"/>
    <w:rsid w:val="00745DBB"/>
    <w:rsid w:val="00745E71"/>
    <w:rsid w:val="00747601"/>
    <w:rsid w:val="0075027B"/>
    <w:rsid w:val="00750C76"/>
    <w:rsid w:val="00751561"/>
    <w:rsid w:val="00751B5C"/>
    <w:rsid w:val="0075295B"/>
    <w:rsid w:val="0075470C"/>
    <w:rsid w:val="00755E71"/>
    <w:rsid w:val="0075729F"/>
    <w:rsid w:val="00763FD0"/>
    <w:rsid w:val="0076490B"/>
    <w:rsid w:val="00764FCB"/>
    <w:rsid w:val="007655D1"/>
    <w:rsid w:val="00765F03"/>
    <w:rsid w:val="007660F6"/>
    <w:rsid w:val="00767062"/>
    <w:rsid w:val="00770C42"/>
    <w:rsid w:val="00771F59"/>
    <w:rsid w:val="00771FB8"/>
    <w:rsid w:val="0077259F"/>
    <w:rsid w:val="00772BAC"/>
    <w:rsid w:val="007731F7"/>
    <w:rsid w:val="00773439"/>
    <w:rsid w:val="007741D9"/>
    <w:rsid w:val="00774B3D"/>
    <w:rsid w:val="00774EF0"/>
    <w:rsid w:val="00774FAC"/>
    <w:rsid w:val="0077527E"/>
    <w:rsid w:val="00775377"/>
    <w:rsid w:val="007756E4"/>
    <w:rsid w:val="00775B81"/>
    <w:rsid w:val="00775F71"/>
    <w:rsid w:val="007763FA"/>
    <w:rsid w:val="00776682"/>
    <w:rsid w:val="00776C8C"/>
    <w:rsid w:val="00780599"/>
    <w:rsid w:val="007807BE"/>
    <w:rsid w:val="00783386"/>
    <w:rsid w:val="0078339A"/>
    <w:rsid w:val="00783884"/>
    <w:rsid w:val="007859D7"/>
    <w:rsid w:val="00785BC8"/>
    <w:rsid w:val="00787219"/>
    <w:rsid w:val="00791702"/>
    <w:rsid w:val="00792252"/>
    <w:rsid w:val="0079384A"/>
    <w:rsid w:val="00793879"/>
    <w:rsid w:val="00793AA5"/>
    <w:rsid w:val="00793EB9"/>
    <w:rsid w:val="00793F1B"/>
    <w:rsid w:val="00793FB8"/>
    <w:rsid w:val="007946FC"/>
    <w:rsid w:val="007947CC"/>
    <w:rsid w:val="00794C43"/>
    <w:rsid w:val="00795FB2"/>
    <w:rsid w:val="007963E2"/>
    <w:rsid w:val="007969A8"/>
    <w:rsid w:val="00796D94"/>
    <w:rsid w:val="00796E7E"/>
    <w:rsid w:val="0079710D"/>
    <w:rsid w:val="007A01D7"/>
    <w:rsid w:val="007A1792"/>
    <w:rsid w:val="007A254C"/>
    <w:rsid w:val="007A2946"/>
    <w:rsid w:val="007A2BA0"/>
    <w:rsid w:val="007A306F"/>
    <w:rsid w:val="007A3BBA"/>
    <w:rsid w:val="007A6EA5"/>
    <w:rsid w:val="007A7D90"/>
    <w:rsid w:val="007A7E61"/>
    <w:rsid w:val="007B0B01"/>
    <w:rsid w:val="007B0F74"/>
    <w:rsid w:val="007B1629"/>
    <w:rsid w:val="007B335A"/>
    <w:rsid w:val="007B60BD"/>
    <w:rsid w:val="007B6198"/>
    <w:rsid w:val="007B6951"/>
    <w:rsid w:val="007B736B"/>
    <w:rsid w:val="007B748E"/>
    <w:rsid w:val="007B795E"/>
    <w:rsid w:val="007B7EAD"/>
    <w:rsid w:val="007C026F"/>
    <w:rsid w:val="007C0629"/>
    <w:rsid w:val="007C0788"/>
    <w:rsid w:val="007C0E2F"/>
    <w:rsid w:val="007C17DF"/>
    <w:rsid w:val="007C22E7"/>
    <w:rsid w:val="007C29ED"/>
    <w:rsid w:val="007C2FEF"/>
    <w:rsid w:val="007C5AB5"/>
    <w:rsid w:val="007C5D4D"/>
    <w:rsid w:val="007C644A"/>
    <w:rsid w:val="007C6521"/>
    <w:rsid w:val="007C7943"/>
    <w:rsid w:val="007D0B0D"/>
    <w:rsid w:val="007D16CA"/>
    <w:rsid w:val="007D2032"/>
    <w:rsid w:val="007D28CD"/>
    <w:rsid w:val="007D2C49"/>
    <w:rsid w:val="007D2D76"/>
    <w:rsid w:val="007D38DA"/>
    <w:rsid w:val="007D5060"/>
    <w:rsid w:val="007D5A39"/>
    <w:rsid w:val="007D6692"/>
    <w:rsid w:val="007D7E7A"/>
    <w:rsid w:val="007E168A"/>
    <w:rsid w:val="007E24B7"/>
    <w:rsid w:val="007E338A"/>
    <w:rsid w:val="007E3726"/>
    <w:rsid w:val="007E51DD"/>
    <w:rsid w:val="007E66A4"/>
    <w:rsid w:val="007E69AA"/>
    <w:rsid w:val="007E71AC"/>
    <w:rsid w:val="007E7B42"/>
    <w:rsid w:val="007F10F3"/>
    <w:rsid w:val="007F116B"/>
    <w:rsid w:val="007F1191"/>
    <w:rsid w:val="007F2321"/>
    <w:rsid w:val="007F2C5C"/>
    <w:rsid w:val="007F4AA1"/>
    <w:rsid w:val="007F73D2"/>
    <w:rsid w:val="007F7AEA"/>
    <w:rsid w:val="00800B56"/>
    <w:rsid w:val="00801CCE"/>
    <w:rsid w:val="00801D28"/>
    <w:rsid w:val="00801D2A"/>
    <w:rsid w:val="00803FEF"/>
    <w:rsid w:val="008048B7"/>
    <w:rsid w:val="00805920"/>
    <w:rsid w:val="00806F0D"/>
    <w:rsid w:val="0080726F"/>
    <w:rsid w:val="00807916"/>
    <w:rsid w:val="00811472"/>
    <w:rsid w:val="0081167E"/>
    <w:rsid w:val="008124F8"/>
    <w:rsid w:val="00812B3F"/>
    <w:rsid w:val="00812DCC"/>
    <w:rsid w:val="00813247"/>
    <w:rsid w:val="00816C66"/>
    <w:rsid w:val="00817A12"/>
    <w:rsid w:val="00817FF4"/>
    <w:rsid w:val="0082070E"/>
    <w:rsid w:val="00820E5F"/>
    <w:rsid w:val="008220E2"/>
    <w:rsid w:val="00822153"/>
    <w:rsid w:val="008222C9"/>
    <w:rsid w:val="00822930"/>
    <w:rsid w:val="008230C1"/>
    <w:rsid w:val="0082317F"/>
    <w:rsid w:val="00824DFA"/>
    <w:rsid w:val="00825544"/>
    <w:rsid w:val="0082566C"/>
    <w:rsid w:val="00825E41"/>
    <w:rsid w:val="008268E0"/>
    <w:rsid w:val="00826C92"/>
    <w:rsid w:val="008310DF"/>
    <w:rsid w:val="008315C1"/>
    <w:rsid w:val="00832C2A"/>
    <w:rsid w:val="00833794"/>
    <w:rsid w:val="008351C0"/>
    <w:rsid w:val="0083687D"/>
    <w:rsid w:val="00836B2F"/>
    <w:rsid w:val="00837668"/>
    <w:rsid w:val="0084012C"/>
    <w:rsid w:val="00841059"/>
    <w:rsid w:val="008412EE"/>
    <w:rsid w:val="00841ECE"/>
    <w:rsid w:val="00842846"/>
    <w:rsid w:val="008429FF"/>
    <w:rsid w:val="00843C83"/>
    <w:rsid w:val="008442E9"/>
    <w:rsid w:val="0084430E"/>
    <w:rsid w:val="008448F8"/>
    <w:rsid w:val="008452EB"/>
    <w:rsid w:val="00845A4A"/>
    <w:rsid w:val="00846887"/>
    <w:rsid w:val="008506F0"/>
    <w:rsid w:val="0085112D"/>
    <w:rsid w:val="00851684"/>
    <w:rsid w:val="00851941"/>
    <w:rsid w:val="00851CEF"/>
    <w:rsid w:val="008524A7"/>
    <w:rsid w:val="00852BF6"/>
    <w:rsid w:val="0085322B"/>
    <w:rsid w:val="00855827"/>
    <w:rsid w:val="00855B93"/>
    <w:rsid w:val="00857739"/>
    <w:rsid w:val="0086050A"/>
    <w:rsid w:val="008614F1"/>
    <w:rsid w:val="008619F6"/>
    <w:rsid w:val="0086280E"/>
    <w:rsid w:val="00862948"/>
    <w:rsid w:val="00862A90"/>
    <w:rsid w:val="00862AD3"/>
    <w:rsid w:val="00863CC5"/>
    <w:rsid w:val="00863E6F"/>
    <w:rsid w:val="0086407E"/>
    <w:rsid w:val="008647A8"/>
    <w:rsid w:val="00864E5D"/>
    <w:rsid w:val="008653F8"/>
    <w:rsid w:val="008654D7"/>
    <w:rsid w:val="00865E9D"/>
    <w:rsid w:val="00866C60"/>
    <w:rsid w:val="00867D17"/>
    <w:rsid w:val="00870009"/>
    <w:rsid w:val="008702F4"/>
    <w:rsid w:val="00873010"/>
    <w:rsid w:val="00873097"/>
    <w:rsid w:val="008736CB"/>
    <w:rsid w:val="008743BB"/>
    <w:rsid w:val="00874CED"/>
    <w:rsid w:val="00875582"/>
    <w:rsid w:val="00875CE8"/>
    <w:rsid w:val="00875FF7"/>
    <w:rsid w:val="00876387"/>
    <w:rsid w:val="0087662D"/>
    <w:rsid w:val="00876D68"/>
    <w:rsid w:val="00876EEE"/>
    <w:rsid w:val="0087744F"/>
    <w:rsid w:val="0087756A"/>
    <w:rsid w:val="008800D5"/>
    <w:rsid w:val="00880BB0"/>
    <w:rsid w:val="00881BD3"/>
    <w:rsid w:val="00881DEC"/>
    <w:rsid w:val="00881FF5"/>
    <w:rsid w:val="00882C7F"/>
    <w:rsid w:val="00883B87"/>
    <w:rsid w:val="0088598B"/>
    <w:rsid w:val="00885DD2"/>
    <w:rsid w:val="00885E7D"/>
    <w:rsid w:val="008873FD"/>
    <w:rsid w:val="00887492"/>
    <w:rsid w:val="008879ED"/>
    <w:rsid w:val="00887B0B"/>
    <w:rsid w:val="00891B95"/>
    <w:rsid w:val="00891EFB"/>
    <w:rsid w:val="00891F00"/>
    <w:rsid w:val="00892AC0"/>
    <w:rsid w:val="00892BEF"/>
    <w:rsid w:val="0089397D"/>
    <w:rsid w:val="008950B0"/>
    <w:rsid w:val="00895837"/>
    <w:rsid w:val="00896CD4"/>
    <w:rsid w:val="00896DD8"/>
    <w:rsid w:val="00897740"/>
    <w:rsid w:val="008A0359"/>
    <w:rsid w:val="008A0D2F"/>
    <w:rsid w:val="008A1F0C"/>
    <w:rsid w:val="008A28DE"/>
    <w:rsid w:val="008A398E"/>
    <w:rsid w:val="008A4330"/>
    <w:rsid w:val="008A4ACD"/>
    <w:rsid w:val="008A6671"/>
    <w:rsid w:val="008A7621"/>
    <w:rsid w:val="008A7811"/>
    <w:rsid w:val="008A78A5"/>
    <w:rsid w:val="008A7BE8"/>
    <w:rsid w:val="008B0295"/>
    <w:rsid w:val="008B050B"/>
    <w:rsid w:val="008B0BAE"/>
    <w:rsid w:val="008B13D4"/>
    <w:rsid w:val="008B1C05"/>
    <w:rsid w:val="008B24ED"/>
    <w:rsid w:val="008B3055"/>
    <w:rsid w:val="008B44DF"/>
    <w:rsid w:val="008B4673"/>
    <w:rsid w:val="008B7C7F"/>
    <w:rsid w:val="008B7FAF"/>
    <w:rsid w:val="008C0DD8"/>
    <w:rsid w:val="008C1329"/>
    <w:rsid w:val="008C142E"/>
    <w:rsid w:val="008C2132"/>
    <w:rsid w:val="008C2FC6"/>
    <w:rsid w:val="008C3022"/>
    <w:rsid w:val="008C34B4"/>
    <w:rsid w:val="008C4114"/>
    <w:rsid w:val="008C4CDA"/>
    <w:rsid w:val="008C4FEE"/>
    <w:rsid w:val="008C4FF0"/>
    <w:rsid w:val="008C54BA"/>
    <w:rsid w:val="008C70EF"/>
    <w:rsid w:val="008C72F4"/>
    <w:rsid w:val="008C76E3"/>
    <w:rsid w:val="008C776E"/>
    <w:rsid w:val="008C7F67"/>
    <w:rsid w:val="008D0A21"/>
    <w:rsid w:val="008D0D75"/>
    <w:rsid w:val="008D0DDB"/>
    <w:rsid w:val="008D1EB6"/>
    <w:rsid w:val="008D20DA"/>
    <w:rsid w:val="008D4948"/>
    <w:rsid w:val="008D69E7"/>
    <w:rsid w:val="008D7A1C"/>
    <w:rsid w:val="008D7BFD"/>
    <w:rsid w:val="008E0A92"/>
    <w:rsid w:val="008E0C48"/>
    <w:rsid w:val="008E134F"/>
    <w:rsid w:val="008E1F97"/>
    <w:rsid w:val="008E2C62"/>
    <w:rsid w:val="008E30BC"/>
    <w:rsid w:val="008E38BE"/>
    <w:rsid w:val="008E3D20"/>
    <w:rsid w:val="008E45AE"/>
    <w:rsid w:val="008E59DE"/>
    <w:rsid w:val="008E677C"/>
    <w:rsid w:val="008F04BB"/>
    <w:rsid w:val="008F0A6C"/>
    <w:rsid w:val="008F0AAF"/>
    <w:rsid w:val="008F1699"/>
    <w:rsid w:val="008F19EF"/>
    <w:rsid w:val="008F27E6"/>
    <w:rsid w:val="008F4611"/>
    <w:rsid w:val="008F5882"/>
    <w:rsid w:val="008F5AF4"/>
    <w:rsid w:val="008F6358"/>
    <w:rsid w:val="008F7625"/>
    <w:rsid w:val="00900094"/>
    <w:rsid w:val="00900488"/>
    <w:rsid w:val="00900CE2"/>
    <w:rsid w:val="009016B8"/>
    <w:rsid w:val="009018CC"/>
    <w:rsid w:val="0090249D"/>
    <w:rsid w:val="00903276"/>
    <w:rsid w:val="0090426E"/>
    <w:rsid w:val="009046EC"/>
    <w:rsid w:val="00905D12"/>
    <w:rsid w:val="00906505"/>
    <w:rsid w:val="0090697B"/>
    <w:rsid w:val="00907B61"/>
    <w:rsid w:val="00907EB1"/>
    <w:rsid w:val="00907F92"/>
    <w:rsid w:val="0091033B"/>
    <w:rsid w:val="0091043B"/>
    <w:rsid w:val="00910772"/>
    <w:rsid w:val="009112E6"/>
    <w:rsid w:val="00912335"/>
    <w:rsid w:val="00912610"/>
    <w:rsid w:val="00913140"/>
    <w:rsid w:val="00913149"/>
    <w:rsid w:val="009138BF"/>
    <w:rsid w:val="00914040"/>
    <w:rsid w:val="00915428"/>
    <w:rsid w:val="00917669"/>
    <w:rsid w:val="00920377"/>
    <w:rsid w:val="00920DAB"/>
    <w:rsid w:val="00920DB7"/>
    <w:rsid w:val="00920F3C"/>
    <w:rsid w:val="009215A9"/>
    <w:rsid w:val="00922995"/>
    <w:rsid w:val="00922B28"/>
    <w:rsid w:val="0092352D"/>
    <w:rsid w:val="0092402D"/>
    <w:rsid w:val="0092535E"/>
    <w:rsid w:val="00925F07"/>
    <w:rsid w:val="00930526"/>
    <w:rsid w:val="00930A1B"/>
    <w:rsid w:val="00931037"/>
    <w:rsid w:val="00931536"/>
    <w:rsid w:val="00931D38"/>
    <w:rsid w:val="00932605"/>
    <w:rsid w:val="0093294B"/>
    <w:rsid w:val="00932F3E"/>
    <w:rsid w:val="00933372"/>
    <w:rsid w:val="00933C9A"/>
    <w:rsid w:val="0093478D"/>
    <w:rsid w:val="009349DE"/>
    <w:rsid w:val="00935B02"/>
    <w:rsid w:val="0093632A"/>
    <w:rsid w:val="009364EA"/>
    <w:rsid w:val="00936DA2"/>
    <w:rsid w:val="00937ECC"/>
    <w:rsid w:val="0094024F"/>
    <w:rsid w:val="00940555"/>
    <w:rsid w:val="00941228"/>
    <w:rsid w:val="00941E13"/>
    <w:rsid w:val="0094239E"/>
    <w:rsid w:val="0094257C"/>
    <w:rsid w:val="00942B77"/>
    <w:rsid w:val="00942D5E"/>
    <w:rsid w:val="0094459B"/>
    <w:rsid w:val="00944DB6"/>
    <w:rsid w:val="0094664D"/>
    <w:rsid w:val="00946759"/>
    <w:rsid w:val="00947316"/>
    <w:rsid w:val="00951855"/>
    <w:rsid w:val="0095276E"/>
    <w:rsid w:val="009553FE"/>
    <w:rsid w:val="00956772"/>
    <w:rsid w:val="00957931"/>
    <w:rsid w:val="00960EB2"/>
    <w:rsid w:val="0096139A"/>
    <w:rsid w:val="009615AA"/>
    <w:rsid w:val="009634AA"/>
    <w:rsid w:val="0096420D"/>
    <w:rsid w:val="0096466F"/>
    <w:rsid w:val="00964B8E"/>
    <w:rsid w:val="00965055"/>
    <w:rsid w:val="009652E3"/>
    <w:rsid w:val="00965628"/>
    <w:rsid w:val="00966FA7"/>
    <w:rsid w:val="00967217"/>
    <w:rsid w:val="009672A2"/>
    <w:rsid w:val="009704EC"/>
    <w:rsid w:val="00970BF5"/>
    <w:rsid w:val="00970DEA"/>
    <w:rsid w:val="00971DDA"/>
    <w:rsid w:val="0097214D"/>
    <w:rsid w:val="00972F01"/>
    <w:rsid w:val="00973594"/>
    <w:rsid w:val="00975215"/>
    <w:rsid w:val="0097532D"/>
    <w:rsid w:val="009754E2"/>
    <w:rsid w:val="00976AC3"/>
    <w:rsid w:val="0097756C"/>
    <w:rsid w:val="00977693"/>
    <w:rsid w:val="00977DD5"/>
    <w:rsid w:val="0098000B"/>
    <w:rsid w:val="0098038E"/>
    <w:rsid w:val="009807CB"/>
    <w:rsid w:val="00980FCB"/>
    <w:rsid w:val="00981942"/>
    <w:rsid w:val="00982277"/>
    <w:rsid w:val="00984A44"/>
    <w:rsid w:val="00985655"/>
    <w:rsid w:val="00985821"/>
    <w:rsid w:val="00985CEB"/>
    <w:rsid w:val="00986C61"/>
    <w:rsid w:val="0098707B"/>
    <w:rsid w:val="009874C9"/>
    <w:rsid w:val="0099012F"/>
    <w:rsid w:val="0099138D"/>
    <w:rsid w:val="009917E8"/>
    <w:rsid w:val="00991A90"/>
    <w:rsid w:val="009924F3"/>
    <w:rsid w:val="0099318C"/>
    <w:rsid w:val="00993995"/>
    <w:rsid w:val="00994269"/>
    <w:rsid w:val="009944B3"/>
    <w:rsid w:val="00994D9F"/>
    <w:rsid w:val="009955A7"/>
    <w:rsid w:val="00995C28"/>
    <w:rsid w:val="00995D39"/>
    <w:rsid w:val="00996CE5"/>
    <w:rsid w:val="009979FA"/>
    <w:rsid w:val="009A01A7"/>
    <w:rsid w:val="009A0699"/>
    <w:rsid w:val="009A19B8"/>
    <w:rsid w:val="009A20AE"/>
    <w:rsid w:val="009A27D5"/>
    <w:rsid w:val="009A32E8"/>
    <w:rsid w:val="009A336E"/>
    <w:rsid w:val="009A36A1"/>
    <w:rsid w:val="009A411C"/>
    <w:rsid w:val="009A43A4"/>
    <w:rsid w:val="009A46EE"/>
    <w:rsid w:val="009A4B3C"/>
    <w:rsid w:val="009A4CC6"/>
    <w:rsid w:val="009A75A2"/>
    <w:rsid w:val="009A785F"/>
    <w:rsid w:val="009B02B2"/>
    <w:rsid w:val="009B0812"/>
    <w:rsid w:val="009B0931"/>
    <w:rsid w:val="009B1EE6"/>
    <w:rsid w:val="009B2982"/>
    <w:rsid w:val="009B2D5C"/>
    <w:rsid w:val="009B3C6B"/>
    <w:rsid w:val="009B5433"/>
    <w:rsid w:val="009B574E"/>
    <w:rsid w:val="009B5A60"/>
    <w:rsid w:val="009B6015"/>
    <w:rsid w:val="009B65A0"/>
    <w:rsid w:val="009B69A7"/>
    <w:rsid w:val="009B6A4A"/>
    <w:rsid w:val="009B75FB"/>
    <w:rsid w:val="009C140B"/>
    <w:rsid w:val="009C1F47"/>
    <w:rsid w:val="009C28C0"/>
    <w:rsid w:val="009C2D0E"/>
    <w:rsid w:val="009C2DF1"/>
    <w:rsid w:val="009C3841"/>
    <w:rsid w:val="009C3987"/>
    <w:rsid w:val="009C3FBB"/>
    <w:rsid w:val="009C605D"/>
    <w:rsid w:val="009C60C6"/>
    <w:rsid w:val="009C634A"/>
    <w:rsid w:val="009C6B09"/>
    <w:rsid w:val="009C7452"/>
    <w:rsid w:val="009D03B4"/>
    <w:rsid w:val="009D1220"/>
    <w:rsid w:val="009D12B4"/>
    <w:rsid w:val="009D1FFA"/>
    <w:rsid w:val="009D251E"/>
    <w:rsid w:val="009D2570"/>
    <w:rsid w:val="009D320A"/>
    <w:rsid w:val="009D3925"/>
    <w:rsid w:val="009D4798"/>
    <w:rsid w:val="009D48C6"/>
    <w:rsid w:val="009D49D0"/>
    <w:rsid w:val="009D600E"/>
    <w:rsid w:val="009D750D"/>
    <w:rsid w:val="009D75A3"/>
    <w:rsid w:val="009E1437"/>
    <w:rsid w:val="009E1CE1"/>
    <w:rsid w:val="009E1D7B"/>
    <w:rsid w:val="009E2790"/>
    <w:rsid w:val="009E2E42"/>
    <w:rsid w:val="009E370D"/>
    <w:rsid w:val="009E3F08"/>
    <w:rsid w:val="009E4311"/>
    <w:rsid w:val="009E5920"/>
    <w:rsid w:val="009F0D09"/>
    <w:rsid w:val="009F16C3"/>
    <w:rsid w:val="009F31AF"/>
    <w:rsid w:val="009F3D0B"/>
    <w:rsid w:val="009F4FFE"/>
    <w:rsid w:val="009F5A2B"/>
    <w:rsid w:val="009F66A7"/>
    <w:rsid w:val="009F69A9"/>
    <w:rsid w:val="009F6AE1"/>
    <w:rsid w:val="009F71BE"/>
    <w:rsid w:val="009F7308"/>
    <w:rsid w:val="009F7903"/>
    <w:rsid w:val="009F7A37"/>
    <w:rsid w:val="00A003B4"/>
    <w:rsid w:val="00A008DC"/>
    <w:rsid w:val="00A00DE9"/>
    <w:rsid w:val="00A01D82"/>
    <w:rsid w:val="00A01E2A"/>
    <w:rsid w:val="00A01F5B"/>
    <w:rsid w:val="00A026BC"/>
    <w:rsid w:val="00A03319"/>
    <w:rsid w:val="00A037AB"/>
    <w:rsid w:val="00A03A68"/>
    <w:rsid w:val="00A04A84"/>
    <w:rsid w:val="00A05915"/>
    <w:rsid w:val="00A0598A"/>
    <w:rsid w:val="00A06BBB"/>
    <w:rsid w:val="00A06D22"/>
    <w:rsid w:val="00A071C5"/>
    <w:rsid w:val="00A07439"/>
    <w:rsid w:val="00A07FA0"/>
    <w:rsid w:val="00A102D9"/>
    <w:rsid w:val="00A10325"/>
    <w:rsid w:val="00A10CC3"/>
    <w:rsid w:val="00A10DC8"/>
    <w:rsid w:val="00A110F4"/>
    <w:rsid w:val="00A114EF"/>
    <w:rsid w:val="00A1282C"/>
    <w:rsid w:val="00A13508"/>
    <w:rsid w:val="00A14251"/>
    <w:rsid w:val="00A157D9"/>
    <w:rsid w:val="00A158AE"/>
    <w:rsid w:val="00A16DD0"/>
    <w:rsid w:val="00A17974"/>
    <w:rsid w:val="00A2029B"/>
    <w:rsid w:val="00A21582"/>
    <w:rsid w:val="00A216D7"/>
    <w:rsid w:val="00A21CE5"/>
    <w:rsid w:val="00A21E26"/>
    <w:rsid w:val="00A22104"/>
    <w:rsid w:val="00A22716"/>
    <w:rsid w:val="00A23C93"/>
    <w:rsid w:val="00A2465C"/>
    <w:rsid w:val="00A24B47"/>
    <w:rsid w:val="00A25221"/>
    <w:rsid w:val="00A25C86"/>
    <w:rsid w:val="00A26B8B"/>
    <w:rsid w:val="00A2791C"/>
    <w:rsid w:val="00A3024F"/>
    <w:rsid w:val="00A30D05"/>
    <w:rsid w:val="00A31988"/>
    <w:rsid w:val="00A31BC2"/>
    <w:rsid w:val="00A32450"/>
    <w:rsid w:val="00A339CC"/>
    <w:rsid w:val="00A34889"/>
    <w:rsid w:val="00A3488D"/>
    <w:rsid w:val="00A34B1C"/>
    <w:rsid w:val="00A34E6A"/>
    <w:rsid w:val="00A366D4"/>
    <w:rsid w:val="00A36703"/>
    <w:rsid w:val="00A36A9C"/>
    <w:rsid w:val="00A40179"/>
    <w:rsid w:val="00A418BF"/>
    <w:rsid w:val="00A42E4D"/>
    <w:rsid w:val="00A43382"/>
    <w:rsid w:val="00A434C0"/>
    <w:rsid w:val="00A47545"/>
    <w:rsid w:val="00A50EEC"/>
    <w:rsid w:val="00A5174F"/>
    <w:rsid w:val="00A52896"/>
    <w:rsid w:val="00A52F72"/>
    <w:rsid w:val="00A55C95"/>
    <w:rsid w:val="00A5621C"/>
    <w:rsid w:val="00A57676"/>
    <w:rsid w:val="00A607AE"/>
    <w:rsid w:val="00A61238"/>
    <w:rsid w:val="00A6237E"/>
    <w:rsid w:val="00A62394"/>
    <w:rsid w:val="00A62F2E"/>
    <w:rsid w:val="00A63AD8"/>
    <w:rsid w:val="00A63B4C"/>
    <w:rsid w:val="00A63CEC"/>
    <w:rsid w:val="00A64B47"/>
    <w:rsid w:val="00A65271"/>
    <w:rsid w:val="00A657DB"/>
    <w:rsid w:val="00A6685D"/>
    <w:rsid w:val="00A67544"/>
    <w:rsid w:val="00A704C3"/>
    <w:rsid w:val="00A70ED6"/>
    <w:rsid w:val="00A71A45"/>
    <w:rsid w:val="00A71AB6"/>
    <w:rsid w:val="00A744FB"/>
    <w:rsid w:val="00A74A03"/>
    <w:rsid w:val="00A757F0"/>
    <w:rsid w:val="00A75BAD"/>
    <w:rsid w:val="00A7683A"/>
    <w:rsid w:val="00A77084"/>
    <w:rsid w:val="00A80AA5"/>
    <w:rsid w:val="00A80D02"/>
    <w:rsid w:val="00A82008"/>
    <w:rsid w:val="00A82570"/>
    <w:rsid w:val="00A826B6"/>
    <w:rsid w:val="00A82BA8"/>
    <w:rsid w:val="00A82E1A"/>
    <w:rsid w:val="00A82FD2"/>
    <w:rsid w:val="00A83412"/>
    <w:rsid w:val="00A83EC7"/>
    <w:rsid w:val="00A84401"/>
    <w:rsid w:val="00A847D7"/>
    <w:rsid w:val="00A848F8"/>
    <w:rsid w:val="00A852D5"/>
    <w:rsid w:val="00A863DD"/>
    <w:rsid w:val="00A90759"/>
    <w:rsid w:val="00A91841"/>
    <w:rsid w:val="00A923C8"/>
    <w:rsid w:val="00A924AC"/>
    <w:rsid w:val="00A92A55"/>
    <w:rsid w:val="00A92EE2"/>
    <w:rsid w:val="00A9307A"/>
    <w:rsid w:val="00A9391A"/>
    <w:rsid w:val="00A93BB7"/>
    <w:rsid w:val="00A93E54"/>
    <w:rsid w:val="00A9441E"/>
    <w:rsid w:val="00A94F20"/>
    <w:rsid w:val="00A951B6"/>
    <w:rsid w:val="00A95F45"/>
    <w:rsid w:val="00A96205"/>
    <w:rsid w:val="00A96534"/>
    <w:rsid w:val="00A97B2C"/>
    <w:rsid w:val="00AA05A5"/>
    <w:rsid w:val="00AA0F27"/>
    <w:rsid w:val="00AA2E0D"/>
    <w:rsid w:val="00AA3118"/>
    <w:rsid w:val="00AA337F"/>
    <w:rsid w:val="00AA4041"/>
    <w:rsid w:val="00AA4BDE"/>
    <w:rsid w:val="00AA4D35"/>
    <w:rsid w:val="00AA57DB"/>
    <w:rsid w:val="00AA6249"/>
    <w:rsid w:val="00AA73EF"/>
    <w:rsid w:val="00AA7429"/>
    <w:rsid w:val="00AB07DA"/>
    <w:rsid w:val="00AB0B8D"/>
    <w:rsid w:val="00AB0BB2"/>
    <w:rsid w:val="00AB18B9"/>
    <w:rsid w:val="00AB1B65"/>
    <w:rsid w:val="00AB201D"/>
    <w:rsid w:val="00AB2A86"/>
    <w:rsid w:val="00AB38BD"/>
    <w:rsid w:val="00AB402E"/>
    <w:rsid w:val="00AB43D8"/>
    <w:rsid w:val="00AB483A"/>
    <w:rsid w:val="00AB4B7B"/>
    <w:rsid w:val="00AB4E33"/>
    <w:rsid w:val="00AB5291"/>
    <w:rsid w:val="00AB6024"/>
    <w:rsid w:val="00AB6C20"/>
    <w:rsid w:val="00AB729D"/>
    <w:rsid w:val="00AB78DB"/>
    <w:rsid w:val="00AB7FFA"/>
    <w:rsid w:val="00AC003E"/>
    <w:rsid w:val="00AC0074"/>
    <w:rsid w:val="00AC07F4"/>
    <w:rsid w:val="00AC16E1"/>
    <w:rsid w:val="00AC1D52"/>
    <w:rsid w:val="00AC286D"/>
    <w:rsid w:val="00AC3B04"/>
    <w:rsid w:val="00AC41D3"/>
    <w:rsid w:val="00AC640D"/>
    <w:rsid w:val="00AC65C9"/>
    <w:rsid w:val="00AC6FEA"/>
    <w:rsid w:val="00AC716E"/>
    <w:rsid w:val="00AC7183"/>
    <w:rsid w:val="00AC7205"/>
    <w:rsid w:val="00AD013D"/>
    <w:rsid w:val="00AD0B5F"/>
    <w:rsid w:val="00AD100E"/>
    <w:rsid w:val="00AD1D84"/>
    <w:rsid w:val="00AD2BF7"/>
    <w:rsid w:val="00AD2C1D"/>
    <w:rsid w:val="00AD2CEC"/>
    <w:rsid w:val="00AD2D55"/>
    <w:rsid w:val="00AD30E6"/>
    <w:rsid w:val="00AD377C"/>
    <w:rsid w:val="00AD3DDD"/>
    <w:rsid w:val="00AD4359"/>
    <w:rsid w:val="00AD476E"/>
    <w:rsid w:val="00AD4CD4"/>
    <w:rsid w:val="00AD60EE"/>
    <w:rsid w:val="00AD6D80"/>
    <w:rsid w:val="00AD6E4E"/>
    <w:rsid w:val="00AD72DA"/>
    <w:rsid w:val="00AD7420"/>
    <w:rsid w:val="00AE0041"/>
    <w:rsid w:val="00AE08EC"/>
    <w:rsid w:val="00AE0FDC"/>
    <w:rsid w:val="00AE154B"/>
    <w:rsid w:val="00AE1569"/>
    <w:rsid w:val="00AE1EC4"/>
    <w:rsid w:val="00AE4F64"/>
    <w:rsid w:val="00AE7910"/>
    <w:rsid w:val="00AE792B"/>
    <w:rsid w:val="00AE7AC9"/>
    <w:rsid w:val="00AE7D6B"/>
    <w:rsid w:val="00AF11F3"/>
    <w:rsid w:val="00AF132D"/>
    <w:rsid w:val="00AF23DE"/>
    <w:rsid w:val="00AF3ECD"/>
    <w:rsid w:val="00AF5487"/>
    <w:rsid w:val="00AF5602"/>
    <w:rsid w:val="00AF5814"/>
    <w:rsid w:val="00AF6110"/>
    <w:rsid w:val="00AF69F3"/>
    <w:rsid w:val="00AF6E52"/>
    <w:rsid w:val="00AF7472"/>
    <w:rsid w:val="00B0056B"/>
    <w:rsid w:val="00B00C5E"/>
    <w:rsid w:val="00B0124C"/>
    <w:rsid w:val="00B017D7"/>
    <w:rsid w:val="00B01A48"/>
    <w:rsid w:val="00B02517"/>
    <w:rsid w:val="00B02C9B"/>
    <w:rsid w:val="00B03938"/>
    <w:rsid w:val="00B045F4"/>
    <w:rsid w:val="00B05857"/>
    <w:rsid w:val="00B058C3"/>
    <w:rsid w:val="00B06505"/>
    <w:rsid w:val="00B0731C"/>
    <w:rsid w:val="00B10731"/>
    <w:rsid w:val="00B10769"/>
    <w:rsid w:val="00B108D5"/>
    <w:rsid w:val="00B108E9"/>
    <w:rsid w:val="00B11C3B"/>
    <w:rsid w:val="00B12321"/>
    <w:rsid w:val="00B12AAB"/>
    <w:rsid w:val="00B13C34"/>
    <w:rsid w:val="00B1483F"/>
    <w:rsid w:val="00B14E86"/>
    <w:rsid w:val="00B15743"/>
    <w:rsid w:val="00B160C7"/>
    <w:rsid w:val="00B168A3"/>
    <w:rsid w:val="00B16C3C"/>
    <w:rsid w:val="00B17376"/>
    <w:rsid w:val="00B176D7"/>
    <w:rsid w:val="00B20004"/>
    <w:rsid w:val="00B20158"/>
    <w:rsid w:val="00B20627"/>
    <w:rsid w:val="00B20B2F"/>
    <w:rsid w:val="00B20DAF"/>
    <w:rsid w:val="00B20F18"/>
    <w:rsid w:val="00B20FBB"/>
    <w:rsid w:val="00B21750"/>
    <w:rsid w:val="00B21855"/>
    <w:rsid w:val="00B22ED8"/>
    <w:rsid w:val="00B231E2"/>
    <w:rsid w:val="00B2389A"/>
    <w:rsid w:val="00B249C2"/>
    <w:rsid w:val="00B255EB"/>
    <w:rsid w:val="00B25F1C"/>
    <w:rsid w:val="00B269BE"/>
    <w:rsid w:val="00B26AC1"/>
    <w:rsid w:val="00B27384"/>
    <w:rsid w:val="00B2739E"/>
    <w:rsid w:val="00B27474"/>
    <w:rsid w:val="00B30C02"/>
    <w:rsid w:val="00B312D2"/>
    <w:rsid w:val="00B322C7"/>
    <w:rsid w:val="00B322D3"/>
    <w:rsid w:val="00B327BC"/>
    <w:rsid w:val="00B33135"/>
    <w:rsid w:val="00B335BF"/>
    <w:rsid w:val="00B3365F"/>
    <w:rsid w:val="00B33B46"/>
    <w:rsid w:val="00B33CDF"/>
    <w:rsid w:val="00B3421E"/>
    <w:rsid w:val="00B344B5"/>
    <w:rsid w:val="00B34DAF"/>
    <w:rsid w:val="00B36162"/>
    <w:rsid w:val="00B367A7"/>
    <w:rsid w:val="00B36D4F"/>
    <w:rsid w:val="00B36F40"/>
    <w:rsid w:val="00B40259"/>
    <w:rsid w:val="00B40B44"/>
    <w:rsid w:val="00B41417"/>
    <w:rsid w:val="00B437FC"/>
    <w:rsid w:val="00B439E4"/>
    <w:rsid w:val="00B45FB8"/>
    <w:rsid w:val="00B464D6"/>
    <w:rsid w:val="00B47251"/>
    <w:rsid w:val="00B473D0"/>
    <w:rsid w:val="00B5021D"/>
    <w:rsid w:val="00B50229"/>
    <w:rsid w:val="00B516F9"/>
    <w:rsid w:val="00B519FF"/>
    <w:rsid w:val="00B51C3A"/>
    <w:rsid w:val="00B5215D"/>
    <w:rsid w:val="00B52395"/>
    <w:rsid w:val="00B52706"/>
    <w:rsid w:val="00B52758"/>
    <w:rsid w:val="00B529CD"/>
    <w:rsid w:val="00B5354B"/>
    <w:rsid w:val="00B53B49"/>
    <w:rsid w:val="00B53CB6"/>
    <w:rsid w:val="00B542BB"/>
    <w:rsid w:val="00B553CA"/>
    <w:rsid w:val="00B554F2"/>
    <w:rsid w:val="00B55C9C"/>
    <w:rsid w:val="00B5621E"/>
    <w:rsid w:val="00B56658"/>
    <w:rsid w:val="00B56964"/>
    <w:rsid w:val="00B56AFD"/>
    <w:rsid w:val="00B57210"/>
    <w:rsid w:val="00B601A7"/>
    <w:rsid w:val="00B6026E"/>
    <w:rsid w:val="00B60307"/>
    <w:rsid w:val="00B606D4"/>
    <w:rsid w:val="00B607E4"/>
    <w:rsid w:val="00B60866"/>
    <w:rsid w:val="00B61772"/>
    <w:rsid w:val="00B620AD"/>
    <w:rsid w:val="00B630B8"/>
    <w:rsid w:val="00B63371"/>
    <w:rsid w:val="00B63E98"/>
    <w:rsid w:val="00B63F2C"/>
    <w:rsid w:val="00B64724"/>
    <w:rsid w:val="00B64D84"/>
    <w:rsid w:val="00B66077"/>
    <w:rsid w:val="00B66E26"/>
    <w:rsid w:val="00B6782F"/>
    <w:rsid w:val="00B70251"/>
    <w:rsid w:val="00B7098C"/>
    <w:rsid w:val="00B70BD7"/>
    <w:rsid w:val="00B70DCF"/>
    <w:rsid w:val="00B718EE"/>
    <w:rsid w:val="00B71C1B"/>
    <w:rsid w:val="00B720C5"/>
    <w:rsid w:val="00B72DA0"/>
    <w:rsid w:val="00B74A58"/>
    <w:rsid w:val="00B76CA3"/>
    <w:rsid w:val="00B77438"/>
    <w:rsid w:val="00B776E0"/>
    <w:rsid w:val="00B77C65"/>
    <w:rsid w:val="00B80C99"/>
    <w:rsid w:val="00B81758"/>
    <w:rsid w:val="00B82AB4"/>
    <w:rsid w:val="00B82E42"/>
    <w:rsid w:val="00B8324D"/>
    <w:rsid w:val="00B839DF"/>
    <w:rsid w:val="00B84137"/>
    <w:rsid w:val="00B84473"/>
    <w:rsid w:val="00B8476B"/>
    <w:rsid w:val="00B84857"/>
    <w:rsid w:val="00B8492B"/>
    <w:rsid w:val="00B870BC"/>
    <w:rsid w:val="00B87188"/>
    <w:rsid w:val="00B87660"/>
    <w:rsid w:val="00B87850"/>
    <w:rsid w:val="00B87C2B"/>
    <w:rsid w:val="00B87E34"/>
    <w:rsid w:val="00B9162B"/>
    <w:rsid w:val="00B91B46"/>
    <w:rsid w:val="00B92041"/>
    <w:rsid w:val="00B92449"/>
    <w:rsid w:val="00B92583"/>
    <w:rsid w:val="00B9332B"/>
    <w:rsid w:val="00B933F5"/>
    <w:rsid w:val="00B935B6"/>
    <w:rsid w:val="00B9391B"/>
    <w:rsid w:val="00B93B4A"/>
    <w:rsid w:val="00B94410"/>
    <w:rsid w:val="00B954A0"/>
    <w:rsid w:val="00B954E1"/>
    <w:rsid w:val="00B95C95"/>
    <w:rsid w:val="00B96351"/>
    <w:rsid w:val="00B96813"/>
    <w:rsid w:val="00B96E27"/>
    <w:rsid w:val="00BA0815"/>
    <w:rsid w:val="00BA18E4"/>
    <w:rsid w:val="00BA3085"/>
    <w:rsid w:val="00BA3308"/>
    <w:rsid w:val="00BA4007"/>
    <w:rsid w:val="00BA482C"/>
    <w:rsid w:val="00BA4CF2"/>
    <w:rsid w:val="00BA58A4"/>
    <w:rsid w:val="00BA68D9"/>
    <w:rsid w:val="00BA719E"/>
    <w:rsid w:val="00BA7450"/>
    <w:rsid w:val="00BA75B3"/>
    <w:rsid w:val="00BA763B"/>
    <w:rsid w:val="00BA7C54"/>
    <w:rsid w:val="00BB1342"/>
    <w:rsid w:val="00BB16CD"/>
    <w:rsid w:val="00BB1D5B"/>
    <w:rsid w:val="00BB1D70"/>
    <w:rsid w:val="00BB2746"/>
    <w:rsid w:val="00BB2DDD"/>
    <w:rsid w:val="00BB2F09"/>
    <w:rsid w:val="00BB45F7"/>
    <w:rsid w:val="00BB5D82"/>
    <w:rsid w:val="00BB5F06"/>
    <w:rsid w:val="00BC1AF9"/>
    <w:rsid w:val="00BC1B56"/>
    <w:rsid w:val="00BC2412"/>
    <w:rsid w:val="00BC2A67"/>
    <w:rsid w:val="00BC3807"/>
    <w:rsid w:val="00BC38EE"/>
    <w:rsid w:val="00BC3F43"/>
    <w:rsid w:val="00BC44C0"/>
    <w:rsid w:val="00BC4F08"/>
    <w:rsid w:val="00BC5725"/>
    <w:rsid w:val="00BC5E8D"/>
    <w:rsid w:val="00BC6189"/>
    <w:rsid w:val="00BC6442"/>
    <w:rsid w:val="00BC6FD4"/>
    <w:rsid w:val="00BC7199"/>
    <w:rsid w:val="00BC747A"/>
    <w:rsid w:val="00BC7DFC"/>
    <w:rsid w:val="00BD0095"/>
    <w:rsid w:val="00BD06E4"/>
    <w:rsid w:val="00BD0A4E"/>
    <w:rsid w:val="00BD2AA8"/>
    <w:rsid w:val="00BD3BE2"/>
    <w:rsid w:val="00BD487E"/>
    <w:rsid w:val="00BD4AE5"/>
    <w:rsid w:val="00BD4C97"/>
    <w:rsid w:val="00BD4EF4"/>
    <w:rsid w:val="00BD60D5"/>
    <w:rsid w:val="00BD649A"/>
    <w:rsid w:val="00BD6706"/>
    <w:rsid w:val="00BD6FA4"/>
    <w:rsid w:val="00BE06B3"/>
    <w:rsid w:val="00BE08D8"/>
    <w:rsid w:val="00BE0E77"/>
    <w:rsid w:val="00BE1E07"/>
    <w:rsid w:val="00BE275D"/>
    <w:rsid w:val="00BE2E39"/>
    <w:rsid w:val="00BE2F78"/>
    <w:rsid w:val="00BE3653"/>
    <w:rsid w:val="00BE36F0"/>
    <w:rsid w:val="00BE3A47"/>
    <w:rsid w:val="00BE4664"/>
    <w:rsid w:val="00BE4C6A"/>
    <w:rsid w:val="00BE4E42"/>
    <w:rsid w:val="00BE4E5C"/>
    <w:rsid w:val="00BE4EBF"/>
    <w:rsid w:val="00BE5AB4"/>
    <w:rsid w:val="00BE6150"/>
    <w:rsid w:val="00BE6CED"/>
    <w:rsid w:val="00BE750D"/>
    <w:rsid w:val="00BF0C1B"/>
    <w:rsid w:val="00BF13BC"/>
    <w:rsid w:val="00BF1414"/>
    <w:rsid w:val="00BF20B2"/>
    <w:rsid w:val="00BF3302"/>
    <w:rsid w:val="00BF3C72"/>
    <w:rsid w:val="00BF4D68"/>
    <w:rsid w:val="00BF5170"/>
    <w:rsid w:val="00BF536D"/>
    <w:rsid w:val="00BF5714"/>
    <w:rsid w:val="00BF5E9A"/>
    <w:rsid w:val="00BF6178"/>
    <w:rsid w:val="00BF6691"/>
    <w:rsid w:val="00BF6870"/>
    <w:rsid w:val="00BF7027"/>
    <w:rsid w:val="00BF7209"/>
    <w:rsid w:val="00BF75EE"/>
    <w:rsid w:val="00BF7916"/>
    <w:rsid w:val="00C001D5"/>
    <w:rsid w:val="00C0058D"/>
    <w:rsid w:val="00C00DAE"/>
    <w:rsid w:val="00C00FCD"/>
    <w:rsid w:val="00C01078"/>
    <w:rsid w:val="00C01A1F"/>
    <w:rsid w:val="00C01B35"/>
    <w:rsid w:val="00C0228F"/>
    <w:rsid w:val="00C029A0"/>
    <w:rsid w:val="00C03225"/>
    <w:rsid w:val="00C032C7"/>
    <w:rsid w:val="00C03ABD"/>
    <w:rsid w:val="00C050A6"/>
    <w:rsid w:val="00C0540B"/>
    <w:rsid w:val="00C05575"/>
    <w:rsid w:val="00C05D97"/>
    <w:rsid w:val="00C06118"/>
    <w:rsid w:val="00C06E29"/>
    <w:rsid w:val="00C07902"/>
    <w:rsid w:val="00C10B8D"/>
    <w:rsid w:val="00C110A4"/>
    <w:rsid w:val="00C1236F"/>
    <w:rsid w:val="00C12E1F"/>
    <w:rsid w:val="00C12E68"/>
    <w:rsid w:val="00C1358D"/>
    <w:rsid w:val="00C14E67"/>
    <w:rsid w:val="00C154EB"/>
    <w:rsid w:val="00C169C8"/>
    <w:rsid w:val="00C16C89"/>
    <w:rsid w:val="00C16D9A"/>
    <w:rsid w:val="00C1708F"/>
    <w:rsid w:val="00C17995"/>
    <w:rsid w:val="00C215DA"/>
    <w:rsid w:val="00C21F9D"/>
    <w:rsid w:val="00C2258B"/>
    <w:rsid w:val="00C22D29"/>
    <w:rsid w:val="00C22E98"/>
    <w:rsid w:val="00C23051"/>
    <w:rsid w:val="00C23D9D"/>
    <w:rsid w:val="00C23F0F"/>
    <w:rsid w:val="00C23FA0"/>
    <w:rsid w:val="00C240E6"/>
    <w:rsid w:val="00C24470"/>
    <w:rsid w:val="00C249AA"/>
    <w:rsid w:val="00C261CD"/>
    <w:rsid w:val="00C268DC"/>
    <w:rsid w:val="00C26DA5"/>
    <w:rsid w:val="00C27BAE"/>
    <w:rsid w:val="00C301DF"/>
    <w:rsid w:val="00C30C9A"/>
    <w:rsid w:val="00C326C5"/>
    <w:rsid w:val="00C328B7"/>
    <w:rsid w:val="00C32D6A"/>
    <w:rsid w:val="00C335E6"/>
    <w:rsid w:val="00C33E73"/>
    <w:rsid w:val="00C349E5"/>
    <w:rsid w:val="00C3543E"/>
    <w:rsid w:val="00C362E9"/>
    <w:rsid w:val="00C36B21"/>
    <w:rsid w:val="00C36E4D"/>
    <w:rsid w:val="00C37862"/>
    <w:rsid w:val="00C403BF"/>
    <w:rsid w:val="00C405F9"/>
    <w:rsid w:val="00C41033"/>
    <w:rsid w:val="00C411CF"/>
    <w:rsid w:val="00C421D8"/>
    <w:rsid w:val="00C42762"/>
    <w:rsid w:val="00C42A76"/>
    <w:rsid w:val="00C42F24"/>
    <w:rsid w:val="00C4348D"/>
    <w:rsid w:val="00C446E2"/>
    <w:rsid w:val="00C454D5"/>
    <w:rsid w:val="00C46081"/>
    <w:rsid w:val="00C466C3"/>
    <w:rsid w:val="00C47B5D"/>
    <w:rsid w:val="00C47C47"/>
    <w:rsid w:val="00C5161D"/>
    <w:rsid w:val="00C52975"/>
    <w:rsid w:val="00C53197"/>
    <w:rsid w:val="00C53677"/>
    <w:rsid w:val="00C53CE1"/>
    <w:rsid w:val="00C53D88"/>
    <w:rsid w:val="00C54176"/>
    <w:rsid w:val="00C55991"/>
    <w:rsid w:val="00C56837"/>
    <w:rsid w:val="00C573EF"/>
    <w:rsid w:val="00C5786F"/>
    <w:rsid w:val="00C5788A"/>
    <w:rsid w:val="00C60E5F"/>
    <w:rsid w:val="00C61143"/>
    <w:rsid w:val="00C615E4"/>
    <w:rsid w:val="00C61907"/>
    <w:rsid w:val="00C61922"/>
    <w:rsid w:val="00C61A6C"/>
    <w:rsid w:val="00C61F70"/>
    <w:rsid w:val="00C62361"/>
    <w:rsid w:val="00C623D8"/>
    <w:rsid w:val="00C626CE"/>
    <w:rsid w:val="00C62DB8"/>
    <w:rsid w:val="00C63D6B"/>
    <w:rsid w:val="00C6403F"/>
    <w:rsid w:val="00C64182"/>
    <w:rsid w:val="00C64630"/>
    <w:rsid w:val="00C655E2"/>
    <w:rsid w:val="00C6594A"/>
    <w:rsid w:val="00C65F1E"/>
    <w:rsid w:val="00C66CC5"/>
    <w:rsid w:val="00C66D3D"/>
    <w:rsid w:val="00C6718C"/>
    <w:rsid w:val="00C675B6"/>
    <w:rsid w:val="00C72514"/>
    <w:rsid w:val="00C72756"/>
    <w:rsid w:val="00C730C8"/>
    <w:rsid w:val="00C7437D"/>
    <w:rsid w:val="00C750B8"/>
    <w:rsid w:val="00C75279"/>
    <w:rsid w:val="00C75808"/>
    <w:rsid w:val="00C76563"/>
    <w:rsid w:val="00C76797"/>
    <w:rsid w:val="00C76D0C"/>
    <w:rsid w:val="00C77084"/>
    <w:rsid w:val="00C77474"/>
    <w:rsid w:val="00C77932"/>
    <w:rsid w:val="00C7795A"/>
    <w:rsid w:val="00C77F01"/>
    <w:rsid w:val="00C77F66"/>
    <w:rsid w:val="00C81298"/>
    <w:rsid w:val="00C81423"/>
    <w:rsid w:val="00C814AC"/>
    <w:rsid w:val="00C81CC8"/>
    <w:rsid w:val="00C8253D"/>
    <w:rsid w:val="00C825A9"/>
    <w:rsid w:val="00C82B39"/>
    <w:rsid w:val="00C842AA"/>
    <w:rsid w:val="00C8443C"/>
    <w:rsid w:val="00C85A79"/>
    <w:rsid w:val="00C85AD3"/>
    <w:rsid w:val="00C8604B"/>
    <w:rsid w:val="00C86D42"/>
    <w:rsid w:val="00C878EF"/>
    <w:rsid w:val="00C87A17"/>
    <w:rsid w:val="00C90655"/>
    <w:rsid w:val="00C91B0B"/>
    <w:rsid w:val="00C91F9A"/>
    <w:rsid w:val="00C922B7"/>
    <w:rsid w:val="00C9295B"/>
    <w:rsid w:val="00C92A78"/>
    <w:rsid w:val="00C92B2B"/>
    <w:rsid w:val="00C92B53"/>
    <w:rsid w:val="00C92FBF"/>
    <w:rsid w:val="00C93027"/>
    <w:rsid w:val="00C935CA"/>
    <w:rsid w:val="00C939AA"/>
    <w:rsid w:val="00C93BDD"/>
    <w:rsid w:val="00C93DC9"/>
    <w:rsid w:val="00C94EFA"/>
    <w:rsid w:val="00C95377"/>
    <w:rsid w:val="00C95E29"/>
    <w:rsid w:val="00C95EF0"/>
    <w:rsid w:val="00C96C60"/>
    <w:rsid w:val="00C96DF7"/>
    <w:rsid w:val="00C977E8"/>
    <w:rsid w:val="00C97932"/>
    <w:rsid w:val="00C97E94"/>
    <w:rsid w:val="00CA0BF8"/>
    <w:rsid w:val="00CA298A"/>
    <w:rsid w:val="00CA2AFB"/>
    <w:rsid w:val="00CA3068"/>
    <w:rsid w:val="00CA315E"/>
    <w:rsid w:val="00CA4A6C"/>
    <w:rsid w:val="00CA4D23"/>
    <w:rsid w:val="00CA5954"/>
    <w:rsid w:val="00CA5A43"/>
    <w:rsid w:val="00CA5F76"/>
    <w:rsid w:val="00CA73F0"/>
    <w:rsid w:val="00CA740F"/>
    <w:rsid w:val="00CA7CCF"/>
    <w:rsid w:val="00CB0035"/>
    <w:rsid w:val="00CB0EEB"/>
    <w:rsid w:val="00CB11BC"/>
    <w:rsid w:val="00CB13BC"/>
    <w:rsid w:val="00CB17DC"/>
    <w:rsid w:val="00CB3780"/>
    <w:rsid w:val="00CB50B5"/>
    <w:rsid w:val="00CB50BB"/>
    <w:rsid w:val="00CB5A59"/>
    <w:rsid w:val="00CB5C36"/>
    <w:rsid w:val="00CB5F00"/>
    <w:rsid w:val="00CB6336"/>
    <w:rsid w:val="00CB669E"/>
    <w:rsid w:val="00CB6E9D"/>
    <w:rsid w:val="00CB7FBD"/>
    <w:rsid w:val="00CC0990"/>
    <w:rsid w:val="00CC0B2A"/>
    <w:rsid w:val="00CC16C4"/>
    <w:rsid w:val="00CC296C"/>
    <w:rsid w:val="00CC2B55"/>
    <w:rsid w:val="00CC3C39"/>
    <w:rsid w:val="00CC4080"/>
    <w:rsid w:val="00CC4D5E"/>
    <w:rsid w:val="00CC5957"/>
    <w:rsid w:val="00CC62FD"/>
    <w:rsid w:val="00CC7655"/>
    <w:rsid w:val="00CC787F"/>
    <w:rsid w:val="00CD07FF"/>
    <w:rsid w:val="00CD0C97"/>
    <w:rsid w:val="00CD184B"/>
    <w:rsid w:val="00CD2907"/>
    <w:rsid w:val="00CD299B"/>
    <w:rsid w:val="00CD36E7"/>
    <w:rsid w:val="00CD380E"/>
    <w:rsid w:val="00CD384D"/>
    <w:rsid w:val="00CD3EB1"/>
    <w:rsid w:val="00CD436E"/>
    <w:rsid w:val="00CD4BE8"/>
    <w:rsid w:val="00CD53EA"/>
    <w:rsid w:val="00CD63BE"/>
    <w:rsid w:val="00CD7A23"/>
    <w:rsid w:val="00CD7F69"/>
    <w:rsid w:val="00CE0EA7"/>
    <w:rsid w:val="00CE1F2C"/>
    <w:rsid w:val="00CE27D8"/>
    <w:rsid w:val="00CE2FB8"/>
    <w:rsid w:val="00CE31A0"/>
    <w:rsid w:val="00CE4503"/>
    <w:rsid w:val="00CE4AF3"/>
    <w:rsid w:val="00CE5E27"/>
    <w:rsid w:val="00CE6DC4"/>
    <w:rsid w:val="00CE70B5"/>
    <w:rsid w:val="00CE76DA"/>
    <w:rsid w:val="00CE78A2"/>
    <w:rsid w:val="00CF0B87"/>
    <w:rsid w:val="00CF12C1"/>
    <w:rsid w:val="00CF1734"/>
    <w:rsid w:val="00CF1753"/>
    <w:rsid w:val="00CF27AC"/>
    <w:rsid w:val="00CF2B29"/>
    <w:rsid w:val="00CF2C08"/>
    <w:rsid w:val="00CF365E"/>
    <w:rsid w:val="00CF3695"/>
    <w:rsid w:val="00CF4F36"/>
    <w:rsid w:val="00CF6877"/>
    <w:rsid w:val="00CF73CC"/>
    <w:rsid w:val="00CF74FA"/>
    <w:rsid w:val="00D00601"/>
    <w:rsid w:val="00D00AD4"/>
    <w:rsid w:val="00D01050"/>
    <w:rsid w:val="00D024B1"/>
    <w:rsid w:val="00D024CF"/>
    <w:rsid w:val="00D03DC8"/>
    <w:rsid w:val="00D044D2"/>
    <w:rsid w:val="00D04508"/>
    <w:rsid w:val="00D0601A"/>
    <w:rsid w:val="00D06725"/>
    <w:rsid w:val="00D067DB"/>
    <w:rsid w:val="00D0752A"/>
    <w:rsid w:val="00D07A82"/>
    <w:rsid w:val="00D10C3F"/>
    <w:rsid w:val="00D11F76"/>
    <w:rsid w:val="00D12717"/>
    <w:rsid w:val="00D132CD"/>
    <w:rsid w:val="00D14FC1"/>
    <w:rsid w:val="00D15BDC"/>
    <w:rsid w:val="00D1601D"/>
    <w:rsid w:val="00D1606C"/>
    <w:rsid w:val="00D16C3C"/>
    <w:rsid w:val="00D17AAB"/>
    <w:rsid w:val="00D17D7C"/>
    <w:rsid w:val="00D20492"/>
    <w:rsid w:val="00D20753"/>
    <w:rsid w:val="00D20B5D"/>
    <w:rsid w:val="00D211BF"/>
    <w:rsid w:val="00D227ED"/>
    <w:rsid w:val="00D22E86"/>
    <w:rsid w:val="00D23AED"/>
    <w:rsid w:val="00D2408B"/>
    <w:rsid w:val="00D24BA1"/>
    <w:rsid w:val="00D255E8"/>
    <w:rsid w:val="00D25C05"/>
    <w:rsid w:val="00D25F00"/>
    <w:rsid w:val="00D26EFB"/>
    <w:rsid w:val="00D2779D"/>
    <w:rsid w:val="00D30286"/>
    <w:rsid w:val="00D31317"/>
    <w:rsid w:val="00D335E5"/>
    <w:rsid w:val="00D33874"/>
    <w:rsid w:val="00D34995"/>
    <w:rsid w:val="00D34A50"/>
    <w:rsid w:val="00D35F84"/>
    <w:rsid w:val="00D369D9"/>
    <w:rsid w:val="00D36C69"/>
    <w:rsid w:val="00D401D4"/>
    <w:rsid w:val="00D4054C"/>
    <w:rsid w:val="00D40A61"/>
    <w:rsid w:val="00D40B13"/>
    <w:rsid w:val="00D419DA"/>
    <w:rsid w:val="00D41A61"/>
    <w:rsid w:val="00D41B13"/>
    <w:rsid w:val="00D41FAC"/>
    <w:rsid w:val="00D43065"/>
    <w:rsid w:val="00D43835"/>
    <w:rsid w:val="00D479D3"/>
    <w:rsid w:val="00D50BBC"/>
    <w:rsid w:val="00D518B6"/>
    <w:rsid w:val="00D51946"/>
    <w:rsid w:val="00D51C79"/>
    <w:rsid w:val="00D523F5"/>
    <w:rsid w:val="00D53A53"/>
    <w:rsid w:val="00D54B93"/>
    <w:rsid w:val="00D54F8F"/>
    <w:rsid w:val="00D555C6"/>
    <w:rsid w:val="00D555F3"/>
    <w:rsid w:val="00D559E3"/>
    <w:rsid w:val="00D568D9"/>
    <w:rsid w:val="00D56C19"/>
    <w:rsid w:val="00D570FE"/>
    <w:rsid w:val="00D57E57"/>
    <w:rsid w:val="00D6076E"/>
    <w:rsid w:val="00D61146"/>
    <w:rsid w:val="00D62497"/>
    <w:rsid w:val="00D62B90"/>
    <w:rsid w:val="00D63682"/>
    <w:rsid w:val="00D64AB8"/>
    <w:rsid w:val="00D64BD2"/>
    <w:rsid w:val="00D659AA"/>
    <w:rsid w:val="00D65ACE"/>
    <w:rsid w:val="00D66D28"/>
    <w:rsid w:val="00D66F55"/>
    <w:rsid w:val="00D722E6"/>
    <w:rsid w:val="00D72300"/>
    <w:rsid w:val="00D73D05"/>
    <w:rsid w:val="00D7575C"/>
    <w:rsid w:val="00D76232"/>
    <w:rsid w:val="00D77B4D"/>
    <w:rsid w:val="00D77D30"/>
    <w:rsid w:val="00D80ED0"/>
    <w:rsid w:val="00D816B4"/>
    <w:rsid w:val="00D81AA4"/>
    <w:rsid w:val="00D81AAB"/>
    <w:rsid w:val="00D8213B"/>
    <w:rsid w:val="00D822AF"/>
    <w:rsid w:val="00D837A6"/>
    <w:rsid w:val="00D83997"/>
    <w:rsid w:val="00D83C40"/>
    <w:rsid w:val="00D843B7"/>
    <w:rsid w:val="00D8464A"/>
    <w:rsid w:val="00D8585E"/>
    <w:rsid w:val="00D86A06"/>
    <w:rsid w:val="00D87383"/>
    <w:rsid w:val="00D90894"/>
    <w:rsid w:val="00D90F45"/>
    <w:rsid w:val="00D91586"/>
    <w:rsid w:val="00D9277B"/>
    <w:rsid w:val="00D93193"/>
    <w:rsid w:val="00D936AD"/>
    <w:rsid w:val="00D93D24"/>
    <w:rsid w:val="00D94152"/>
    <w:rsid w:val="00D94221"/>
    <w:rsid w:val="00D947DF"/>
    <w:rsid w:val="00D94B1A"/>
    <w:rsid w:val="00D94BC2"/>
    <w:rsid w:val="00D9523B"/>
    <w:rsid w:val="00D95533"/>
    <w:rsid w:val="00D96845"/>
    <w:rsid w:val="00D968D2"/>
    <w:rsid w:val="00D97100"/>
    <w:rsid w:val="00DA0AF8"/>
    <w:rsid w:val="00DA159D"/>
    <w:rsid w:val="00DA317F"/>
    <w:rsid w:val="00DA31FE"/>
    <w:rsid w:val="00DA3204"/>
    <w:rsid w:val="00DA366A"/>
    <w:rsid w:val="00DA386B"/>
    <w:rsid w:val="00DA4D7E"/>
    <w:rsid w:val="00DA5990"/>
    <w:rsid w:val="00DA5AFF"/>
    <w:rsid w:val="00DA5D65"/>
    <w:rsid w:val="00DA6154"/>
    <w:rsid w:val="00DA69F1"/>
    <w:rsid w:val="00DA787C"/>
    <w:rsid w:val="00DA790C"/>
    <w:rsid w:val="00DA7B0D"/>
    <w:rsid w:val="00DA7BBA"/>
    <w:rsid w:val="00DB12A0"/>
    <w:rsid w:val="00DB15DC"/>
    <w:rsid w:val="00DB1A44"/>
    <w:rsid w:val="00DB1CD7"/>
    <w:rsid w:val="00DB22EC"/>
    <w:rsid w:val="00DB2CA4"/>
    <w:rsid w:val="00DB33AB"/>
    <w:rsid w:val="00DB365D"/>
    <w:rsid w:val="00DB3D96"/>
    <w:rsid w:val="00DB3E76"/>
    <w:rsid w:val="00DB40D2"/>
    <w:rsid w:val="00DB47C5"/>
    <w:rsid w:val="00DB51A6"/>
    <w:rsid w:val="00DB714C"/>
    <w:rsid w:val="00DB717A"/>
    <w:rsid w:val="00DB7327"/>
    <w:rsid w:val="00DB740C"/>
    <w:rsid w:val="00DB743F"/>
    <w:rsid w:val="00DB782C"/>
    <w:rsid w:val="00DC26C3"/>
    <w:rsid w:val="00DC2D41"/>
    <w:rsid w:val="00DC32A8"/>
    <w:rsid w:val="00DC35BF"/>
    <w:rsid w:val="00DC420D"/>
    <w:rsid w:val="00DC50F7"/>
    <w:rsid w:val="00DC573D"/>
    <w:rsid w:val="00DC68FF"/>
    <w:rsid w:val="00DC6B0D"/>
    <w:rsid w:val="00DC6B99"/>
    <w:rsid w:val="00DC767D"/>
    <w:rsid w:val="00DC7B21"/>
    <w:rsid w:val="00DD004D"/>
    <w:rsid w:val="00DD0094"/>
    <w:rsid w:val="00DD041A"/>
    <w:rsid w:val="00DD0533"/>
    <w:rsid w:val="00DD074C"/>
    <w:rsid w:val="00DD20A9"/>
    <w:rsid w:val="00DD22C4"/>
    <w:rsid w:val="00DD2580"/>
    <w:rsid w:val="00DD2AE8"/>
    <w:rsid w:val="00DD33D4"/>
    <w:rsid w:val="00DD4BEF"/>
    <w:rsid w:val="00DD4FA4"/>
    <w:rsid w:val="00DD5589"/>
    <w:rsid w:val="00DE0FE8"/>
    <w:rsid w:val="00DE2E5D"/>
    <w:rsid w:val="00DE3657"/>
    <w:rsid w:val="00DE4339"/>
    <w:rsid w:val="00DE4CDA"/>
    <w:rsid w:val="00DE56F8"/>
    <w:rsid w:val="00DE5C18"/>
    <w:rsid w:val="00DE5F2D"/>
    <w:rsid w:val="00DE5F58"/>
    <w:rsid w:val="00DE6F44"/>
    <w:rsid w:val="00DE7B6F"/>
    <w:rsid w:val="00DF0B92"/>
    <w:rsid w:val="00DF0D8F"/>
    <w:rsid w:val="00DF10A3"/>
    <w:rsid w:val="00DF18C3"/>
    <w:rsid w:val="00DF1C57"/>
    <w:rsid w:val="00DF22A0"/>
    <w:rsid w:val="00DF25EF"/>
    <w:rsid w:val="00DF2F9D"/>
    <w:rsid w:val="00DF3B1A"/>
    <w:rsid w:val="00DF3CB8"/>
    <w:rsid w:val="00DF3CEE"/>
    <w:rsid w:val="00DF5D92"/>
    <w:rsid w:val="00DF6040"/>
    <w:rsid w:val="00E0164F"/>
    <w:rsid w:val="00E02B75"/>
    <w:rsid w:val="00E02EA6"/>
    <w:rsid w:val="00E03D32"/>
    <w:rsid w:val="00E04217"/>
    <w:rsid w:val="00E045A6"/>
    <w:rsid w:val="00E065E7"/>
    <w:rsid w:val="00E068C7"/>
    <w:rsid w:val="00E07EBA"/>
    <w:rsid w:val="00E117B1"/>
    <w:rsid w:val="00E1200A"/>
    <w:rsid w:val="00E129B3"/>
    <w:rsid w:val="00E12CC0"/>
    <w:rsid w:val="00E13A01"/>
    <w:rsid w:val="00E14295"/>
    <w:rsid w:val="00E147AF"/>
    <w:rsid w:val="00E152BB"/>
    <w:rsid w:val="00E1599D"/>
    <w:rsid w:val="00E15D96"/>
    <w:rsid w:val="00E16CD8"/>
    <w:rsid w:val="00E16EF3"/>
    <w:rsid w:val="00E16F75"/>
    <w:rsid w:val="00E20B9C"/>
    <w:rsid w:val="00E20CC9"/>
    <w:rsid w:val="00E20E25"/>
    <w:rsid w:val="00E21317"/>
    <w:rsid w:val="00E21503"/>
    <w:rsid w:val="00E223EF"/>
    <w:rsid w:val="00E22712"/>
    <w:rsid w:val="00E23BB4"/>
    <w:rsid w:val="00E23C7C"/>
    <w:rsid w:val="00E2687F"/>
    <w:rsid w:val="00E26D4F"/>
    <w:rsid w:val="00E26DD5"/>
    <w:rsid w:val="00E27675"/>
    <w:rsid w:val="00E279EE"/>
    <w:rsid w:val="00E325F1"/>
    <w:rsid w:val="00E33268"/>
    <w:rsid w:val="00E335A9"/>
    <w:rsid w:val="00E3782D"/>
    <w:rsid w:val="00E37A45"/>
    <w:rsid w:val="00E37C7E"/>
    <w:rsid w:val="00E40329"/>
    <w:rsid w:val="00E404DC"/>
    <w:rsid w:val="00E40902"/>
    <w:rsid w:val="00E40B25"/>
    <w:rsid w:val="00E41E3A"/>
    <w:rsid w:val="00E42186"/>
    <w:rsid w:val="00E42623"/>
    <w:rsid w:val="00E43499"/>
    <w:rsid w:val="00E44171"/>
    <w:rsid w:val="00E44395"/>
    <w:rsid w:val="00E456C6"/>
    <w:rsid w:val="00E456ED"/>
    <w:rsid w:val="00E46471"/>
    <w:rsid w:val="00E47244"/>
    <w:rsid w:val="00E475A6"/>
    <w:rsid w:val="00E51526"/>
    <w:rsid w:val="00E51AB3"/>
    <w:rsid w:val="00E5355A"/>
    <w:rsid w:val="00E54FA0"/>
    <w:rsid w:val="00E5544A"/>
    <w:rsid w:val="00E55503"/>
    <w:rsid w:val="00E55913"/>
    <w:rsid w:val="00E56708"/>
    <w:rsid w:val="00E56B3B"/>
    <w:rsid w:val="00E56BA4"/>
    <w:rsid w:val="00E57705"/>
    <w:rsid w:val="00E60ADB"/>
    <w:rsid w:val="00E61297"/>
    <w:rsid w:val="00E61411"/>
    <w:rsid w:val="00E620E6"/>
    <w:rsid w:val="00E62111"/>
    <w:rsid w:val="00E6231E"/>
    <w:rsid w:val="00E638FE"/>
    <w:rsid w:val="00E6398F"/>
    <w:rsid w:val="00E63A7C"/>
    <w:rsid w:val="00E645F2"/>
    <w:rsid w:val="00E656D1"/>
    <w:rsid w:val="00E65DCB"/>
    <w:rsid w:val="00E668A6"/>
    <w:rsid w:val="00E66E8F"/>
    <w:rsid w:val="00E67556"/>
    <w:rsid w:val="00E67B23"/>
    <w:rsid w:val="00E70942"/>
    <w:rsid w:val="00E71116"/>
    <w:rsid w:val="00E716BE"/>
    <w:rsid w:val="00E71E99"/>
    <w:rsid w:val="00E730F1"/>
    <w:rsid w:val="00E745FA"/>
    <w:rsid w:val="00E7528E"/>
    <w:rsid w:val="00E7566B"/>
    <w:rsid w:val="00E76201"/>
    <w:rsid w:val="00E76668"/>
    <w:rsid w:val="00E77FCB"/>
    <w:rsid w:val="00E80226"/>
    <w:rsid w:val="00E80A2F"/>
    <w:rsid w:val="00E80DFD"/>
    <w:rsid w:val="00E81AB4"/>
    <w:rsid w:val="00E82672"/>
    <w:rsid w:val="00E840F4"/>
    <w:rsid w:val="00E846E1"/>
    <w:rsid w:val="00E8538F"/>
    <w:rsid w:val="00E853AC"/>
    <w:rsid w:val="00E858A4"/>
    <w:rsid w:val="00E8591A"/>
    <w:rsid w:val="00E86124"/>
    <w:rsid w:val="00E86170"/>
    <w:rsid w:val="00E86DC4"/>
    <w:rsid w:val="00E90BDD"/>
    <w:rsid w:val="00E91A40"/>
    <w:rsid w:val="00E927C0"/>
    <w:rsid w:val="00E93A48"/>
    <w:rsid w:val="00E93D33"/>
    <w:rsid w:val="00E9416C"/>
    <w:rsid w:val="00E94509"/>
    <w:rsid w:val="00E947FA"/>
    <w:rsid w:val="00E95144"/>
    <w:rsid w:val="00E95653"/>
    <w:rsid w:val="00E95F3E"/>
    <w:rsid w:val="00E96391"/>
    <w:rsid w:val="00EA08AF"/>
    <w:rsid w:val="00EA0F1F"/>
    <w:rsid w:val="00EA150E"/>
    <w:rsid w:val="00EA229B"/>
    <w:rsid w:val="00EA246B"/>
    <w:rsid w:val="00EA2A5B"/>
    <w:rsid w:val="00EA2AAC"/>
    <w:rsid w:val="00EA3A0B"/>
    <w:rsid w:val="00EA3A52"/>
    <w:rsid w:val="00EA44AE"/>
    <w:rsid w:val="00EA4AED"/>
    <w:rsid w:val="00EA57E2"/>
    <w:rsid w:val="00EA5BCC"/>
    <w:rsid w:val="00EA5C13"/>
    <w:rsid w:val="00EA5C95"/>
    <w:rsid w:val="00EA611D"/>
    <w:rsid w:val="00EB22FD"/>
    <w:rsid w:val="00EB250C"/>
    <w:rsid w:val="00EB25F0"/>
    <w:rsid w:val="00EB2F81"/>
    <w:rsid w:val="00EB3B5C"/>
    <w:rsid w:val="00EB3CDB"/>
    <w:rsid w:val="00EB446E"/>
    <w:rsid w:val="00EB475F"/>
    <w:rsid w:val="00EB4A08"/>
    <w:rsid w:val="00EB5125"/>
    <w:rsid w:val="00EB5C58"/>
    <w:rsid w:val="00EB5F3C"/>
    <w:rsid w:val="00EB62E7"/>
    <w:rsid w:val="00EB721A"/>
    <w:rsid w:val="00EB7220"/>
    <w:rsid w:val="00EB724E"/>
    <w:rsid w:val="00EC0DF3"/>
    <w:rsid w:val="00EC2EA7"/>
    <w:rsid w:val="00EC306A"/>
    <w:rsid w:val="00EC30BB"/>
    <w:rsid w:val="00EC3549"/>
    <w:rsid w:val="00EC40C4"/>
    <w:rsid w:val="00EC4666"/>
    <w:rsid w:val="00EC4984"/>
    <w:rsid w:val="00EC5522"/>
    <w:rsid w:val="00EC5A02"/>
    <w:rsid w:val="00EC6633"/>
    <w:rsid w:val="00EC6BE6"/>
    <w:rsid w:val="00EC6E03"/>
    <w:rsid w:val="00EC6F06"/>
    <w:rsid w:val="00EC7C99"/>
    <w:rsid w:val="00ED0B1D"/>
    <w:rsid w:val="00ED10B7"/>
    <w:rsid w:val="00ED132E"/>
    <w:rsid w:val="00ED14DD"/>
    <w:rsid w:val="00ED1977"/>
    <w:rsid w:val="00ED1CCE"/>
    <w:rsid w:val="00ED2220"/>
    <w:rsid w:val="00ED2C0B"/>
    <w:rsid w:val="00ED3168"/>
    <w:rsid w:val="00ED39E7"/>
    <w:rsid w:val="00ED4877"/>
    <w:rsid w:val="00ED50FD"/>
    <w:rsid w:val="00ED5729"/>
    <w:rsid w:val="00ED6303"/>
    <w:rsid w:val="00ED75EB"/>
    <w:rsid w:val="00ED7A39"/>
    <w:rsid w:val="00ED7D3B"/>
    <w:rsid w:val="00EE2300"/>
    <w:rsid w:val="00EE318B"/>
    <w:rsid w:val="00EE3E68"/>
    <w:rsid w:val="00EE3EA3"/>
    <w:rsid w:val="00EE4EE8"/>
    <w:rsid w:val="00EE572F"/>
    <w:rsid w:val="00EE624F"/>
    <w:rsid w:val="00EE7244"/>
    <w:rsid w:val="00EE7359"/>
    <w:rsid w:val="00EF027D"/>
    <w:rsid w:val="00EF071F"/>
    <w:rsid w:val="00EF0F94"/>
    <w:rsid w:val="00EF13BF"/>
    <w:rsid w:val="00EF1566"/>
    <w:rsid w:val="00EF15F7"/>
    <w:rsid w:val="00EF164F"/>
    <w:rsid w:val="00EF2A74"/>
    <w:rsid w:val="00EF304E"/>
    <w:rsid w:val="00EF3340"/>
    <w:rsid w:val="00EF42AF"/>
    <w:rsid w:val="00EF5128"/>
    <w:rsid w:val="00EF68C1"/>
    <w:rsid w:val="00EF6D94"/>
    <w:rsid w:val="00F013EE"/>
    <w:rsid w:val="00F01AA3"/>
    <w:rsid w:val="00F01F58"/>
    <w:rsid w:val="00F0245E"/>
    <w:rsid w:val="00F02D3B"/>
    <w:rsid w:val="00F02DF8"/>
    <w:rsid w:val="00F031A2"/>
    <w:rsid w:val="00F03A55"/>
    <w:rsid w:val="00F054D6"/>
    <w:rsid w:val="00F056E6"/>
    <w:rsid w:val="00F06386"/>
    <w:rsid w:val="00F06747"/>
    <w:rsid w:val="00F06CF8"/>
    <w:rsid w:val="00F07ACB"/>
    <w:rsid w:val="00F07BF3"/>
    <w:rsid w:val="00F124CE"/>
    <w:rsid w:val="00F1269A"/>
    <w:rsid w:val="00F126C5"/>
    <w:rsid w:val="00F13E96"/>
    <w:rsid w:val="00F1415F"/>
    <w:rsid w:val="00F14CBC"/>
    <w:rsid w:val="00F14F77"/>
    <w:rsid w:val="00F16D64"/>
    <w:rsid w:val="00F16F00"/>
    <w:rsid w:val="00F1733D"/>
    <w:rsid w:val="00F207EE"/>
    <w:rsid w:val="00F21CEB"/>
    <w:rsid w:val="00F2219F"/>
    <w:rsid w:val="00F2291A"/>
    <w:rsid w:val="00F23123"/>
    <w:rsid w:val="00F234B3"/>
    <w:rsid w:val="00F23756"/>
    <w:rsid w:val="00F23F88"/>
    <w:rsid w:val="00F242D3"/>
    <w:rsid w:val="00F246D2"/>
    <w:rsid w:val="00F25A90"/>
    <w:rsid w:val="00F2676A"/>
    <w:rsid w:val="00F26D34"/>
    <w:rsid w:val="00F26E79"/>
    <w:rsid w:val="00F2704F"/>
    <w:rsid w:val="00F31A27"/>
    <w:rsid w:val="00F327DF"/>
    <w:rsid w:val="00F33B7D"/>
    <w:rsid w:val="00F34538"/>
    <w:rsid w:val="00F34E34"/>
    <w:rsid w:val="00F36B86"/>
    <w:rsid w:val="00F371E9"/>
    <w:rsid w:val="00F3720C"/>
    <w:rsid w:val="00F37294"/>
    <w:rsid w:val="00F41939"/>
    <w:rsid w:val="00F421E7"/>
    <w:rsid w:val="00F42412"/>
    <w:rsid w:val="00F429B7"/>
    <w:rsid w:val="00F43B27"/>
    <w:rsid w:val="00F44516"/>
    <w:rsid w:val="00F45DBF"/>
    <w:rsid w:val="00F46236"/>
    <w:rsid w:val="00F46595"/>
    <w:rsid w:val="00F47336"/>
    <w:rsid w:val="00F47708"/>
    <w:rsid w:val="00F477E5"/>
    <w:rsid w:val="00F5062B"/>
    <w:rsid w:val="00F528F6"/>
    <w:rsid w:val="00F52D4B"/>
    <w:rsid w:val="00F535CC"/>
    <w:rsid w:val="00F539C8"/>
    <w:rsid w:val="00F53E54"/>
    <w:rsid w:val="00F54252"/>
    <w:rsid w:val="00F546FF"/>
    <w:rsid w:val="00F55243"/>
    <w:rsid w:val="00F55766"/>
    <w:rsid w:val="00F55CD1"/>
    <w:rsid w:val="00F5672B"/>
    <w:rsid w:val="00F56BBF"/>
    <w:rsid w:val="00F56D2F"/>
    <w:rsid w:val="00F57772"/>
    <w:rsid w:val="00F578AF"/>
    <w:rsid w:val="00F60434"/>
    <w:rsid w:val="00F60695"/>
    <w:rsid w:val="00F61988"/>
    <w:rsid w:val="00F62B7B"/>
    <w:rsid w:val="00F62C5B"/>
    <w:rsid w:val="00F63413"/>
    <w:rsid w:val="00F63A41"/>
    <w:rsid w:val="00F63A9A"/>
    <w:rsid w:val="00F645E9"/>
    <w:rsid w:val="00F64605"/>
    <w:rsid w:val="00F64910"/>
    <w:rsid w:val="00F66408"/>
    <w:rsid w:val="00F66835"/>
    <w:rsid w:val="00F66D0A"/>
    <w:rsid w:val="00F67A63"/>
    <w:rsid w:val="00F709CC"/>
    <w:rsid w:val="00F70F5F"/>
    <w:rsid w:val="00F71430"/>
    <w:rsid w:val="00F7150D"/>
    <w:rsid w:val="00F7283F"/>
    <w:rsid w:val="00F72861"/>
    <w:rsid w:val="00F72D00"/>
    <w:rsid w:val="00F72E17"/>
    <w:rsid w:val="00F744C7"/>
    <w:rsid w:val="00F7466C"/>
    <w:rsid w:val="00F74C30"/>
    <w:rsid w:val="00F75408"/>
    <w:rsid w:val="00F75DE9"/>
    <w:rsid w:val="00F760B2"/>
    <w:rsid w:val="00F76A8A"/>
    <w:rsid w:val="00F77606"/>
    <w:rsid w:val="00F81081"/>
    <w:rsid w:val="00F8143F"/>
    <w:rsid w:val="00F81E7C"/>
    <w:rsid w:val="00F828CD"/>
    <w:rsid w:val="00F829A1"/>
    <w:rsid w:val="00F82F52"/>
    <w:rsid w:val="00F82FB2"/>
    <w:rsid w:val="00F8320C"/>
    <w:rsid w:val="00F83605"/>
    <w:rsid w:val="00F83E7C"/>
    <w:rsid w:val="00F85E0C"/>
    <w:rsid w:val="00F871A8"/>
    <w:rsid w:val="00F905F5"/>
    <w:rsid w:val="00F91ADB"/>
    <w:rsid w:val="00F923E0"/>
    <w:rsid w:val="00F924F9"/>
    <w:rsid w:val="00F9291A"/>
    <w:rsid w:val="00F92A49"/>
    <w:rsid w:val="00F93B3B"/>
    <w:rsid w:val="00F94A0B"/>
    <w:rsid w:val="00F96E7D"/>
    <w:rsid w:val="00FA044B"/>
    <w:rsid w:val="00FA04D6"/>
    <w:rsid w:val="00FA0AA5"/>
    <w:rsid w:val="00FA0E53"/>
    <w:rsid w:val="00FA0EC6"/>
    <w:rsid w:val="00FA1B47"/>
    <w:rsid w:val="00FA2719"/>
    <w:rsid w:val="00FA28A8"/>
    <w:rsid w:val="00FA3054"/>
    <w:rsid w:val="00FA36FD"/>
    <w:rsid w:val="00FA4A4E"/>
    <w:rsid w:val="00FA4DEE"/>
    <w:rsid w:val="00FA4DF5"/>
    <w:rsid w:val="00FA5545"/>
    <w:rsid w:val="00FA63E6"/>
    <w:rsid w:val="00FA7828"/>
    <w:rsid w:val="00FA79FB"/>
    <w:rsid w:val="00FB0198"/>
    <w:rsid w:val="00FB0847"/>
    <w:rsid w:val="00FB0CD8"/>
    <w:rsid w:val="00FB0CEB"/>
    <w:rsid w:val="00FB0E8F"/>
    <w:rsid w:val="00FB16F6"/>
    <w:rsid w:val="00FB224B"/>
    <w:rsid w:val="00FB27C0"/>
    <w:rsid w:val="00FB2ECB"/>
    <w:rsid w:val="00FB406F"/>
    <w:rsid w:val="00FB546A"/>
    <w:rsid w:val="00FB5633"/>
    <w:rsid w:val="00FB6551"/>
    <w:rsid w:val="00FB76E4"/>
    <w:rsid w:val="00FB7C91"/>
    <w:rsid w:val="00FB7E01"/>
    <w:rsid w:val="00FC04A0"/>
    <w:rsid w:val="00FC1C3B"/>
    <w:rsid w:val="00FC273E"/>
    <w:rsid w:val="00FC286B"/>
    <w:rsid w:val="00FC3F6C"/>
    <w:rsid w:val="00FC41A1"/>
    <w:rsid w:val="00FC51DA"/>
    <w:rsid w:val="00FC5666"/>
    <w:rsid w:val="00FC59E2"/>
    <w:rsid w:val="00FC5C68"/>
    <w:rsid w:val="00FC5E20"/>
    <w:rsid w:val="00FC669C"/>
    <w:rsid w:val="00FC7AAE"/>
    <w:rsid w:val="00FC7BEA"/>
    <w:rsid w:val="00FD052F"/>
    <w:rsid w:val="00FD139B"/>
    <w:rsid w:val="00FD2836"/>
    <w:rsid w:val="00FD315B"/>
    <w:rsid w:val="00FD31DE"/>
    <w:rsid w:val="00FD33A2"/>
    <w:rsid w:val="00FD3655"/>
    <w:rsid w:val="00FD4403"/>
    <w:rsid w:val="00FD464D"/>
    <w:rsid w:val="00FD471D"/>
    <w:rsid w:val="00FD60B9"/>
    <w:rsid w:val="00FD6655"/>
    <w:rsid w:val="00FD6B10"/>
    <w:rsid w:val="00FD6CDA"/>
    <w:rsid w:val="00FD7792"/>
    <w:rsid w:val="00FD7846"/>
    <w:rsid w:val="00FE1416"/>
    <w:rsid w:val="00FE220E"/>
    <w:rsid w:val="00FE23F5"/>
    <w:rsid w:val="00FE2605"/>
    <w:rsid w:val="00FE2931"/>
    <w:rsid w:val="00FE2AA4"/>
    <w:rsid w:val="00FE329A"/>
    <w:rsid w:val="00FE3EFD"/>
    <w:rsid w:val="00FE45FF"/>
    <w:rsid w:val="00FE5031"/>
    <w:rsid w:val="00FE5045"/>
    <w:rsid w:val="00FE5425"/>
    <w:rsid w:val="00FE609A"/>
    <w:rsid w:val="00FE6247"/>
    <w:rsid w:val="00FE6B6D"/>
    <w:rsid w:val="00FE7C66"/>
    <w:rsid w:val="00FE7FB4"/>
    <w:rsid w:val="00FF07DD"/>
    <w:rsid w:val="00FF0A19"/>
    <w:rsid w:val="00FF0DF9"/>
    <w:rsid w:val="00FF199B"/>
    <w:rsid w:val="00FF2451"/>
    <w:rsid w:val="00FF2528"/>
    <w:rsid w:val="00FF36B8"/>
    <w:rsid w:val="00FF3FAD"/>
    <w:rsid w:val="00FF4EBF"/>
    <w:rsid w:val="00FF580F"/>
    <w:rsid w:val="00FF5B4E"/>
    <w:rsid w:val="00FF7119"/>
    <w:rsid w:val="00FF71F2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AC03"/>
  <w15:chartTrackingRefBased/>
  <w15:docId w15:val="{69CAD4E8-8A23-AA41-A0F9-D2BFDE51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th more space"/>
    <w:qFormat/>
    <w:rsid w:val="00900CE2"/>
    <w:pPr>
      <w:spacing w:before="240" w:after="24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8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0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0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059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059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F31A27"/>
    <w:pPr>
      <w:keepNext/>
      <w:spacing w:after="200" w:line="480" w:lineRule="auto"/>
    </w:pPr>
    <w:rPr>
      <w:rFonts w:ascii="Times New Roman" w:hAnsi="Times New Roman"/>
      <w:i/>
      <w:iCs/>
      <w:color w:val="0E2841" w:themeColor="text2"/>
      <w:kern w:val="0"/>
      <w:sz w:val="18"/>
      <w:szCs w:val="18"/>
      <w:lang w:val="de-DE"/>
      <w14:ligatures w14:val="none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5006D"/>
    <w:pPr>
      <w:autoSpaceDE w:val="0"/>
      <w:autoSpaceDN w:val="0"/>
      <w:adjustRightInd w:val="0"/>
      <w:spacing w:before="200" w:after="160"/>
      <w:ind w:right="864"/>
    </w:pPr>
    <w:rPr>
      <w:rFonts w:ascii="Times New Roman" w:hAnsi="Times New Roman" w:cs="Times New Roman"/>
      <w:i/>
      <w:iCs/>
      <w:color w:val="404040" w:themeColor="text1" w:themeTint="BF"/>
      <w:kern w:val="0"/>
    </w:rPr>
  </w:style>
  <w:style w:type="character" w:customStyle="1" w:styleId="CitationCar">
    <w:name w:val="Citation Car"/>
    <w:basedOn w:val="Policepardfaut"/>
    <w:link w:val="Citation"/>
    <w:uiPriority w:val="29"/>
    <w:rsid w:val="0025006D"/>
    <w:rPr>
      <w:rFonts w:ascii="Times New Roman" w:hAnsi="Times New Roman" w:cs="Times New Roman"/>
      <w:i/>
      <w:iCs/>
      <w:color w:val="404040" w:themeColor="text1" w:themeTint="BF"/>
      <w:kern w:val="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805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805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8059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8059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80599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805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80599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805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80599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8059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05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05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05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7805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05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0599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80599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C33E73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33E73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C33E73"/>
  </w:style>
  <w:style w:type="paragraph" w:customStyle="1" w:styleId="Default">
    <w:name w:val="Default"/>
    <w:link w:val="DefaultCar"/>
    <w:rsid w:val="00345D88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fr-FR"/>
    </w:rPr>
  </w:style>
  <w:style w:type="character" w:customStyle="1" w:styleId="DefaultCar">
    <w:name w:val="Default Car"/>
    <w:basedOn w:val="Policepardfaut"/>
    <w:link w:val="Default"/>
    <w:rsid w:val="00345D88"/>
    <w:rPr>
      <w:rFonts w:ascii="Times New Roman" w:hAnsi="Times New Roman" w:cs="Times New Roman"/>
      <w:color w:val="000000"/>
      <w:kern w:val="0"/>
      <w:lang w:val="fr-FR"/>
    </w:rPr>
  </w:style>
  <w:style w:type="character" w:styleId="Lienhypertexte">
    <w:name w:val="Hyperlink"/>
    <w:basedOn w:val="Policepardfaut"/>
    <w:uiPriority w:val="99"/>
    <w:unhideWhenUsed/>
    <w:rsid w:val="006E4607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8145E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38145E"/>
    <w:rPr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2167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678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16782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67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678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orah.philippe@unil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ilipp.censkowsky@unil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2037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Censkowsky</dc:creator>
  <cp:keywords/>
  <dc:description/>
  <cp:lastModifiedBy>Philipp Censkowsky</cp:lastModifiedBy>
  <cp:revision>1222</cp:revision>
  <dcterms:created xsi:type="dcterms:W3CDTF">2025-05-01T07:30:00Z</dcterms:created>
  <dcterms:modified xsi:type="dcterms:W3CDTF">2025-05-29T15:31:00Z</dcterms:modified>
</cp:coreProperties>
</file>