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11827"/>
          <w:sz w:val="60"/>
        </w:rPr>
        <w:t>CEREBRO HIVE</w:t>
      </w:r>
    </w:p>
    <w:p>
      <w:pPr>
        <w:jc w:val="center"/>
      </w:pPr>
      <w:r>
        <w:rPr>
          <w:b/>
          <w:color w:val="3B82F6"/>
          <w:sz w:val="34"/>
        </w:rPr>
        <w:t>PRIVATE LIMITED</w:t>
      </w:r>
    </w:p>
    <w:p>
      <w:pPr>
        <w:spacing w:before="240"/>
        <w:jc w:val="center"/>
      </w:pPr>
      <w:r>
        <w:rPr>
          <w:b/>
          <w:sz w:val="32"/>
        </w:rPr>
        <w:t>INCORPORATION &amp; FOUNDER PACK</w:t>
      </w:r>
    </w:p>
    <w:p>
      <w:pPr>
        <w:jc w:val="center"/>
      </w:pPr>
      <w:r>
        <w:rPr>
          <w:i/>
        </w:rPr>
        <w:t>Kerala, India  |  Enterprise AI Operating System</w:t>
      </w:r>
    </w:p>
    <w:p/>
    <w:tbl>
      <w:tblPr>
        <w:tblStyle w:val="TableGrid"/>
        <w:tblW w:type="auto" w:w="0"/>
        <w:jc w:val="center"/>
        <w:tblLook w:firstColumn="1" w:firstRow="1" w:lastColumn="0" w:lastRow="0" w:noHBand="0" w:noVBand="1" w:val="04A0"/>
      </w:tblPr>
      <w:tblGrid>
        <w:gridCol w:w="3360"/>
        <w:gridCol w:w="3360"/>
        <w:gridCol w:w="3360"/>
      </w:tblGrid>
      <w:tr>
        <w:trPr>
          <w:trHeight w:hRule="atLeast"/>
        </w:trPr>
        <w:tc>
          <w:tcPr>
            <w:tcW w:type="dxa" w:w="3360"/>
            <w:vAlign w:val="center"/>
            <w:shd w:fill="E8EEF7"/>
          </w:tcPr>
          <w:p>
            <w:r/>
            <w:r>
              <w:rPr>
                <w:rFonts w:ascii="Aptos" w:hAnsi="Aptos"/>
                <w:b/>
                <w:sz w:val="18"/>
              </w:rPr>
              <w:t>Founder</w:t>
            </w:r>
          </w:p>
        </w:tc>
        <w:tc>
          <w:tcPr>
            <w:tcW w:type="dxa" w:w="3360"/>
            <w:vAlign w:val="center"/>
            <w:shd w:fill="E8EEF7"/>
          </w:tcPr>
          <w:p>
            <w:r/>
            <w:r>
              <w:rPr>
                <w:rFonts w:ascii="Aptos" w:hAnsi="Aptos"/>
                <w:b/>
                <w:sz w:val="18"/>
              </w:rPr>
              <w:t>Proposed role</w:t>
            </w:r>
          </w:p>
        </w:tc>
        <w:tc>
          <w:tcPr>
            <w:tcW w:type="dxa" w:w="3360"/>
            <w:vAlign w:val="center"/>
            <w:shd w:fill="E8EEF7"/>
          </w:tcPr>
          <w:p>
            <w:r/>
            <w:r>
              <w:rPr>
                <w:rFonts w:ascii="Aptos" w:hAnsi="Aptos"/>
                <w:b/>
                <w:sz w:val="18"/>
              </w:rPr>
              <w:t>Equity</w:t>
            </w:r>
          </w:p>
        </w:tc>
      </w:tr>
      <w:tr>
        <w:trPr>
          <w:trHeight w:hRule="atLeast"/>
        </w:trPr>
        <w:tc>
          <w:tcPr>
            <w:tcW w:type="dxa" w:w="3360"/>
            <w:vAlign w:val="center"/>
          </w:tcPr>
          <w:p>
            <w:r/>
            <w:r>
              <w:rPr>
                <w:rFonts w:ascii="Aptos" w:hAnsi="Aptos"/>
                <w:b w:val="0"/>
                <w:sz w:val="18"/>
              </w:rPr>
              <w:t>Philemon V Nath</w:t>
            </w:r>
          </w:p>
        </w:tc>
        <w:tc>
          <w:tcPr>
            <w:tcW w:type="dxa" w:w="3360"/>
            <w:vAlign w:val="center"/>
          </w:tcPr>
          <w:p>
            <w:r/>
            <w:r>
              <w:rPr>
                <w:rFonts w:ascii="Aptos" w:hAnsi="Aptos"/>
                <w:b w:val="0"/>
                <w:sz w:val="18"/>
              </w:rPr>
              <w:t>Founder / Director</w:t>
            </w:r>
          </w:p>
        </w:tc>
        <w:tc>
          <w:tcPr>
            <w:tcW w:type="dxa" w:w="3360"/>
            <w:vAlign w:val="center"/>
          </w:tcPr>
          <w:p>
            <w:r/>
            <w:r>
              <w:rPr>
                <w:rFonts w:ascii="Aptos" w:hAnsi="Aptos"/>
                <w:b w:val="0"/>
                <w:sz w:val="18"/>
              </w:rPr>
              <w:t>90%</w:t>
            </w:r>
          </w:p>
        </w:tc>
      </w:tr>
      <w:tr>
        <w:trPr>
          <w:trHeight w:hRule="atLeast"/>
        </w:trPr>
        <w:tc>
          <w:tcPr>
            <w:tcW w:type="dxa" w:w="3360"/>
            <w:vAlign w:val="center"/>
          </w:tcPr>
          <w:p>
            <w:r/>
            <w:r>
              <w:rPr>
                <w:rFonts w:ascii="Aptos" w:hAnsi="Aptos"/>
                <w:b w:val="0"/>
                <w:sz w:val="18"/>
              </w:rPr>
              <w:t>Surabhi Gaigole</w:t>
            </w:r>
          </w:p>
        </w:tc>
        <w:tc>
          <w:tcPr>
            <w:tcW w:type="dxa" w:w="3360"/>
            <w:vAlign w:val="center"/>
          </w:tcPr>
          <w:p>
            <w:r/>
            <w:r>
              <w:rPr>
                <w:rFonts w:ascii="Aptos" w:hAnsi="Aptos"/>
                <w:b w:val="0"/>
                <w:sz w:val="18"/>
              </w:rPr>
              <w:t>Co-Founder / Director</w:t>
            </w:r>
          </w:p>
        </w:tc>
        <w:tc>
          <w:tcPr>
            <w:tcW w:type="dxa" w:w="3360"/>
            <w:vAlign w:val="center"/>
          </w:tcPr>
          <w:p>
            <w:r/>
            <w:r>
              <w:rPr>
                <w:rFonts w:ascii="Aptos" w:hAnsi="Aptos"/>
                <w:b w:val="0"/>
                <w:sz w:val="18"/>
              </w:rPr>
              <w:t>10%</w:t>
            </w:r>
          </w:p>
        </w:tc>
      </w:tr>
    </w:tbl>
    <w:p/>
    <w:p>
      <w:pPr>
        <w:pStyle w:val="SmallNote"/>
        <w:jc w:val="center"/>
      </w:pPr>
      <w:r>
        <w:t>Prepared as a planning and professional-review document, not as filed legal advice or a substitute for MCA/ROC professional certification.</w:t>
      </w:r>
    </w:p>
    <w:p>
      <w:r>
        <w:br w:type="page"/>
      </w:r>
    </w:p>
    <w:p>
      <w:pPr>
        <w:pStyle w:val="Heading1"/>
      </w:pPr>
      <w:r>
        <w:t>1. Executive incorporation profile</w:t>
      </w:r>
    </w:p>
    <w:tbl>
      <w:tblPr>
        <w:tblStyle w:val="TableGrid"/>
        <w:tblW w:type="auto" w:w="0"/>
        <w:jc w:val="center"/>
        <w:tblLook w:firstColumn="1" w:firstRow="1" w:lastColumn="0" w:lastRow="0" w:noHBand="0" w:noVBand="1" w:val="04A0"/>
      </w:tblPr>
      <w:tblGrid>
        <w:gridCol w:w="5040"/>
        <w:gridCol w:w="5040"/>
      </w:tblGrid>
      <w:tr>
        <w:trPr>
          <w:trHeight w:hRule="atLeast"/>
        </w:trPr>
        <w:tc>
          <w:tcPr>
            <w:tcW w:type="dxa" w:w="5040"/>
            <w:vAlign w:val="center"/>
            <w:shd w:fill="E8EEF7"/>
          </w:tcPr>
          <w:p>
            <w:r/>
            <w:r>
              <w:rPr>
                <w:rFonts w:ascii="Aptos" w:hAnsi="Aptos"/>
                <w:b/>
                <w:sz w:val="18"/>
              </w:rPr>
              <w:t>Item</w:t>
            </w:r>
          </w:p>
        </w:tc>
        <w:tc>
          <w:tcPr>
            <w:tcW w:type="dxa" w:w="5040"/>
            <w:vAlign w:val="center"/>
            <w:shd w:fill="E8EEF7"/>
          </w:tcPr>
          <w:p>
            <w:r/>
            <w:r>
              <w:rPr>
                <w:rFonts w:ascii="Aptos" w:hAnsi="Aptos"/>
                <w:b/>
                <w:sz w:val="18"/>
              </w:rPr>
              <w:t>Proposed position</w:t>
            </w:r>
          </w:p>
        </w:tc>
      </w:tr>
      <w:tr>
        <w:trPr>
          <w:trHeight w:hRule="atLeast"/>
        </w:trPr>
        <w:tc>
          <w:tcPr>
            <w:tcW w:type="dxa" w:w="5040"/>
            <w:vAlign w:val="center"/>
          </w:tcPr>
          <w:p>
            <w:r/>
            <w:r>
              <w:rPr>
                <w:rFonts w:ascii="Aptos" w:hAnsi="Aptos"/>
                <w:b w:val="0"/>
                <w:sz w:val="18"/>
              </w:rPr>
              <w:t>Legal name</w:t>
            </w:r>
          </w:p>
        </w:tc>
        <w:tc>
          <w:tcPr>
            <w:tcW w:type="dxa" w:w="5040"/>
            <w:vAlign w:val="center"/>
          </w:tcPr>
          <w:p>
            <w:r/>
            <w:r>
              <w:rPr>
                <w:rFonts w:ascii="Aptos" w:hAnsi="Aptos"/>
                <w:b w:val="0"/>
                <w:sz w:val="18"/>
              </w:rPr>
              <w:t>Cerebro Hive Private Limited (subject to MCA name approval)</w:t>
            </w:r>
          </w:p>
        </w:tc>
      </w:tr>
      <w:tr>
        <w:trPr>
          <w:trHeight w:hRule="atLeast"/>
        </w:trPr>
        <w:tc>
          <w:tcPr>
            <w:tcW w:type="dxa" w:w="5040"/>
            <w:vAlign w:val="center"/>
          </w:tcPr>
          <w:p>
            <w:r/>
            <w:r>
              <w:rPr>
                <w:rFonts w:ascii="Aptos" w:hAnsi="Aptos"/>
                <w:b w:val="0"/>
                <w:sz w:val="18"/>
              </w:rPr>
              <w:t>Company form</w:t>
            </w:r>
          </w:p>
        </w:tc>
        <w:tc>
          <w:tcPr>
            <w:tcW w:type="dxa" w:w="5040"/>
            <w:vAlign w:val="center"/>
          </w:tcPr>
          <w:p>
            <w:r/>
            <w:r>
              <w:rPr>
                <w:rFonts w:ascii="Aptos" w:hAnsi="Aptos"/>
                <w:b w:val="0"/>
                <w:sz w:val="18"/>
              </w:rPr>
              <w:t>Private company limited by shares</w:t>
            </w:r>
          </w:p>
        </w:tc>
      </w:tr>
      <w:tr>
        <w:trPr>
          <w:trHeight w:hRule="atLeast"/>
        </w:trPr>
        <w:tc>
          <w:tcPr>
            <w:tcW w:type="dxa" w:w="5040"/>
            <w:vAlign w:val="center"/>
          </w:tcPr>
          <w:p>
            <w:r/>
            <w:r>
              <w:rPr>
                <w:rFonts w:ascii="Aptos" w:hAnsi="Aptos"/>
                <w:b w:val="0"/>
                <w:sz w:val="18"/>
              </w:rPr>
              <w:t>Registered state</w:t>
            </w:r>
          </w:p>
        </w:tc>
        <w:tc>
          <w:tcPr>
            <w:tcW w:type="dxa" w:w="5040"/>
            <w:vAlign w:val="center"/>
          </w:tcPr>
          <w:p>
            <w:r/>
            <w:r>
              <w:rPr>
                <w:rFonts w:ascii="Aptos" w:hAnsi="Aptos"/>
                <w:b w:val="0"/>
                <w:sz w:val="18"/>
              </w:rPr>
              <w:t>Kerala, India</w:t>
            </w:r>
          </w:p>
        </w:tc>
      </w:tr>
      <w:tr>
        <w:trPr>
          <w:trHeight w:hRule="atLeast"/>
        </w:trPr>
        <w:tc>
          <w:tcPr>
            <w:tcW w:type="dxa" w:w="5040"/>
            <w:vAlign w:val="center"/>
          </w:tcPr>
          <w:p>
            <w:r/>
            <w:r>
              <w:rPr>
                <w:rFonts w:ascii="Aptos" w:hAnsi="Aptos"/>
                <w:b w:val="0"/>
                <w:sz w:val="18"/>
              </w:rPr>
              <w:t>Core business</w:t>
            </w:r>
          </w:p>
        </w:tc>
        <w:tc>
          <w:tcPr>
            <w:tcW w:type="dxa" w:w="5040"/>
            <w:vAlign w:val="center"/>
          </w:tcPr>
          <w:p>
            <w:r/>
            <w:r>
              <w:rPr>
                <w:rFonts w:ascii="Aptos" w:hAnsi="Aptos"/>
                <w:b w:val="0"/>
                <w:sz w:val="18"/>
              </w:rPr>
              <w:t>Enterprise AI Operating System / enterprise AI software and services</w:t>
            </w:r>
          </w:p>
        </w:tc>
      </w:tr>
      <w:tr>
        <w:trPr>
          <w:trHeight w:hRule="atLeast"/>
        </w:trPr>
        <w:tc>
          <w:tcPr>
            <w:tcW w:type="dxa" w:w="5040"/>
            <w:vAlign w:val="center"/>
          </w:tcPr>
          <w:p>
            <w:r/>
            <w:r>
              <w:rPr>
                <w:rFonts w:ascii="Aptos" w:hAnsi="Aptos"/>
                <w:b w:val="0"/>
                <w:sz w:val="18"/>
              </w:rPr>
              <w:t>Founders / subscribers</w:t>
            </w:r>
          </w:p>
        </w:tc>
        <w:tc>
          <w:tcPr>
            <w:tcW w:type="dxa" w:w="5040"/>
            <w:vAlign w:val="center"/>
          </w:tcPr>
          <w:p>
            <w:r/>
            <w:r>
              <w:rPr>
                <w:rFonts w:ascii="Aptos" w:hAnsi="Aptos"/>
                <w:b w:val="0"/>
                <w:sz w:val="18"/>
              </w:rPr>
              <w:t>Philemon V Nath; Surabhi Gaigole</w:t>
            </w:r>
          </w:p>
        </w:tc>
      </w:tr>
      <w:tr>
        <w:trPr>
          <w:trHeight w:hRule="atLeast"/>
        </w:trPr>
        <w:tc>
          <w:tcPr>
            <w:tcW w:type="dxa" w:w="5040"/>
            <w:vAlign w:val="center"/>
          </w:tcPr>
          <w:p>
            <w:r/>
            <w:r>
              <w:rPr>
                <w:rFonts w:ascii="Aptos" w:hAnsi="Aptos"/>
                <w:b w:val="0"/>
                <w:sz w:val="18"/>
              </w:rPr>
              <w:t>Proposed first directors</w:t>
            </w:r>
          </w:p>
        </w:tc>
        <w:tc>
          <w:tcPr>
            <w:tcW w:type="dxa" w:w="5040"/>
            <w:vAlign w:val="center"/>
          </w:tcPr>
          <w:p>
            <w:r/>
            <w:r>
              <w:rPr>
                <w:rFonts w:ascii="Aptos" w:hAnsi="Aptos"/>
                <w:b w:val="0"/>
                <w:sz w:val="18"/>
              </w:rPr>
              <w:t>Philemon V Nath; Surabhi Gaigole</w:t>
            </w:r>
          </w:p>
        </w:tc>
      </w:tr>
      <w:tr>
        <w:trPr>
          <w:trHeight w:hRule="atLeast"/>
        </w:trPr>
        <w:tc>
          <w:tcPr>
            <w:tcW w:type="dxa" w:w="5040"/>
            <w:vAlign w:val="center"/>
          </w:tcPr>
          <w:p>
            <w:r/>
            <w:r>
              <w:rPr>
                <w:rFonts w:ascii="Aptos" w:hAnsi="Aptos"/>
                <w:b w:val="0"/>
                <w:sz w:val="18"/>
              </w:rPr>
              <w:t>Initial ownership</w:t>
            </w:r>
          </w:p>
        </w:tc>
        <w:tc>
          <w:tcPr>
            <w:tcW w:type="dxa" w:w="5040"/>
            <w:vAlign w:val="center"/>
          </w:tcPr>
          <w:p>
            <w:r/>
            <w:r>
              <w:rPr>
                <w:rFonts w:ascii="Aptos" w:hAnsi="Aptos"/>
                <w:b w:val="0"/>
                <w:sz w:val="18"/>
              </w:rPr>
              <w:t>90% / 10%</w:t>
            </w:r>
          </w:p>
        </w:tc>
      </w:tr>
      <w:tr>
        <w:trPr>
          <w:trHeight w:hRule="atLeast"/>
        </w:trPr>
        <w:tc>
          <w:tcPr>
            <w:tcW w:type="dxa" w:w="5040"/>
            <w:vAlign w:val="center"/>
          </w:tcPr>
          <w:p>
            <w:r/>
            <w:r>
              <w:rPr>
                <w:rFonts w:ascii="Aptos" w:hAnsi="Aptos"/>
                <w:b w:val="0"/>
                <w:sz w:val="18"/>
              </w:rPr>
              <w:t>Suggested authorized capital</w:t>
            </w:r>
          </w:p>
        </w:tc>
        <w:tc>
          <w:tcPr>
            <w:tcW w:type="dxa" w:w="5040"/>
            <w:vAlign w:val="center"/>
          </w:tcPr>
          <w:p>
            <w:r/>
            <w:r>
              <w:rPr>
                <w:rFonts w:ascii="Aptos" w:hAnsi="Aptos"/>
                <w:b w:val="0"/>
                <w:sz w:val="18"/>
              </w:rPr>
              <w:t>₹10,00,000 divided into 1,00,000 equity shares of ₹10 each</w:t>
            </w:r>
          </w:p>
        </w:tc>
      </w:tr>
      <w:tr>
        <w:trPr>
          <w:trHeight w:hRule="atLeast"/>
        </w:trPr>
        <w:tc>
          <w:tcPr>
            <w:tcW w:type="dxa" w:w="5040"/>
            <w:vAlign w:val="center"/>
          </w:tcPr>
          <w:p>
            <w:r/>
            <w:r>
              <w:rPr>
                <w:rFonts w:ascii="Aptos" w:hAnsi="Aptos"/>
                <w:b w:val="0"/>
                <w:sz w:val="18"/>
              </w:rPr>
              <w:t>Suggested initial subscribed capital</w:t>
            </w:r>
          </w:p>
        </w:tc>
        <w:tc>
          <w:tcPr>
            <w:tcW w:type="dxa" w:w="5040"/>
            <w:vAlign w:val="center"/>
          </w:tcPr>
          <w:p>
            <w:r/>
            <w:r>
              <w:rPr>
                <w:rFonts w:ascii="Aptos" w:hAnsi="Aptos"/>
                <w:b w:val="0"/>
                <w:sz w:val="18"/>
              </w:rPr>
              <w:t>₹1,00,000 divided into 10,000 equity shares of ₹10 each</w:t>
            </w:r>
          </w:p>
        </w:tc>
      </w:tr>
      <w:tr>
        <w:trPr>
          <w:trHeight w:hRule="atLeast"/>
        </w:trPr>
        <w:tc>
          <w:tcPr>
            <w:tcW w:type="dxa" w:w="5040"/>
            <w:vAlign w:val="center"/>
          </w:tcPr>
          <w:p>
            <w:r/>
            <w:r>
              <w:rPr>
                <w:rFonts w:ascii="Aptos" w:hAnsi="Aptos"/>
                <w:b w:val="0"/>
                <w:sz w:val="18"/>
              </w:rPr>
              <w:t>Primary IP owner after setup</w:t>
            </w:r>
          </w:p>
        </w:tc>
        <w:tc>
          <w:tcPr>
            <w:tcW w:type="dxa" w:w="5040"/>
            <w:vAlign w:val="center"/>
          </w:tcPr>
          <w:p>
            <w:r/>
            <w:r>
              <w:rPr>
                <w:rFonts w:ascii="Aptos" w:hAnsi="Aptos"/>
                <w:b w:val="0"/>
                <w:sz w:val="18"/>
              </w:rPr>
              <w:t>Cerebro Hive Private Limited</w:t>
            </w:r>
          </w:p>
        </w:tc>
      </w:tr>
    </w:tbl>
    <w:p/>
    <w:p>
      <w:pPr>
        <w:pStyle w:val="Heading1"/>
      </w:pPr>
      <w:r>
        <w:t>2. Capitalization table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rHeight w:hRule="atLeast"/>
        </w:trPr>
        <w:tc>
          <w:tcPr>
            <w:tcW w:type="dxa" w:w="2016"/>
            <w:vAlign w:val="center"/>
            <w:shd w:fill="E8EEF7"/>
          </w:tcPr>
          <w:p>
            <w:r/>
            <w:r>
              <w:rPr>
                <w:rFonts w:ascii="Aptos" w:hAnsi="Aptos"/>
                <w:b/>
                <w:sz w:val="18"/>
              </w:rPr>
              <w:t>Shareholder</w:t>
            </w:r>
          </w:p>
        </w:tc>
        <w:tc>
          <w:tcPr>
            <w:tcW w:type="dxa" w:w="2016"/>
            <w:vAlign w:val="center"/>
            <w:shd w:fill="E8EEF7"/>
          </w:tcPr>
          <w:p>
            <w:r/>
            <w:r>
              <w:rPr>
                <w:rFonts w:ascii="Aptos" w:hAnsi="Aptos"/>
                <w:b/>
                <w:sz w:val="18"/>
              </w:rPr>
              <w:t>Shares</w:t>
            </w:r>
          </w:p>
        </w:tc>
        <w:tc>
          <w:tcPr>
            <w:tcW w:type="dxa" w:w="2016"/>
            <w:vAlign w:val="center"/>
            <w:shd w:fill="E8EEF7"/>
          </w:tcPr>
          <w:p>
            <w:r/>
            <w:r>
              <w:rPr>
                <w:rFonts w:ascii="Aptos" w:hAnsi="Aptos"/>
                <w:b/>
                <w:sz w:val="18"/>
              </w:rPr>
              <w:t>Face value</w:t>
            </w:r>
          </w:p>
        </w:tc>
        <w:tc>
          <w:tcPr>
            <w:tcW w:type="dxa" w:w="2016"/>
            <w:vAlign w:val="center"/>
            <w:shd w:fill="E8EEF7"/>
          </w:tcPr>
          <w:p>
            <w:r/>
            <w:r>
              <w:rPr>
                <w:rFonts w:ascii="Aptos" w:hAnsi="Aptos"/>
                <w:b/>
                <w:sz w:val="18"/>
              </w:rPr>
              <w:t>Subscription</w:t>
            </w:r>
          </w:p>
        </w:tc>
        <w:tc>
          <w:tcPr>
            <w:tcW w:type="dxa" w:w="2016"/>
            <w:vAlign w:val="center"/>
            <w:shd w:fill="E8EEF7"/>
          </w:tcPr>
          <w:p>
            <w:r/>
            <w:r>
              <w:rPr>
                <w:rFonts w:ascii="Aptos" w:hAnsi="Aptos"/>
                <w:b/>
                <w:sz w:val="18"/>
              </w:rPr>
              <w:t>Ownership</w:t>
            </w:r>
          </w:p>
        </w:tc>
      </w:tr>
      <w:tr>
        <w:trPr>
          <w:trHeight w:hRule="atLeast"/>
        </w:trPr>
        <w:tc>
          <w:tcPr>
            <w:tcW w:type="dxa" w:w="2016"/>
            <w:vAlign w:val="center"/>
          </w:tcPr>
          <w:p>
            <w:r/>
            <w:r>
              <w:rPr>
                <w:rFonts w:ascii="Aptos" w:hAnsi="Aptos"/>
                <w:b w:val="0"/>
                <w:sz w:val="18"/>
              </w:rPr>
              <w:t>Philemon V Nath</w:t>
            </w:r>
          </w:p>
        </w:tc>
        <w:tc>
          <w:tcPr>
            <w:tcW w:type="dxa" w:w="2016"/>
            <w:vAlign w:val="center"/>
          </w:tcPr>
          <w:p>
            <w:r/>
            <w:r>
              <w:rPr>
                <w:rFonts w:ascii="Aptos" w:hAnsi="Aptos"/>
                <w:b w:val="0"/>
                <w:sz w:val="18"/>
              </w:rPr>
              <w:t>9,000</w:t>
            </w:r>
          </w:p>
        </w:tc>
        <w:tc>
          <w:tcPr>
            <w:tcW w:type="dxa" w:w="2016"/>
            <w:vAlign w:val="center"/>
          </w:tcPr>
          <w:p>
            <w:r/>
            <w:r>
              <w:rPr>
                <w:rFonts w:ascii="Aptos" w:hAnsi="Aptos"/>
                <w:b w:val="0"/>
                <w:sz w:val="18"/>
              </w:rPr>
              <w:t>₹10</w:t>
            </w:r>
          </w:p>
        </w:tc>
        <w:tc>
          <w:tcPr>
            <w:tcW w:type="dxa" w:w="2016"/>
            <w:vAlign w:val="center"/>
          </w:tcPr>
          <w:p>
            <w:r/>
            <w:r>
              <w:rPr>
                <w:rFonts w:ascii="Aptos" w:hAnsi="Aptos"/>
                <w:b w:val="0"/>
                <w:sz w:val="18"/>
              </w:rPr>
              <w:t>₹90,000</w:t>
            </w:r>
          </w:p>
        </w:tc>
        <w:tc>
          <w:tcPr>
            <w:tcW w:type="dxa" w:w="2016"/>
            <w:vAlign w:val="center"/>
          </w:tcPr>
          <w:p>
            <w:r/>
            <w:r>
              <w:rPr>
                <w:rFonts w:ascii="Aptos" w:hAnsi="Aptos"/>
                <w:b w:val="0"/>
                <w:sz w:val="18"/>
              </w:rPr>
              <w:t>90%</w:t>
            </w:r>
          </w:p>
        </w:tc>
      </w:tr>
      <w:tr>
        <w:trPr>
          <w:trHeight w:hRule="atLeast"/>
        </w:trPr>
        <w:tc>
          <w:tcPr>
            <w:tcW w:type="dxa" w:w="2016"/>
            <w:vAlign w:val="center"/>
          </w:tcPr>
          <w:p>
            <w:r/>
            <w:r>
              <w:rPr>
                <w:rFonts w:ascii="Aptos" w:hAnsi="Aptos"/>
                <w:b w:val="0"/>
                <w:sz w:val="18"/>
              </w:rPr>
              <w:t>Surabhi Gaigole</w:t>
            </w:r>
          </w:p>
        </w:tc>
        <w:tc>
          <w:tcPr>
            <w:tcW w:type="dxa" w:w="2016"/>
            <w:vAlign w:val="center"/>
          </w:tcPr>
          <w:p>
            <w:r/>
            <w:r>
              <w:rPr>
                <w:rFonts w:ascii="Aptos" w:hAnsi="Aptos"/>
                <w:b w:val="0"/>
                <w:sz w:val="18"/>
              </w:rPr>
              <w:t>1,000</w:t>
            </w:r>
          </w:p>
        </w:tc>
        <w:tc>
          <w:tcPr>
            <w:tcW w:type="dxa" w:w="2016"/>
            <w:vAlign w:val="center"/>
          </w:tcPr>
          <w:p>
            <w:r/>
            <w:r>
              <w:rPr>
                <w:rFonts w:ascii="Aptos" w:hAnsi="Aptos"/>
                <w:b w:val="0"/>
                <w:sz w:val="18"/>
              </w:rPr>
              <w:t>₹10</w:t>
            </w:r>
          </w:p>
        </w:tc>
        <w:tc>
          <w:tcPr>
            <w:tcW w:type="dxa" w:w="2016"/>
            <w:vAlign w:val="center"/>
          </w:tcPr>
          <w:p>
            <w:r/>
            <w:r>
              <w:rPr>
                <w:rFonts w:ascii="Aptos" w:hAnsi="Aptos"/>
                <w:b w:val="0"/>
                <w:sz w:val="18"/>
              </w:rPr>
              <w:t>₹10,000</w:t>
            </w:r>
          </w:p>
        </w:tc>
        <w:tc>
          <w:tcPr>
            <w:tcW w:type="dxa" w:w="2016"/>
            <w:vAlign w:val="center"/>
          </w:tcPr>
          <w:p>
            <w:r/>
            <w:r>
              <w:rPr>
                <w:rFonts w:ascii="Aptos" w:hAnsi="Aptos"/>
                <w:b w:val="0"/>
                <w:sz w:val="18"/>
              </w:rPr>
              <w:t>10%</w:t>
            </w:r>
          </w:p>
        </w:tc>
      </w:tr>
      <w:tr>
        <w:trPr>
          <w:trHeight w:hRule="atLeast"/>
        </w:trPr>
        <w:tc>
          <w:tcPr>
            <w:tcW w:type="dxa" w:w="2016"/>
            <w:vAlign w:val="center"/>
          </w:tcPr>
          <w:p>
            <w:r/>
            <w:r>
              <w:rPr>
                <w:rFonts w:ascii="Aptos" w:hAnsi="Aptos"/>
                <w:b w:val="0"/>
                <w:sz w:val="18"/>
              </w:rPr>
              <w:t>TOTAL</w:t>
            </w:r>
          </w:p>
        </w:tc>
        <w:tc>
          <w:tcPr>
            <w:tcW w:type="dxa" w:w="2016"/>
            <w:vAlign w:val="center"/>
          </w:tcPr>
          <w:p>
            <w:r/>
            <w:r>
              <w:rPr>
                <w:rFonts w:ascii="Aptos" w:hAnsi="Aptos"/>
                <w:b w:val="0"/>
                <w:sz w:val="18"/>
              </w:rPr>
              <w:t>10,000</w:t>
            </w:r>
          </w:p>
        </w:tc>
        <w:tc>
          <w:tcPr>
            <w:tcW w:type="dxa" w:w="2016"/>
            <w:vAlign w:val="center"/>
          </w:tcPr>
          <w:p>
            <w:r/>
            <w:r>
              <w:rPr>
                <w:rFonts w:ascii="Aptos" w:hAnsi="Aptos"/>
                <w:b w:val="0"/>
                <w:sz w:val="18"/>
              </w:rPr>
              <w:t>₹10</w:t>
            </w:r>
          </w:p>
        </w:tc>
        <w:tc>
          <w:tcPr>
            <w:tcW w:type="dxa" w:w="2016"/>
            <w:vAlign w:val="center"/>
          </w:tcPr>
          <w:p>
            <w:r/>
            <w:r>
              <w:rPr>
                <w:rFonts w:ascii="Aptos" w:hAnsi="Aptos"/>
                <w:b w:val="0"/>
                <w:sz w:val="18"/>
              </w:rPr>
              <w:t>₹1,00,000</w:t>
            </w:r>
          </w:p>
        </w:tc>
        <w:tc>
          <w:tcPr>
            <w:tcW w:type="dxa" w:w="2016"/>
            <w:vAlign w:val="center"/>
          </w:tcPr>
          <w:p>
            <w:r/>
            <w:r>
              <w:rPr>
                <w:rFonts w:ascii="Aptos" w:hAnsi="Aptos"/>
                <w:b w:val="0"/>
                <w:sz w:val="18"/>
              </w:rPr>
              <w:t>100%</w:t>
            </w:r>
          </w:p>
        </w:tc>
      </w:tr>
    </w:tbl>
    <w:p/>
    <w:p>
      <w:r>
        <w:t>Unissued authorized headroom under the suggested structure: 90,000 equity shares. Any future issue must follow the Companies Act, the Articles, shareholder arrangements and applicable valuation/pricing rules. Future issuances can dilute existing percentages.</w:t>
      </w:r>
    </w:p>
    <w:p>
      <w:pPr>
        <w:pStyle w:val="Heading1"/>
      </w:pPr>
      <w:r>
        <w:t>3. Business description</w:t>
      </w:r>
    </w:p>
    <w:p>
      <w:r>
        <w:t>Cerebro Hive is an enterprise artificial intelligence software company developing an Enterprise AI Operating System that enables organizations to build, deploy, orchestrate, automate, secure, govern and operate AI agents, models, applications, enterprise data and AI-powered business workflows.</w:t>
      </w:r>
    </w:p>
    <w:p>
      <w:pPr>
        <w:pStyle w:val="Heading1"/>
      </w:pPr>
      <w:r>
        <w:t>4. Proposed MOA main object - working draft</w:t>
      </w:r>
    </w:p>
    <w:p>
      <w:pPr>
        <w:spacing w:before="100" w:after="160"/>
        <w:ind w:left="360" w:right="360"/>
      </w:pPr>
      <w:r>
        <w:rPr>
          <w:i/>
        </w:rPr>
        <w:t>To carry on the business of designing, developing, researching, engineering, creating, owning, operating, hosting, licensing, implementing, integrating, maintaining, distributing and commercializing enterprise software, artificial intelligence platforms, software-as-a-service products, cloud computing technologies and related applications, systems and infrastructure, including artificial intelligence agents, autonomous and semi-autonomous agents, multi-agent systems, machine learning systems, generative artificial intelligence, large language model technologies, enterprise automation and workflow orchestration, data and knowledge management, retrieval-augmented generation, knowledge graphs, enterprise search and analytics, artificial intelligence model management and operations, artificial intelligence security, governance, monitoring, risk and compliance technologies, and to provide consulting, engineering, implementation, integration, managed, operational, training and support services in connection therewith.</w:t>
      </w:r>
    </w:p>
    <w:p>
      <w:pPr>
        <w:pStyle w:val="Heading1"/>
      </w:pPr>
      <w:r>
        <w:t>5. Supporting object areas for professional drafting</w:t>
      </w:r>
    </w:p>
    <w:p>
      <w:pPr>
        <w:pStyle w:val="ListBullet"/>
        <w:spacing w:after="40"/>
      </w:pPr>
      <w:r>
        <w:t>AI agents and orchestration: agent builders, autonomous/semi-autonomous agents, multi-agent systems, agent runtime, workflow orchestration and intelligent assistants.</w:t>
      </w:r>
    </w:p>
    <w:p>
      <w:pPr>
        <w:pStyle w:val="ListBullet"/>
        <w:spacing w:after="40"/>
      </w:pPr>
      <w:r>
        <w:t>Enterprise automation: business-process automation, digital workflows, integrations and decision-support systems.</w:t>
      </w:r>
    </w:p>
    <w:p>
      <w:pPr>
        <w:pStyle w:val="ListBullet"/>
        <w:spacing w:after="40"/>
      </w:pPr>
      <w:r>
        <w:t>Enterprise data and knowledge: RAG, vector retrieval, databases, knowledge graphs, semantic/enterprise search, data engineering, analytics and knowledge management.</w:t>
      </w:r>
    </w:p>
    <w:p>
      <w:pPr>
        <w:pStyle w:val="ListBullet"/>
        <w:spacing w:after="40"/>
      </w:pPr>
      <w:r>
        <w:t>AI applications: CRM, ERP, HR, finance, sales, marketing, research, procurement, customer service, supply chain and operations.</w:t>
      </w:r>
    </w:p>
    <w:p>
      <w:pPr>
        <w:pStyle w:val="ListBullet"/>
        <w:spacing w:after="40"/>
      </w:pPr>
      <w:r>
        <w:t>AI operations: model training/fine-tuning, deployment, inference, testing, evaluation, observability, monitoring and lifecycle management, including AgentOps, MLOps and LLMOps.</w:t>
      </w:r>
    </w:p>
    <w:p>
      <w:pPr>
        <w:pStyle w:val="ListBullet"/>
        <w:spacing w:after="40"/>
      </w:pPr>
      <w:r>
        <w:t>Security and governance: identity/access management, authentication, authorization, cybersecurity, privacy, data protection, AI governance, policy, auditability, compliance, risk and zero-trust architectures.</w:t>
      </w:r>
    </w:p>
    <w:p>
      <w:pPr>
        <w:pStyle w:val="ListBullet"/>
        <w:spacing w:after="40"/>
      </w:pPr>
      <w:r>
        <w:t>Professional and managed services: AI strategy, advisory, engineering, implementation, integration, migration, customization, training, technical support and ongoing managed AI operations.</w:t>
      </w:r>
    </w:p>
    <w:p>
      <w:pPr>
        <w:pStyle w:val="Heading1"/>
      </w:pPr>
      <w:r>
        <w:t>6. Principal activity / NIC classification</w:t>
      </w:r>
    </w:p>
    <w:p>
      <w:r>
        <w:t>Position the principal activity as software / computer programming / information-technology development rather than as general management consultancy, unless the actual revenue model at incorporation is primarily consulting. The practising professional should select and confirm the exact current industrial activity / NIC code in the MCA filing interface at the time of submission.</w:t>
      </w:r>
    </w:p>
    <w:p>
      <w:r>
        <w:br w:type="page"/>
      </w:r>
    </w:p>
    <w:p>
      <w:pPr>
        <w:pStyle w:val="Heading1"/>
      </w:pPr>
      <w:r>
        <w:t>7. Founder and director document checklist</w:t>
      </w:r>
    </w:p>
    <w:tbl>
      <w:tblPr>
        <w:tblStyle w:val="TableGrid"/>
        <w:tblW w:type="auto" w:w="0"/>
        <w:jc w:val="center"/>
        <w:tblLook w:firstColumn="1" w:firstRow="1" w:lastColumn="0" w:lastRow="0" w:noHBand="0" w:noVBand="1" w:val="04A0"/>
      </w:tblPr>
      <w:tblGrid>
        <w:gridCol w:w="3360"/>
        <w:gridCol w:w="3360"/>
        <w:gridCol w:w="3360"/>
      </w:tblGrid>
      <w:tr>
        <w:trPr>
          <w:trHeight w:hRule="atLeast"/>
        </w:trPr>
        <w:tc>
          <w:tcPr>
            <w:tcW w:type="dxa" w:w="3360"/>
            <w:vAlign w:val="center"/>
            <w:shd w:fill="E8EEF7"/>
          </w:tcPr>
          <w:p>
            <w:r/>
            <w:r>
              <w:rPr>
                <w:rFonts w:ascii="Aptos" w:hAnsi="Aptos"/>
                <w:b/>
                <w:sz w:val="18"/>
              </w:rPr>
              <w:t>Document / detail</w:t>
            </w:r>
          </w:p>
        </w:tc>
        <w:tc>
          <w:tcPr>
            <w:tcW w:type="dxa" w:w="3360"/>
            <w:vAlign w:val="center"/>
            <w:shd w:fill="E8EEF7"/>
          </w:tcPr>
          <w:p>
            <w:r/>
            <w:r>
              <w:rPr>
                <w:rFonts w:ascii="Aptos" w:hAnsi="Aptos"/>
                <w:b/>
                <w:sz w:val="18"/>
              </w:rPr>
              <w:t>Philemon V Nath</w:t>
            </w:r>
          </w:p>
        </w:tc>
        <w:tc>
          <w:tcPr>
            <w:tcW w:type="dxa" w:w="3360"/>
            <w:vAlign w:val="center"/>
            <w:shd w:fill="E8EEF7"/>
          </w:tcPr>
          <w:p>
            <w:r/>
            <w:r>
              <w:rPr>
                <w:rFonts w:ascii="Aptos" w:hAnsi="Aptos"/>
                <w:b/>
                <w:sz w:val="18"/>
              </w:rPr>
              <w:t>Surabhi Gaigole</w:t>
            </w:r>
          </w:p>
        </w:tc>
      </w:tr>
      <w:tr>
        <w:trPr>
          <w:trHeight w:hRule="atLeast"/>
        </w:trPr>
        <w:tc>
          <w:tcPr>
            <w:tcW w:type="dxa" w:w="3360"/>
            <w:vAlign w:val="center"/>
          </w:tcPr>
          <w:p>
            <w:r/>
            <w:r>
              <w:rPr>
                <w:rFonts w:ascii="Aptos" w:hAnsi="Aptos"/>
                <w:b w:val="0"/>
                <w:sz w:val="18"/>
              </w:rPr>
              <w:t>PAN</w:t>
            </w:r>
          </w:p>
        </w:tc>
        <w:tc>
          <w:tcPr>
            <w:tcW w:type="dxa" w:w="3360"/>
            <w:vAlign w:val="center"/>
          </w:tcPr>
          <w:p>
            <w:r/>
            <w:r>
              <w:rPr>
                <w:rFonts w:ascii="Aptos" w:hAnsi="Aptos"/>
                <w:b w:val="0"/>
                <w:sz w:val="18"/>
              </w:rPr>
              <w:t>☐</w:t>
            </w:r>
          </w:p>
        </w:tc>
        <w:tc>
          <w:tcPr>
            <w:tcW w:type="dxa" w:w="3360"/>
            <w:vAlign w:val="center"/>
          </w:tcPr>
          <w:p>
            <w:r/>
            <w:r>
              <w:rPr>
                <w:rFonts w:ascii="Aptos" w:hAnsi="Aptos"/>
                <w:b w:val="0"/>
                <w:sz w:val="18"/>
              </w:rPr>
              <w:t>☐</w:t>
            </w:r>
          </w:p>
        </w:tc>
      </w:tr>
      <w:tr>
        <w:trPr>
          <w:trHeight w:hRule="atLeast"/>
        </w:trPr>
        <w:tc>
          <w:tcPr>
            <w:tcW w:type="dxa" w:w="3360"/>
            <w:vAlign w:val="center"/>
          </w:tcPr>
          <w:p>
            <w:r/>
            <w:r>
              <w:rPr>
                <w:rFonts w:ascii="Aptos" w:hAnsi="Aptos"/>
                <w:b w:val="0"/>
                <w:sz w:val="18"/>
              </w:rPr>
              <w:t>Aadhaar / accepted identity proof</w:t>
            </w:r>
          </w:p>
        </w:tc>
        <w:tc>
          <w:tcPr>
            <w:tcW w:type="dxa" w:w="3360"/>
            <w:vAlign w:val="center"/>
          </w:tcPr>
          <w:p>
            <w:r/>
            <w:r>
              <w:rPr>
                <w:rFonts w:ascii="Aptos" w:hAnsi="Aptos"/>
                <w:b w:val="0"/>
                <w:sz w:val="18"/>
              </w:rPr>
              <w:t>☐</w:t>
            </w:r>
          </w:p>
        </w:tc>
        <w:tc>
          <w:tcPr>
            <w:tcW w:type="dxa" w:w="3360"/>
            <w:vAlign w:val="center"/>
          </w:tcPr>
          <w:p>
            <w:r/>
            <w:r>
              <w:rPr>
                <w:rFonts w:ascii="Aptos" w:hAnsi="Aptos"/>
                <w:b w:val="0"/>
                <w:sz w:val="18"/>
              </w:rPr>
              <w:t>☐</w:t>
            </w:r>
          </w:p>
        </w:tc>
      </w:tr>
      <w:tr>
        <w:trPr>
          <w:trHeight w:hRule="atLeast"/>
        </w:trPr>
        <w:tc>
          <w:tcPr>
            <w:tcW w:type="dxa" w:w="3360"/>
            <w:vAlign w:val="center"/>
          </w:tcPr>
          <w:p>
            <w:r/>
            <w:r>
              <w:rPr>
                <w:rFonts w:ascii="Aptos" w:hAnsi="Aptos"/>
                <w:b w:val="0"/>
                <w:sz w:val="18"/>
              </w:rPr>
              <w:t>Current residential address proof</w:t>
            </w:r>
          </w:p>
        </w:tc>
        <w:tc>
          <w:tcPr>
            <w:tcW w:type="dxa" w:w="3360"/>
            <w:vAlign w:val="center"/>
          </w:tcPr>
          <w:p>
            <w:r/>
            <w:r>
              <w:rPr>
                <w:rFonts w:ascii="Aptos" w:hAnsi="Aptos"/>
                <w:b w:val="0"/>
                <w:sz w:val="18"/>
              </w:rPr>
              <w:t>☐</w:t>
            </w:r>
          </w:p>
        </w:tc>
        <w:tc>
          <w:tcPr>
            <w:tcW w:type="dxa" w:w="3360"/>
            <w:vAlign w:val="center"/>
          </w:tcPr>
          <w:p>
            <w:r/>
            <w:r>
              <w:rPr>
                <w:rFonts w:ascii="Aptos" w:hAnsi="Aptos"/>
                <w:b w:val="0"/>
                <w:sz w:val="18"/>
              </w:rPr>
              <w:t>☐</w:t>
            </w:r>
          </w:p>
        </w:tc>
      </w:tr>
      <w:tr>
        <w:trPr>
          <w:trHeight w:hRule="atLeast"/>
        </w:trPr>
        <w:tc>
          <w:tcPr>
            <w:tcW w:type="dxa" w:w="3360"/>
            <w:vAlign w:val="center"/>
          </w:tcPr>
          <w:p>
            <w:r/>
            <w:r>
              <w:rPr>
                <w:rFonts w:ascii="Aptos" w:hAnsi="Aptos"/>
                <w:b w:val="0"/>
                <w:sz w:val="18"/>
              </w:rPr>
              <w:t>Passport-size photograph</w:t>
            </w:r>
          </w:p>
        </w:tc>
        <w:tc>
          <w:tcPr>
            <w:tcW w:type="dxa" w:w="3360"/>
            <w:vAlign w:val="center"/>
          </w:tcPr>
          <w:p>
            <w:r/>
            <w:r>
              <w:rPr>
                <w:rFonts w:ascii="Aptos" w:hAnsi="Aptos"/>
                <w:b w:val="0"/>
                <w:sz w:val="18"/>
              </w:rPr>
              <w:t>☐</w:t>
            </w:r>
          </w:p>
        </w:tc>
        <w:tc>
          <w:tcPr>
            <w:tcW w:type="dxa" w:w="3360"/>
            <w:vAlign w:val="center"/>
          </w:tcPr>
          <w:p>
            <w:r/>
            <w:r>
              <w:rPr>
                <w:rFonts w:ascii="Aptos" w:hAnsi="Aptos"/>
                <w:b w:val="0"/>
                <w:sz w:val="18"/>
              </w:rPr>
              <w:t>☐</w:t>
            </w:r>
          </w:p>
        </w:tc>
      </w:tr>
      <w:tr>
        <w:trPr>
          <w:trHeight w:hRule="atLeast"/>
        </w:trPr>
        <w:tc>
          <w:tcPr>
            <w:tcW w:type="dxa" w:w="3360"/>
            <w:vAlign w:val="center"/>
          </w:tcPr>
          <w:p>
            <w:r/>
            <w:r>
              <w:rPr>
                <w:rFonts w:ascii="Aptos" w:hAnsi="Aptos"/>
                <w:b w:val="0"/>
                <w:sz w:val="18"/>
              </w:rPr>
              <w:t>Personal email address</w:t>
            </w:r>
          </w:p>
        </w:tc>
        <w:tc>
          <w:tcPr>
            <w:tcW w:type="dxa" w:w="3360"/>
            <w:vAlign w:val="center"/>
          </w:tcPr>
          <w:p>
            <w:r/>
            <w:r>
              <w:rPr>
                <w:rFonts w:ascii="Aptos" w:hAnsi="Aptos"/>
                <w:b w:val="0"/>
                <w:sz w:val="18"/>
              </w:rPr>
              <w:t>☐</w:t>
            </w:r>
          </w:p>
        </w:tc>
        <w:tc>
          <w:tcPr>
            <w:tcW w:type="dxa" w:w="3360"/>
            <w:vAlign w:val="center"/>
          </w:tcPr>
          <w:p>
            <w:r/>
            <w:r>
              <w:rPr>
                <w:rFonts w:ascii="Aptos" w:hAnsi="Aptos"/>
                <w:b w:val="0"/>
                <w:sz w:val="18"/>
              </w:rPr>
              <w:t>☐</w:t>
            </w:r>
          </w:p>
        </w:tc>
      </w:tr>
      <w:tr>
        <w:trPr>
          <w:trHeight w:hRule="atLeast"/>
        </w:trPr>
        <w:tc>
          <w:tcPr>
            <w:tcW w:type="dxa" w:w="3360"/>
            <w:vAlign w:val="center"/>
          </w:tcPr>
          <w:p>
            <w:r/>
            <w:r>
              <w:rPr>
                <w:rFonts w:ascii="Aptos" w:hAnsi="Aptos"/>
                <w:b w:val="0"/>
                <w:sz w:val="18"/>
              </w:rPr>
              <w:t>Mobile number</w:t>
            </w:r>
          </w:p>
        </w:tc>
        <w:tc>
          <w:tcPr>
            <w:tcW w:type="dxa" w:w="3360"/>
            <w:vAlign w:val="center"/>
          </w:tcPr>
          <w:p>
            <w:r/>
            <w:r>
              <w:rPr>
                <w:rFonts w:ascii="Aptos" w:hAnsi="Aptos"/>
                <w:b w:val="0"/>
                <w:sz w:val="18"/>
              </w:rPr>
              <w:t>☐</w:t>
            </w:r>
          </w:p>
        </w:tc>
        <w:tc>
          <w:tcPr>
            <w:tcW w:type="dxa" w:w="3360"/>
            <w:vAlign w:val="center"/>
          </w:tcPr>
          <w:p>
            <w:r/>
            <w:r>
              <w:rPr>
                <w:rFonts w:ascii="Aptos" w:hAnsi="Aptos"/>
                <w:b w:val="0"/>
                <w:sz w:val="18"/>
              </w:rPr>
              <w:t>☐</w:t>
            </w:r>
          </w:p>
        </w:tc>
      </w:tr>
      <w:tr>
        <w:trPr>
          <w:trHeight w:hRule="atLeast"/>
        </w:trPr>
        <w:tc>
          <w:tcPr>
            <w:tcW w:type="dxa" w:w="3360"/>
            <w:vAlign w:val="center"/>
          </w:tcPr>
          <w:p>
            <w:r/>
            <w:r>
              <w:rPr>
                <w:rFonts w:ascii="Aptos" w:hAnsi="Aptos"/>
                <w:b w:val="0"/>
                <w:sz w:val="18"/>
              </w:rPr>
              <w:t>Digital Signature Certificate (DSC)</w:t>
            </w:r>
          </w:p>
        </w:tc>
        <w:tc>
          <w:tcPr>
            <w:tcW w:type="dxa" w:w="3360"/>
            <w:vAlign w:val="center"/>
          </w:tcPr>
          <w:p>
            <w:r/>
            <w:r>
              <w:rPr>
                <w:rFonts w:ascii="Aptos" w:hAnsi="Aptos"/>
                <w:b w:val="0"/>
                <w:sz w:val="18"/>
              </w:rPr>
              <w:t>☐</w:t>
            </w:r>
          </w:p>
        </w:tc>
        <w:tc>
          <w:tcPr>
            <w:tcW w:type="dxa" w:w="3360"/>
            <w:vAlign w:val="center"/>
          </w:tcPr>
          <w:p>
            <w:r/>
            <w:r>
              <w:rPr>
                <w:rFonts w:ascii="Aptos" w:hAnsi="Aptos"/>
                <w:b w:val="0"/>
                <w:sz w:val="18"/>
              </w:rPr>
              <w:t>☐</w:t>
            </w:r>
          </w:p>
        </w:tc>
      </w:tr>
      <w:tr>
        <w:trPr>
          <w:trHeight w:hRule="atLeast"/>
        </w:trPr>
        <w:tc>
          <w:tcPr>
            <w:tcW w:type="dxa" w:w="3360"/>
            <w:vAlign w:val="center"/>
          </w:tcPr>
          <w:p>
            <w:r/>
            <w:r>
              <w:rPr>
                <w:rFonts w:ascii="Aptos" w:hAnsi="Aptos"/>
                <w:b w:val="0"/>
                <w:sz w:val="18"/>
              </w:rPr>
              <w:t>Existing DIN details, if any</w:t>
            </w:r>
          </w:p>
        </w:tc>
        <w:tc>
          <w:tcPr>
            <w:tcW w:type="dxa" w:w="3360"/>
            <w:vAlign w:val="center"/>
          </w:tcPr>
          <w:p>
            <w:r/>
            <w:r>
              <w:rPr>
                <w:rFonts w:ascii="Aptos" w:hAnsi="Aptos"/>
                <w:b w:val="0"/>
                <w:sz w:val="18"/>
              </w:rPr>
              <w:t>☐</w:t>
            </w:r>
          </w:p>
        </w:tc>
        <w:tc>
          <w:tcPr>
            <w:tcW w:type="dxa" w:w="3360"/>
            <w:vAlign w:val="center"/>
          </w:tcPr>
          <w:p>
            <w:r/>
            <w:r>
              <w:rPr>
                <w:rFonts w:ascii="Aptos" w:hAnsi="Aptos"/>
                <w:b w:val="0"/>
                <w:sz w:val="18"/>
              </w:rPr>
              <w:t>☐</w:t>
            </w:r>
          </w:p>
        </w:tc>
      </w:tr>
      <w:tr>
        <w:trPr>
          <w:trHeight w:hRule="atLeast"/>
        </w:trPr>
        <w:tc>
          <w:tcPr>
            <w:tcW w:type="dxa" w:w="3360"/>
            <w:vAlign w:val="center"/>
          </w:tcPr>
          <w:p>
            <w:r/>
            <w:r>
              <w:rPr>
                <w:rFonts w:ascii="Aptos" w:hAnsi="Aptos"/>
                <w:b w:val="0"/>
                <w:sz w:val="18"/>
              </w:rPr>
              <w:t>Occupation / educational / other filing particulars requested by professional</w:t>
            </w:r>
          </w:p>
        </w:tc>
        <w:tc>
          <w:tcPr>
            <w:tcW w:type="dxa" w:w="3360"/>
            <w:vAlign w:val="center"/>
          </w:tcPr>
          <w:p>
            <w:r/>
            <w:r>
              <w:rPr>
                <w:rFonts w:ascii="Aptos" w:hAnsi="Aptos"/>
                <w:b w:val="0"/>
                <w:sz w:val="18"/>
              </w:rPr>
              <w:t>☐</w:t>
            </w:r>
          </w:p>
        </w:tc>
        <w:tc>
          <w:tcPr>
            <w:tcW w:type="dxa" w:w="3360"/>
            <w:vAlign w:val="center"/>
          </w:tcPr>
          <w:p>
            <w:r/>
            <w:r>
              <w:rPr>
                <w:rFonts w:ascii="Aptos" w:hAnsi="Aptos"/>
                <w:b w:val="0"/>
                <w:sz w:val="18"/>
              </w:rPr>
              <w:t>☐</w:t>
            </w:r>
          </w:p>
        </w:tc>
      </w:tr>
    </w:tbl>
    <w:p/>
    <w:p>
      <w:pPr>
        <w:pStyle w:val="Heading1"/>
      </w:pPr>
      <w:r>
        <w:t>8. Kerala registered-office checklist</w:t>
      </w:r>
    </w:p>
    <w:p>
      <w:pPr>
        <w:pStyle w:val="ListBullet"/>
        <w:spacing w:after="40"/>
      </w:pPr>
      <w:r>
        <w:t>Complete registered-office address in Kerala.</w:t>
      </w:r>
    </w:p>
    <w:p>
      <w:pPr>
        <w:pStyle w:val="ListBullet"/>
        <w:spacing w:after="40"/>
      </w:pPr>
      <w:r>
        <w:t>Recent utility bill / address evidence acceptable for MCA filing.</w:t>
      </w:r>
    </w:p>
    <w:p>
      <w:pPr>
        <w:pStyle w:val="ListBullet"/>
        <w:spacing w:after="40"/>
      </w:pPr>
      <w:r>
        <w:t>Ownership document or appropriate lease/rent/occupancy document, depending on the premises.</w:t>
      </w:r>
    </w:p>
    <w:p>
      <w:pPr>
        <w:pStyle w:val="ListBullet"/>
        <w:spacing w:after="40"/>
      </w:pPr>
      <w:r>
        <w:t>Owner's NOC / authorization where required.</w:t>
      </w:r>
    </w:p>
    <w:p>
      <w:pPr>
        <w:pStyle w:val="ListBullet"/>
        <w:spacing w:after="40"/>
      </w:pPr>
      <w:r>
        <w:t>Ensure the address and supporting documents are internally consistent before submission.</w:t>
      </w:r>
    </w:p>
    <w:p>
      <w:pPr>
        <w:pStyle w:val="Heading1"/>
      </w:pPr>
      <w:r>
        <w:t>9. MCA incorporation workflow</w:t>
      </w:r>
    </w:p>
    <w:p>
      <w:pPr>
        <w:pStyle w:val="ListNumber"/>
        <w:spacing w:after="40"/>
      </w:pPr>
      <w:r>
        <w:t>Obtain / validate DSCs for proposed subscribers/directors.</w:t>
      </w:r>
    </w:p>
    <w:p>
      <w:pPr>
        <w:pStyle w:val="ListNumber"/>
        <w:spacing w:after="40"/>
      </w:pPr>
      <w:r>
        <w:t>Conduct MCA name-availability review and trademark screening for CEREBRO HIVE.</w:t>
      </w:r>
    </w:p>
    <w:p>
      <w:pPr>
        <w:pStyle w:val="ListNumber"/>
        <w:spacing w:after="40"/>
      </w:pPr>
      <w:r>
        <w:t>File name reservation through SPICe+ Part A or as part of the integrated incorporation process.</w:t>
      </w:r>
    </w:p>
    <w:p>
      <w:pPr>
        <w:pStyle w:val="ListNumber"/>
        <w:spacing w:after="40"/>
      </w:pPr>
      <w:r>
        <w:t>Prepare and file SPICe+ Part B with the selected industrial activity and registered-office details.</w:t>
      </w:r>
    </w:p>
    <w:p>
      <w:pPr>
        <w:pStyle w:val="ListNumber"/>
        <w:spacing w:after="40"/>
      </w:pPr>
      <w:r>
        <w:t>Prepare linked e-MOA and e-AOA; complete INC-9 where applicable.</w:t>
      </w:r>
    </w:p>
    <w:p>
      <w:pPr>
        <w:pStyle w:val="ListNumber"/>
        <w:spacing w:after="40"/>
      </w:pPr>
      <w:r>
        <w:t>Complete AGILE-PRO-S linked filing for the integrated registrations/services applicable to the company.</w:t>
      </w:r>
    </w:p>
    <w:p>
      <w:pPr>
        <w:pStyle w:val="ListNumber"/>
        <w:spacing w:after="40"/>
      </w:pPr>
      <w:r>
        <w:t>Receive Certificate of Incorporation and associated identifiers/registrations generated through the process.</w:t>
      </w:r>
    </w:p>
    <w:p>
      <w:pPr>
        <w:pStyle w:val="ListNumber"/>
        <w:spacing w:after="40"/>
      </w:pPr>
      <w:r>
        <w:t>Complete bank, capital subscription, statutory records and post-incorporation actions.</w:t>
      </w:r>
    </w:p>
    <w:p>
      <w:pPr>
        <w:pStyle w:val="Heading1"/>
      </w:pPr>
      <w:r>
        <w:t>10. Founder agreement - recommended term sheet</w:t>
      </w:r>
    </w:p>
    <w:tbl>
      <w:tblPr>
        <w:tblStyle w:val="TableGrid"/>
        <w:tblW w:type="auto" w:w="0"/>
        <w:jc w:val="center"/>
        <w:tblLook w:firstColumn="1" w:firstRow="1" w:lastColumn="0" w:lastRow="0" w:noHBand="0" w:noVBand="1" w:val="04A0"/>
      </w:tblPr>
      <w:tblGrid>
        <w:gridCol w:w="5040"/>
        <w:gridCol w:w="5040"/>
      </w:tblGrid>
      <w:tr>
        <w:trPr>
          <w:trHeight w:hRule="atLeast"/>
        </w:trPr>
        <w:tc>
          <w:tcPr>
            <w:tcW w:type="dxa" w:w="5040"/>
            <w:vAlign w:val="center"/>
            <w:shd w:fill="E8EEF7"/>
          </w:tcPr>
          <w:p>
            <w:r/>
            <w:r>
              <w:rPr>
                <w:rFonts w:ascii="Aptos" w:hAnsi="Aptos"/>
                <w:b/>
                <w:sz w:val="18"/>
              </w:rPr>
              <w:t>Topic</w:t>
            </w:r>
          </w:p>
        </w:tc>
        <w:tc>
          <w:tcPr>
            <w:tcW w:type="dxa" w:w="5040"/>
            <w:vAlign w:val="center"/>
            <w:shd w:fill="E8EEF7"/>
          </w:tcPr>
          <w:p>
            <w:r/>
            <w:r>
              <w:rPr>
                <w:rFonts w:ascii="Aptos" w:hAnsi="Aptos"/>
                <w:b/>
                <w:sz w:val="18"/>
              </w:rPr>
              <w:t>Recommended issue to document</w:t>
            </w:r>
          </w:p>
        </w:tc>
      </w:tr>
      <w:tr>
        <w:trPr>
          <w:trHeight w:hRule="atLeast"/>
        </w:trPr>
        <w:tc>
          <w:tcPr>
            <w:tcW w:type="dxa" w:w="5040"/>
            <w:vAlign w:val="center"/>
          </w:tcPr>
          <w:p>
            <w:r/>
            <w:r>
              <w:rPr>
                <w:rFonts w:ascii="Aptos" w:hAnsi="Aptos"/>
                <w:b w:val="0"/>
                <w:sz w:val="18"/>
              </w:rPr>
              <w:t>Equity</w:t>
            </w:r>
          </w:p>
        </w:tc>
        <w:tc>
          <w:tcPr>
            <w:tcW w:type="dxa" w:w="5040"/>
            <w:vAlign w:val="center"/>
          </w:tcPr>
          <w:p>
            <w:r/>
            <w:r>
              <w:rPr>
                <w:rFonts w:ascii="Aptos" w:hAnsi="Aptos"/>
                <w:b w:val="0"/>
                <w:sz w:val="18"/>
              </w:rPr>
              <w:t>Philemon V Nath 90%; Surabhi Gaigole 10%; specify fully diluted vs issued basis where relevant.</w:t>
            </w:r>
          </w:p>
        </w:tc>
      </w:tr>
      <w:tr>
        <w:trPr>
          <w:trHeight w:hRule="atLeast"/>
        </w:trPr>
        <w:tc>
          <w:tcPr>
            <w:tcW w:type="dxa" w:w="5040"/>
            <w:vAlign w:val="center"/>
          </w:tcPr>
          <w:p>
            <w:r/>
            <w:r>
              <w:rPr>
                <w:rFonts w:ascii="Aptos" w:hAnsi="Aptos"/>
                <w:b w:val="0"/>
                <w:sz w:val="18"/>
              </w:rPr>
              <w:t>Founder roles</w:t>
            </w:r>
          </w:p>
        </w:tc>
        <w:tc>
          <w:tcPr>
            <w:tcW w:type="dxa" w:w="5040"/>
            <w:vAlign w:val="center"/>
          </w:tcPr>
          <w:p>
            <w:r/>
            <w:r>
              <w:rPr>
                <w:rFonts w:ascii="Aptos" w:hAnsi="Aptos"/>
                <w:b w:val="0"/>
                <w:sz w:val="18"/>
              </w:rPr>
              <w:t>Define titles, responsibilities, time commitment, authority and performance expectations.</w:t>
            </w:r>
          </w:p>
        </w:tc>
      </w:tr>
      <w:tr>
        <w:trPr>
          <w:trHeight w:hRule="atLeast"/>
        </w:trPr>
        <w:tc>
          <w:tcPr>
            <w:tcW w:type="dxa" w:w="5040"/>
            <w:vAlign w:val="center"/>
          </w:tcPr>
          <w:p>
            <w:r/>
            <w:r>
              <w:rPr>
                <w:rFonts w:ascii="Aptos" w:hAnsi="Aptos"/>
                <w:b w:val="0"/>
                <w:sz w:val="18"/>
              </w:rPr>
              <w:t>Board</w:t>
            </w:r>
          </w:p>
        </w:tc>
        <w:tc>
          <w:tcPr>
            <w:tcW w:type="dxa" w:w="5040"/>
            <w:vAlign w:val="center"/>
          </w:tcPr>
          <w:p>
            <w:r/>
            <w:r>
              <w:rPr>
                <w:rFonts w:ascii="Aptos" w:hAnsi="Aptos"/>
                <w:b w:val="0"/>
                <w:sz w:val="18"/>
              </w:rPr>
              <w:t>Initial board composition and process for future appointment/removal.</w:t>
            </w:r>
          </w:p>
        </w:tc>
      </w:tr>
      <w:tr>
        <w:trPr>
          <w:trHeight w:hRule="atLeast"/>
        </w:trPr>
        <w:tc>
          <w:tcPr>
            <w:tcW w:type="dxa" w:w="5040"/>
            <w:vAlign w:val="center"/>
          </w:tcPr>
          <w:p>
            <w:r/>
            <w:r>
              <w:rPr>
                <w:rFonts w:ascii="Aptos" w:hAnsi="Aptos"/>
                <w:b w:val="0"/>
                <w:sz w:val="18"/>
              </w:rPr>
              <w:t>Reserved matters</w:t>
            </w:r>
          </w:p>
        </w:tc>
        <w:tc>
          <w:tcPr>
            <w:tcW w:type="dxa" w:w="5040"/>
            <w:vAlign w:val="center"/>
          </w:tcPr>
          <w:p>
            <w:r/>
            <w:r>
              <w:rPr>
                <w:rFonts w:ascii="Aptos" w:hAnsi="Aptos"/>
                <w:b w:val="0"/>
                <w:sz w:val="18"/>
              </w:rPr>
              <w:t>Identify a narrow list of fundamental decisions requiring enhanced approval, if commercially agreed.</w:t>
            </w:r>
          </w:p>
        </w:tc>
      </w:tr>
      <w:tr>
        <w:trPr>
          <w:trHeight w:hRule="atLeast"/>
        </w:trPr>
        <w:tc>
          <w:tcPr>
            <w:tcW w:type="dxa" w:w="5040"/>
            <w:vAlign w:val="center"/>
          </w:tcPr>
          <w:p>
            <w:r/>
            <w:r>
              <w:rPr>
                <w:rFonts w:ascii="Aptos" w:hAnsi="Aptos"/>
                <w:b w:val="0"/>
                <w:sz w:val="18"/>
              </w:rPr>
              <w:t>Vesting / reverse vesting</w:t>
            </w:r>
          </w:p>
        </w:tc>
        <w:tc>
          <w:tcPr>
            <w:tcW w:type="dxa" w:w="5040"/>
            <w:vAlign w:val="center"/>
          </w:tcPr>
          <w:p>
            <w:r/>
            <w:r>
              <w:rPr>
                <w:rFonts w:ascii="Aptos" w:hAnsi="Aptos"/>
                <w:b w:val="0"/>
                <w:sz w:val="18"/>
              </w:rPr>
              <w:t>Decide whether founder equity is subject to time/service-based vesting or repurchase rights.</w:t>
            </w:r>
          </w:p>
        </w:tc>
      </w:tr>
      <w:tr>
        <w:trPr>
          <w:trHeight w:hRule="atLeast"/>
        </w:trPr>
        <w:tc>
          <w:tcPr>
            <w:tcW w:type="dxa" w:w="5040"/>
            <w:vAlign w:val="center"/>
          </w:tcPr>
          <w:p>
            <w:r/>
            <w:r>
              <w:rPr>
                <w:rFonts w:ascii="Aptos" w:hAnsi="Aptos"/>
                <w:b w:val="0"/>
                <w:sz w:val="18"/>
              </w:rPr>
              <w:t>Leavers</w:t>
            </w:r>
          </w:p>
        </w:tc>
        <w:tc>
          <w:tcPr>
            <w:tcW w:type="dxa" w:w="5040"/>
            <w:vAlign w:val="center"/>
          </w:tcPr>
          <w:p>
            <w:r/>
            <w:r>
              <w:rPr>
                <w:rFonts w:ascii="Aptos" w:hAnsi="Aptos"/>
                <w:b w:val="0"/>
                <w:sz w:val="18"/>
              </w:rPr>
              <w:t>Good-leaver / bad-leaver or other departure treatment, if desired.</w:t>
            </w:r>
          </w:p>
        </w:tc>
      </w:tr>
      <w:tr>
        <w:trPr>
          <w:trHeight w:hRule="atLeast"/>
        </w:trPr>
        <w:tc>
          <w:tcPr>
            <w:tcW w:type="dxa" w:w="5040"/>
            <w:vAlign w:val="center"/>
          </w:tcPr>
          <w:p>
            <w:r/>
            <w:r>
              <w:rPr>
                <w:rFonts w:ascii="Aptos" w:hAnsi="Aptos"/>
                <w:b w:val="0"/>
                <w:sz w:val="18"/>
              </w:rPr>
              <w:t>IP</w:t>
            </w:r>
          </w:p>
        </w:tc>
        <w:tc>
          <w:tcPr>
            <w:tcW w:type="dxa" w:w="5040"/>
            <w:vAlign w:val="center"/>
          </w:tcPr>
          <w:p>
            <w:r/>
            <w:r>
              <w:rPr>
                <w:rFonts w:ascii="Aptos" w:hAnsi="Aptos"/>
                <w:b w:val="0"/>
                <w:sz w:val="18"/>
              </w:rPr>
              <w:t>Assignment of pre-incorporation and future business IP to the company.</w:t>
            </w:r>
          </w:p>
        </w:tc>
      </w:tr>
      <w:tr>
        <w:trPr>
          <w:trHeight w:hRule="atLeast"/>
        </w:trPr>
        <w:tc>
          <w:tcPr>
            <w:tcW w:type="dxa" w:w="5040"/>
            <w:vAlign w:val="center"/>
          </w:tcPr>
          <w:p>
            <w:r/>
            <w:r>
              <w:rPr>
                <w:rFonts w:ascii="Aptos" w:hAnsi="Aptos"/>
                <w:b w:val="0"/>
                <w:sz w:val="18"/>
              </w:rPr>
              <w:t>Confidentiality</w:t>
            </w:r>
          </w:p>
        </w:tc>
        <w:tc>
          <w:tcPr>
            <w:tcW w:type="dxa" w:w="5040"/>
            <w:vAlign w:val="center"/>
          </w:tcPr>
          <w:p>
            <w:r/>
            <w:r>
              <w:rPr>
                <w:rFonts w:ascii="Aptos" w:hAnsi="Aptos"/>
                <w:b w:val="0"/>
                <w:sz w:val="18"/>
              </w:rPr>
              <w:t>Confidential information, trade secrets, security and data obligations.</w:t>
            </w:r>
          </w:p>
        </w:tc>
      </w:tr>
      <w:tr>
        <w:trPr>
          <w:trHeight w:hRule="atLeast"/>
        </w:trPr>
        <w:tc>
          <w:tcPr>
            <w:tcW w:type="dxa" w:w="5040"/>
            <w:vAlign w:val="center"/>
          </w:tcPr>
          <w:p>
            <w:r/>
            <w:r>
              <w:rPr>
                <w:rFonts w:ascii="Aptos" w:hAnsi="Aptos"/>
                <w:b w:val="0"/>
                <w:sz w:val="18"/>
              </w:rPr>
              <w:t>Transfers</w:t>
            </w:r>
          </w:p>
        </w:tc>
        <w:tc>
          <w:tcPr>
            <w:tcW w:type="dxa" w:w="5040"/>
            <w:vAlign w:val="center"/>
          </w:tcPr>
          <w:p>
            <w:r/>
            <w:r>
              <w:rPr>
                <w:rFonts w:ascii="Aptos" w:hAnsi="Aptos"/>
                <w:b w:val="0"/>
                <w:sz w:val="18"/>
              </w:rPr>
              <w:t>Restrictions, pre-emption/ROFR, permitted transfers and transfer procedure.</w:t>
            </w:r>
          </w:p>
        </w:tc>
      </w:tr>
      <w:tr>
        <w:trPr>
          <w:trHeight w:hRule="atLeast"/>
        </w:trPr>
        <w:tc>
          <w:tcPr>
            <w:tcW w:type="dxa" w:w="5040"/>
            <w:vAlign w:val="center"/>
          </w:tcPr>
          <w:p>
            <w:r/>
            <w:r>
              <w:rPr>
                <w:rFonts w:ascii="Aptos" w:hAnsi="Aptos"/>
                <w:b w:val="0"/>
                <w:sz w:val="18"/>
              </w:rPr>
              <w:t>Funding</w:t>
            </w:r>
          </w:p>
        </w:tc>
        <w:tc>
          <w:tcPr>
            <w:tcW w:type="dxa" w:w="5040"/>
            <w:vAlign w:val="center"/>
          </w:tcPr>
          <w:p>
            <w:r/>
            <w:r>
              <w:rPr>
                <w:rFonts w:ascii="Aptos" w:hAnsi="Aptos"/>
                <w:b w:val="0"/>
                <w:sz w:val="18"/>
              </w:rPr>
              <w:t>Authority to raise capital; treatment of dilution; information/participation rights if agreed.</w:t>
            </w:r>
          </w:p>
        </w:tc>
      </w:tr>
      <w:tr>
        <w:trPr>
          <w:trHeight w:hRule="atLeast"/>
        </w:trPr>
        <w:tc>
          <w:tcPr>
            <w:tcW w:type="dxa" w:w="5040"/>
            <w:vAlign w:val="center"/>
          </w:tcPr>
          <w:p>
            <w:r/>
            <w:r>
              <w:rPr>
                <w:rFonts w:ascii="Aptos" w:hAnsi="Aptos"/>
                <w:b w:val="0"/>
                <w:sz w:val="18"/>
              </w:rPr>
              <w:t>Deadlock / disputes</w:t>
            </w:r>
          </w:p>
        </w:tc>
        <w:tc>
          <w:tcPr>
            <w:tcW w:type="dxa" w:w="5040"/>
            <w:vAlign w:val="center"/>
          </w:tcPr>
          <w:p>
            <w:r/>
            <w:r>
              <w:rPr>
                <w:rFonts w:ascii="Aptos" w:hAnsi="Aptos"/>
                <w:b w:val="0"/>
                <w:sz w:val="18"/>
              </w:rPr>
              <w:t>Escalation, mediation/arbitration or other agreed mechanism.</w:t>
            </w:r>
          </w:p>
        </w:tc>
      </w:tr>
      <w:tr>
        <w:trPr>
          <w:trHeight w:hRule="atLeast"/>
        </w:trPr>
        <w:tc>
          <w:tcPr>
            <w:tcW w:type="dxa" w:w="5040"/>
            <w:vAlign w:val="center"/>
          </w:tcPr>
          <w:p>
            <w:r/>
            <w:r>
              <w:rPr>
                <w:rFonts w:ascii="Aptos" w:hAnsi="Aptos"/>
                <w:b w:val="0"/>
                <w:sz w:val="18"/>
              </w:rPr>
              <w:t>Exit</w:t>
            </w:r>
          </w:p>
        </w:tc>
        <w:tc>
          <w:tcPr>
            <w:tcW w:type="dxa" w:w="5040"/>
            <w:vAlign w:val="center"/>
          </w:tcPr>
          <w:p>
            <w:r/>
            <w:r>
              <w:rPr>
                <w:rFonts w:ascii="Aptos" w:hAnsi="Aptos"/>
                <w:b w:val="0"/>
                <w:sz w:val="18"/>
              </w:rPr>
              <w:t>Tag/drag or other exit mechanics if appropriate and legally drafted.</w:t>
            </w:r>
          </w:p>
        </w:tc>
      </w:tr>
    </w:tbl>
    <w:p/>
    <w:p>
      <w:pPr>
        <w:pStyle w:val="Heading1"/>
      </w:pPr>
      <w:r>
        <w:t>11. IP assignment checklist</w:t>
      </w:r>
    </w:p>
    <w:p>
      <w:pPr>
        <w:pStyle w:val="ListBullet"/>
        <w:spacing w:after="40"/>
      </w:pPr>
      <w:r>
        <w:t>Source code, repositories and software modules created before incorporation.</w:t>
      </w:r>
    </w:p>
    <w:p>
      <w:pPr>
        <w:pStyle w:val="ListBullet"/>
        <w:spacing w:after="40"/>
      </w:pPr>
      <w:r>
        <w:t>AI-agent frameworks, orchestration logic, prompts, system designs and platform architecture.</w:t>
      </w:r>
    </w:p>
    <w:p>
      <w:pPr>
        <w:pStyle w:val="ListBullet"/>
        <w:spacing w:after="40"/>
      </w:pPr>
      <w:r>
        <w:t>Model-related tooling, evaluation frameworks, observability/AgentOps/MLOps/LLMOps components.</w:t>
      </w:r>
    </w:p>
    <w:p>
      <w:pPr>
        <w:pStyle w:val="ListBullet"/>
        <w:spacing w:after="40"/>
      </w:pPr>
      <w:r>
        <w:t>UI/UX designs, documentation, specifications, diagrams and product materials.</w:t>
      </w:r>
    </w:p>
    <w:p>
      <w:pPr>
        <w:pStyle w:val="ListBullet"/>
        <w:spacing w:after="40"/>
      </w:pPr>
      <w:r>
        <w:t>Cerebro Hive name, logos, domains, social handles and brand assets, where owned/transferable.</w:t>
      </w:r>
    </w:p>
    <w:p>
      <w:pPr>
        <w:pStyle w:val="ListBullet"/>
        <w:spacing w:after="40"/>
      </w:pPr>
      <w:r>
        <w:t>Research, inventions, patentable concepts and trade secrets.</w:t>
      </w:r>
    </w:p>
    <w:p>
      <w:pPr>
        <w:pStyle w:val="ListBullet"/>
        <w:spacing w:after="40"/>
      </w:pPr>
      <w:r>
        <w:t>Datasets, curated corpora, schemas, knowledge structures and other data assets to the extent rights can legally be assigned.</w:t>
      </w:r>
    </w:p>
    <w:p>
      <w:pPr>
        <w:pStyle w:val="ListBullet"/>
        <w:spacing w:after="40"/>
      </w:pPr>
      <w:r>
        <w:t>Contractor/employee work product: ensure future agreements clearly address ownership, confidentiality and open-source/third-party components.</w:t>
      </w:r>
    </w:p>
    <w:p>
      <w:r>
        <w:br w:type="page"/>
      </w:r>
    </w:p>
    <w:p>
      <w:pPr>
        <w:pStyle w:val="Heading1"/>
      </w:pPr>
      <w:r>
        <w:t>12. Immediate post-incorporation checklist</w:t>
      </w:r>
    </w:p>
    <w:tbl>
      <w:tblPr>
        <w:tblStyle w:val="TableGrid"/>
        <w:tblW w:type="auto" w:w="0"/>
        <w:jc w:val="center"/>
        <w:tblLook w:firstColumn="1" w:firstRow="1" w:lastColumn="0" w:lastRow="0" w:noHBand="0" w:noVBand="1" w:val="04A0"/>
      </w:tblPr>
      <w:tblGrid>
        <w:gridCol w:w="5040"/>
        <w:gridCol w:w="5040"/>
      </w:tblGrid>
      <w:tr>
        <w:trPr>
          <w:trHeight w:hRule="atLeast"/>
        </w:trPr>
        <w:tc>
          <w:tcPr>
            <w:tcW w:type="dxa" w:w="5040"/>
            <w:vAlign w:val="center"/>
            <w:shd w:fill="E8EEF7"/>
          </w:tcPr>
          <w:p>
            <w:r/>
            <w:r>
              <w:rPr>
                <w:rFonts w:ascii="Aptos" w:hAnsi="Aptos"/>
                <w:b/>
                <w:sz w:val="18"/>
              </w:rPr>
              <w:t>Timing</w:t>
            </w:r>
          </w:p>
        </w:tc>
        <w:tc>
          <w:tcPr>
            <w:tcW w:type="dxa" w:w="5040"/>
            <w:vAlign w:val="center"/>
            <w:shd w:fill="E8EEF7"/>
          </w:tcPr>
          <w:p>
            <w:r/>
            <w:r>
              <w:rPr>
                <w:rFonts w:ascii="Aptos" w:hAnsi="Aptos"/>
                <w:b/>
                <w:sz w:val="18"/>
              </w:rPr>
              <w:t>Action</w:t>
            </w:r>
          </w:p>
        </w:tc>
      </w:tr>
      <w:tr>
        <w:trPr>
          <w:trHeight w:hRule="atLeast"/>
        </w:trPr>
        <w:tc>
          <w:tcPr>
            <w:tcW w:type="dxa" w:w="5040"/>
            <w:vAlign w:val="center"/>
          </w:tcPr>
          <w:p>
            <w:r/>
            <w:r>
              <w:rPr>
                <w:rFonts w:ascii="Aptos" w:hAnsi="Aptos"/>
                <w:b w:val="0"/>
                <w:sz w:val="18"/>
              </w:rPr>
              <w:t>Immediately</w:t>
            </w:r>
          </w:p>
        </w:tc>
        <w:tc>
          <w:tcPr>
            <w:tcW w:type="dxa" w:w="5040"/>
            <w:vAlign w:val="center"/>
          </w:tcPr>
          <w:p>
            <w:r/>
            <w:r>
              <w:rPr>
                <w:rFonts w:ascii="Aptos" w:hAnsi="Aptos"/>
                <w:b w:val="0"/>
                <w:sz w:val="18"/>
              </w:rPr>
              <w:t>Verify Certificate of Incorporation, CIN, PAN/TAN and master data; preserve incorporation records.</w:t>
            </w:r>
          </w:p>
        </w:tc>
      </w:tr>
      <w:tr>
        <w:trPr>
          <w:trHeight w:hRule="atLeast"/>
        </w:trPr>
        <w:tc>
          <w:tcPr>
            <w:tcW w:type="dxa" w:w="5040"/>
            <w:vAlign w:val="center"/>
          </w:tcPr>
          <w:p>
            <w:r/>
            <w:r>
              <w:rPr>
                <w:rFonts w:ascii="Aptos" w:hAnsi="Aptos"/>
                <w:b w:val="0"/>
                <w:sz w:val="18"/>
              </w:rPr>
              <w:t>Immediately</w:t>
            </w:r>
          </w:p>
        </w:tc>
        <w:tc>
          <w:tcPr>
            <w:tcW w:type="dxa" w:w="5040"/>
            <w:vAlign w:val="center"/>
          </w:tcPr>
          <w:p>
            <w:r/>
            <w:r>
              <w:rPr>
                <w:rFonts w:ascii="Aptos" w:hAnsi="Aptos"/>
                <w:b w:val="0"/>
                <w:sz w:val="18"/>
              </w:rPr>
              <w:t>Complete company bank-account onboarding and banking controls.</w:t>
            </w:r>
          </w:p>
        </w:tc>
      </w:tr>
      <w:tr>
        <w:trPr>
          <w:trHeight w:hRule="atLeast"/>
        </w:trPr>
        <w:tc>
          <w:tcPr>
            <w:tcW w:type="dxa" w:w="5040"/>
            <w:vAlign w:val="center"/>
          </w:tcPr>
          <w:p>
            <w:r/>
            <w:r>
              <w:rPr>
                <w:rFonts w:ascii="Aptos" w:hAnsi="Aptos"/>
                <w:b w:val="0"/>
                <w:sz w:val="18"/>
              </w:rPr>
              <w:t>Immediately</w:t>
            </w:r>
          </w:p>
        </w:tc>
        <w:tc>
          <w:tcPr>
            <w:tcW w:type="dxa" w:w="5040"/>
            <w:vAlign w:val="center"/>
          </w:tcPr>
          <w:p>
            <w:r/>
            <w:r>
              <w:rPr>
                <w:rFonts w:ascii="Aptos" w:hAnsi="Aptos"/>
                <w:b w:val="0"/>
                <w:sz w:val="18"/>
              </w:rPr>
              <w:t>Subscribers remit the agreed subscription amounts through traceable banking channels; maintain evidence.</w:t>
            </w:r>
          </w:p>
        </w:tc>
      </w:tr>
      <w:tr>
        <w:trPr>
          <w:trHeight w:hRule="atLeast"/>
        </w:trPr>
        <w:tc>
          <w:tcPr>
            <w:tcW w:type="dxa" w:w="5040"/>
            <w:vAlign w:val="center"/>
          </w:tcPr>
          <w:p>
            <w:r/>
            <w:r>
              <w:rPr>
                <w:rFonts w:ascii="Aptos" w:hAnsi="Aptos"/>
                <w:b w:val="0"/>
                <w:sz w:val="18"/>
              </w:rPr>
              <w:t>First 30 days</w:t>
            </w:r>
          </w:p>
        </w:tc>
        <w:tc>
          <w:tcPr>
            <w:tcW w:type="dxa" w:w="5040"/>
            <w:vAlign w:val="center"/>
          </w:tcPr>
          <w:p>
            <w:r/>
            <w:r>
              <w:rPr>
                <w:rFonts w:ascii="Aptos" w:hAnsi="Aptos"/>
                <w:b w:val="0"/>
                <w:sz w:val="18"/>
              </w:rPr>
              <w:t>Hold/complete initial board actions and appoint the first statutory auditor within the applicable statutory timeline.</w:t>
            </w:r>
          </w:p>
        </w:tc>
      </w:tr>
      <w:tr>
        <w:trPr>
          <w:trHeight w:hRule="atLeast"/>
        </w:trPr>
        <w:tc>
          <w:tcPr>
            <w:tcW w:type="dxa" w:w="5040"/>
            <w:vAlign w:val="center"/>
          </w:tcPr>
          <w:p>
            <w:r/>
            <w:r>
              <w:rPr>
                <w:rFonts w:ascii="Aptos" w:hAnsi="Aptos"/>
                <w:b w:val="0"/>
                <w:sz w:val="18"/>
              </w:rPr>
              <w:t>First 30 days</w:t>
            </w:r>
          </w:p>
        </w:tc>
        <w:tc>
          <w:tcPr>
            <w:tcW w:type="dxa" w:w="5040"/>
            <w:vAlign w:val="center"/>
          </w:tcPr>
          <w:p>
            <w:r/>
            <w:r>
              <w:rPr>
                <w:rFonts w:ascii="Aptos" w:hAnsi="Aptos"/>
                <w:b w:val="0"/>
                <w:sz w:val="18"/>
              </w:rPr>
              <w:t>Set up statutory registers, minute books, accounting system, invoice controls and document retention.</w:t>
            </w:r>
          </w:p>
        </w:tc>
      </w:tr>
      <w:tr>
        <w:trPr>
          <w:trHeight w:hRule="atLeast"/>
        </w:trPr>
        <w:tc>
          <w:tcPr>
            <w:tcW w:type="dxa" w:w="5040"/>
            <w:vAlign w:val="center"/>
          </w:tcPr>
          <w:p>
            <w:r/>
            <w:r>
              <w:rPr>
                <w:rFonts w:ascii="Aptos" w:hAnsi="Aptos"/>
                <w:b w:val="0"/>
                <w:sz w:val="18"/>
              </w:rPr>
              <w:t>Within 180 days</w:t>
            </w:r>
          </w:p>
        </w:tc>
        <w:tc>
          <w:tcPr>
            <w:tcW w:type="dxa" w:w="5040"/>
            <w:vAlign w:val="center"/>
          </w:tcPr>
          <w:p>
            <w:r/>
            <w:r>
              <w:rPr>
                <w:rFonts w:ascii="Aptos" w:hAnsi="Aptos"/>
                <w:b w:val="0"/>
                <w:sz w:val="18"/>
              </w:rPr>
              <w:t>For a company with share capital, file INC-20A declaration of commencement of business after subscription money requirements are satisfied.</w:t>
            </w:r>
          </w:p>
        </w:tc>
      </w:tr>
      <w:tr>
        <w:trPr>
          <w:trHeight w:hRule="atLeast"/>
        </w:trPr>
        <w:tc>
          <w:tcPr>
            <w:tcW w:type="dxa" w:w="5040"/>
            <w:vAlign w:val="center"/>
          </w:tcPr>
          <w:p>
            <w:r/>
            <w:r>
              <w:rPr>
                <w:rFonts w:ascii="Aptos" w:hAnsi="Aptos"/>
                <w:b w:val="0"/>
                <w:sz w:val="18"/>
              </w:rPr>
              <w:t>Early stage</w:t>
            </w:r>
          </w:p>
        </w:tc>
        <w:tc>
          <w:tcPr>
            <w:tcW w:type="dxa" w:w="5040"/>
            <w:vAlign w:val="center"/>
          </w:tcPr>
          <w:p>
            <w:r/>
            <w:r>
              <w:rPr>
                <w:rFonts w:ascii="Aptos" w:hAnsi="Aptos"/>
                <w:b w:val="0"/>
                <w:sz w:val="18"/>
              </w:rPr>
              <w:t>Execute founder/IP assignment and any founder/shareholder agreement.</w:t>
            </w:r>
          </w:p>
        </w:tc>
      </w:tr>
      <w:tr>
        <w:trPr>
          <w:trHeight w:hRule="atLeast"/>
        </w:trPr>
        <w:tc>
          <w:tcPr>
            <w:tcW w:type="dxa" w:w="5040"/>
            <w:vAlign w:val="center"/>
          </w:tcPr>
          <w:p>
            <w:r/>
            <w:r>
              <w:rPr>
                <w:rFonts w:ascii="Aptos" w:hAnsi="Aptos"/>
                <w:b w:val="0"/>
                <w:sz w:val="18"/>
              </w:rPr>
              <w:t>Early stage</w:t>
            </w:r>
          </w:p>
        </w:tc>
        <w:tc>
          <w:tcPr>
            <w:tcW w:type="dxa" w:w="5040"/>
            <w:vAlign w:val="center"/>
          </w:tcPr>
          <w:p>
            <w:r/>
            <w:r>
              <w:rPr>
                <w:rFonts w:ascii="Aptos" w:hAnsi="Aptos"/>
                <w:b w:val="0"/>
                <w:sz w:val="18"/>
              </w:rPr>
              <w:t>Review GST, TDS, employment, EPFO/ESIC and Kerala-specific registrations/compliances based on actual facts.</w:t>
            </w:r>
          </w:p>
        </w:tc>
      </w:tr>
      <w:tr>
        <w:trPr>
          <w:trHeight w:hRule="atLeast"/>
        </w:trPr>
        <w:tc>
          <w:tcPr>
            <w:tcW w:type="dxa" w:w="5040"/>
            <w:vAlign w:val="center"/>
          </w:tcPr>
          <w:p>
            <w:r/>
            <w:r>
              <w:rPr>
                <w:rFonts w:ascii="Aptos" w:hAnsi="Aptos"/>
                <w:b w:val="0"/>
                <w:sz w:val="18"/>
              </w:rPr>
              <w:t>Before customer data</w:t>
            </w:r>
          </w:p>
        </w:tc>
        <w:tc>
          <w:tcPr>
            <w:tcW w:type="dxa" w:w="5040"/>
            <w:vAlign w:val="center"/>
          </w:tcPr>
          <w:p>
            <w:r/>
            <w:r>
              <w:rPr>
                <w:rFonts w:ascii="Aptos" w:hAnsi="Aptos"/>
                <w:b w:val="0"/>
                <w:sz w:val="18"/>
              </w:rPr>
              <w:t>Put enterprise contracts, privacy/data-processing terms, security policies and AI governance controls in place.</w:t>
            </w:r>
          </w:p>
        </w:tc>
      </w:tr>
    </w:tbl>
    <w:p/>
    <w:p>
      <w:pPr>
        <w:pStyle w:val="Heading1"/>
      </w:pPr>
      <w:r>
        <w:t>13. 30 / 60 / 90-day operating checklist</w:t>
      </w:r>
    </w:p>
    <w:tbl>
      <w:tblPr>
        <w:tblStyle w:val="TableGrid"/>
        <w:tblW w:type="auto" w:w="0"/>
        <w:jc w:val="center"/>
        <w:tblLook w:firstColumn="1" w:firstRow="1" w:lastColumn="0" w:lastRow="0" w:noHBand="0" w:noVBand="1" w:val="04A0"/>
      </w:tblPr>
      <w:tblGrid>
        <w:gridCol w:w="5040"/>
        <w:gridCol w:w="5040"/>
      </w:tblGrid>
      <w:tr>
        <w:trPr>
          <w:trHeight w:hRule="atLeast"/>
        </w:trPr>
        <w:tc>
          <w:tcPr>
            <w:tcW w:type="dxa" w:w="5040"/>
            <w:vAlign w:val="center"/>
            <w:shd w:fill="E8EEF7"/>
          </w:tcPr>
          <w:p>
            <w:r/>
            <w:r>
              <w:rPr>
                <w:rFonts w:ascii="Aptos" w:hAnsi="Aptos"/>
                <w:b/>
                <w:sz w:val="18"/>
              </w:rPr>
              <w:t>Window</w:t>
            </w:r>
          </w:p>
        </w:tc>
        <w:tc>
          <w:tcPr>
            <w:tcW w:type="dxa" w:w="5040"/>
            <w:vAlign w:val="center"/>
            <w:shd w:fill="E8EEF7"/>
          </w:tcPr>
          <w:p>
            <w:r/>
            <w:r>
              <w:rPr>
                <w:rFonts w:ascii="Aptos" w:hAnsi="Aptos"/>
                <w:b/>
                <w:sz w:val="18"/>
              </w:rPr>
              <w:t>Priority actions</w:t>
            </w:r>
          </w:p>
        </w:tc>
      </w:tr>
      <w:tr>
        <w:trPr>
          <w:trHeight w:hRule="atLeast"/>
        </w:trPr>
        <w:tc>
          <w:tcPr>
            <w:tcW w:type="dxa" w:w="5040"/>
            <w:vAlign w:val="center"/>
          </w:tcPr>
          <w:p>
            <w:r/>
            <w:r>
              <w:rPr>
                <w:rFonts w:ascii="Aptos" w:hAnsi="Aptos"/>
                <w:b w:val="0"/>
                <w:sz w:val="18"/>
              </w:rPr>
              <w:t>Days 0-30</w:t>
            </w:r>
          </w:p>
        </w:tc>
        <w:tc>
          <w:tcPr>
            <w:tcW w:type="dxa" w:w="5040"/>
            <w:vAlign w:val="center"/>
          </w:tcPr>
          <w:p>
            <w:r/>
            <w:r>
              <w:rPr>
                <w:rFonts w:ascii="Aptos" w:hAnsi="Aptos"/>
                <w:b w:val="0"/>
                <w:sz w:val="18"/>
              </w:rPr>
              <w:t>Corporate records; auditor; bank controls; founder/IP documentation; bookkeeping; tax registrations assessment; domain/brand ownership.</w:t>
            </w:r>
          </w:p>
        </w:tc>
      </w:tr>
      <w:tr>
        <w:trPr>
          <w:trHeight w:hRule="atLeast"/>
        </w:trPr>
        <w:tc>
          <w:tcPr>
            <w:tcW w:type="dxa" w:w="5040"/>
            <w:vAlign w:val="center"/>
          </w:tcPr>
          <w:p>
            <w:r/>
            <w:r>
              <w:rPr>
                <w:rFonts w:ascii="Aptos" w:hAnsi="Aptos"/>
                <w:b w:val="0"/>
                <w:sz w:val="18"/>
              </w:rPr>
              <w:t>Days 31-60</w:t>
            </w:r>
          </w:p>
        </w:tc>
        <w:tc>
          <w:tcPr>
            <w:tcW w:type="dxa" w:w="5040"/>
            <w:vAlign w:val="center"/>
          </w:tcPr>
          <w:p>
            <w:r/>
            <w:r>
              <w:rPr>
                <w:rFonts w:ascii="Aptos" w:hAnsi="Aptos"/>
                <w:b w:val="0"/>
                <w:sz w:val="18"/>
              </w:rPr>
              <w:t>Customer MSA/SaaS terms; DPA/privacy framework; employee/contractor agreements; open-source policy; security baseline; insurance review.</w:t>
            </w:r>
          </w:p>
        </w:tc>
      </w:tr>
      <w:tr>
        <w:trPr>
          <w:trHeight w:hRule="atLeast"/>
        </w:trPr>
        <w:tc>
          <w:tcPr>
            <w:tcW w:type="dxa" w:w="5040"/>
            <w:vAlign w:val="center"/>
          </w:tcPr>
          <w:p>
            <w:r/>
            <w:r>
              <w:rPr>
                <w:rFonts w:ascii="Aptos" w:hAnsi="Aptos"/>
                <w:b w:val="0"/>
                <w:sz w:val="18"/>
              </w:rPr>
              <w:t>Days 61-90</w:t>
            </w:r>
          </w:p>
        </w:tc>
        <w:tc>
          <w:tcPr>
            <w:tcW w:type="dxa" w:w="5040"/>
            <w:vAlign w:val="center"/>
          </w:tcPr>
          <w:p>
            <w:r/>
            <w:r>
              <w:rPr>
                <w:rFonts w:ascii="Aptos" w:hAnsi="Aptos"/>
                <w:b w:val="0"/>
                <w:sz w:val="18"/>
              </w:rPr>
              <w:t>Trademark filing strategy; ESOP/future hiring structure; fundraising data room; board reporting cadence; compliance calendar; enterprise security evidence.</w:t>
            </w:r>
          </w:p>
        </w:tc>
      </w:tr>
    </w:tbl>
    <w:p/>
    <w:p>
      <w:pPr>
        <w:pStyle w:val="Heading1"/>
      </w:pPr>
      <w:r>
        <w:t>14. Annual / recurring compliance calendar - planning view</w:t>
      </w:r>
    </w:p>
    <w:p>
      <w:r>
        <w:t>Exact due dates depend on the financial year, AGM date, company classification, events and MCA notifications. Your CA/CS should maintain the live statutory calendar.</w:t>
      </w:r>
    </w:p>
    <w:tbl>
      <w:tblPr>
        <w:tblStyle w:val="TableGrid"/>
        <w:tblW w:type="auto" w:w="0"/>
        <w:jc w:val="center"/>
        <w:tblLook w:firstColumn="1" w:firstRow="1" w:lastColumn="0" w:lastRow="0" w:noHBand="0" w:noVBand="1" w:val="04A0"/>
      </w:tblPr>
      <w:tblGrid>
        <w:gridCol w:w="5040"/>
        <w:gridCol w:w="5040"/>
      </w:tblGrid>
      <w:tr>
        <w:trPr>
          <w:trHeight w:hRule="atLeast"/>
        </w:trPr>
        <w:tc>
          <w:tcPr>
            <w:tcW w:type="dxa" w:w="5040"/>
            <w:vAlign w:val="center"/>
            <w:shd w:fill="E8EEF7"/>
          </w:tcPr>
          <w:p>
            <w:r/>
            <w:r>
              <w:rPr>
                <w:rFonts w:ascii="Aptos" w:hAnsi="Aptos"/>
                <w:b/>
                <w:sz w:val="18"/>
              </w:rPr>
              <w:t>Area</w:t>
            </w:r>
          </w:p>
        </w:tc>
        <w:tc>
          <w:tcPr>
            <w:tcW w:type="dxa" w:w="5040"/>
            <w:vAlign w:val="center"/>
            <w:shd w:fill="E8EEF7"/>
          </w:tcPr>
          <w:p>
            <w:r/>
            <w:r>
              <w:rPr>
                <w:rFonts w:ascii="Aptos" w:hAnsi="Aptos"/>
                <w:b/>
                <w:sz w:val="18"/>
              </w:rPr>
              <w:t>Typical recurring requirement</w:t>
            </w:r>
          </w:p>
        </w:tc>
      </w:tr>
      <w:tr>
        <w:trPr>
          <w:trHeight w:hRule="atLeast"/>
        </w:trPr>
        <w:tc>
          <w:tcPr>
            <w:tcW w:type="dxa" w:w="5040"/>
            <w:vAlign w:val="center"/>
          </w:tcPr>
          <w:p>
            <w:r/>
            <w:r>
              <w:rPr>
                <w:rFonts w:ascii="Aptos" w:hAnsi="Aptos"/>
                <w:b w:val="0"/>
                <w:sz w:val="18"/>
              </w:rPr>
              <w:t>Books &amp; accounts</w:t>
            </w:r>
          </w:p>
        </w:tc>
        <w:tc>
          <w:tcPr>
            <w:tcW w:type="dxa" w:w="5040"/>
            <w:vAlign w:val="center"/>
          </w:tcPr>
          <w:p>
            <w:r/>
            <w:r>
              <w:rPr>
                <w:rFonts w:ascii="Aptos" w:hAnsi="Aptos"/>
                <w:b w:val="0"/>
                <w:sz w:val="18"/>
              </w:rPr>
              <w:t>Maintain proper books, vouchers, bank records and supporting documentation throughout the year.</w:t>
            </w:r>
          </w:p>
        </w:tc>
      </w:tr>
      <w:tr>
        <w:trPr>
          <w:trHeight w:hRule="atLeast"/>
        </w:trPr>
        <w:tc>
          <w:tcPr>
            <w:tcW w:type="dxa" w:w="5040"/>
            <w:vAlign w:val="center"/>
          </w:tcPr>
          <w:p>
            <w:r/>
            <w:r>
              <w:rPr>
                <w:rFonts w:ascii="Aptos" w:hAnsi="Aptos"/>
                <w:b w:val="0"/>
                <w:sz w:val="18"/>
              </w:rPr>
              <w:t>Board governance</w:t>
            </w:r>
          </w:p>
        </w:tc>
        <w:tc>
          <w:tcPr>
            <w:tcW w:type="dxa" w:w="5040"/>
            <w:vAlign w:val="center"/>
          </w:tcPr>
          <w:p>
            <w:r/>
            <w:r>
              <w:rPr>
                <w:rFonts w:ascii="Aptos" w:hAnsi="Aptos"/>
                <w:b w:val="0"/>
                <w:sz w:val="18"/>
              </w:rPr>
              <w:t>Board meetings / resolutions and minutes as applicable under the Companies Act and applicable exemptions.</w:t>
            </w:r>
          </w:p>
        </w:tc>
      </w:tr>
      <w:tr>
        <w:trPr>
          <w:trHeight w:hRule="atLeast"/>
        </w:trPr>
        <w:tc>
          <w:tcPr>
            <w:tcW w:type="dxa" w:w="5040"/>
            <w:vAlign w:val="center"/>
          </w:tcPr>
          <w:p>
            <w:r/>
            <w:r>
              <w:rPr>
                <w:rFonts w:ascii="Aptos" w:hAnsi="Aptos"/>
                <w:b w:val="0"/>
                <w:sz w:val="18"/>
              </w:rPr>
              <w:t>Financial statements</w:t>
            </w:r>
          </w:p>
        </w:tc>
        <w:tc>
          <w:tcPr>
            <w:tcW w:type="dxa" w:w="5040"/>
            <w:vAlign w:val="center"/>
          </w:tcPr>
          <w:p>
            <w:r/>
            <w:r>
              <w:rPr>
                <w:rFonts w:ascii="Aptos" w:hAnsi="Aptos"/>
                <w:b w:val="0"/>
                <w:sz w:val="18"/>
              </w:rPr>
              <w:t>Prepare annual financial statements and complete statutory audit.</w:t>
            </w:r>
          </w:p>
        </w:tc>
      </w:tr>
      <w:tr>
        <w:trPr>
          <w:trHeight w:hRule="atLeast"/>
        </w:trPr>
        <w:tc>
          <w:tcPr>
            <w:tcW w:type="dxa" w:w="5040"/>
            <w:vAlign w:val="center"/>
          </w:tcPr>
          <w:p>
            <w:r/>
            <w:r>
              <w:rPr>
                <w:rFonts w:ascii="Aptos" w:hAnsi="Aptos"/>
                <w:b w:val="0"/>
                <w:sz w:val="18"/>
              </w:rPr>
              <w:t>AGM</w:t>
            </w:r>
          </w:p>
        </w:tc>
        <w:tc>
          <w:tcPr>
            <w:tcW w:type="dxa" w:w="5040"/>
            <w:vAlign w:val="center"/>
          </w:tcPr>
          <w:p>
            <w:r/>
            <w:r>
              <w:rPr>
                <w:rFonts w:ascii="Aptos" w:hAnsi="Aptos"/>
                <w:b w:val="0"/>
                <w:sz w:val="18"/>
              </w:rPr>
              <w:t>Hold annual general meeting within the applicable statutory timeline, subject to the Act.</w:t>
            </w:r>
          </w:p>
        </w:tc>
      </w:tr>
      <w:tr>
        <w:trPr>
          <w:trHeight w:hRule="atLeast"/>
        </w:trPr>
        <w:tc>
          <w:tcPr>
            <w:tcW w:type="dxa" w:w="5040"/>
            <w:vAlign w:val="center"/>
          </w:tcPr>
          <w:p>
            <w:r/>
            <w:r>
              <w:rPr>
                <w:rFonts w:ascii="Aptos" w:hAnsi="Aptos"/>
                <w:b w:val="0"/>
                <w:sz w:val="18"/>
              </w:rPr>
              <w:t>ROC financial filing</w:t>
            </w:r>
          </w:p>
        </w:tc>
        <w:tc>
          <w:tcPr>
            <w:tcW w:type="dxa" w:w="5040"/>
            <w:vAlign w:val="center"/>
          </w:tcPr>
          <w:p>
            <w:r/>
            <w:r>
              <w:rPr>
                <w:rFonts w:ascii="Aptos" w:hAnsi="Aptos"/>
                <w:b w:val="0"/>
                <w:sz w:val="18"/>
              </w:rPr>
              <w:t>File the applicable AOC-4 family form after adoption of financial statements.</w:t>
            </w:r>
          </w:p>
        </w:tc>
      </w:tr>
      <w:tr>
        <w:trPr>
          <w:trHeight w:hRule="atLeast"/>
        </w:trPr>
        <w:tc>
          <w:tcPr>
            <w:tcW w:type="dxa" w:w="5040"/>
            <w:vAlign w:val="center"/>
          </w:tcPr>
          <w:p>
            <w:r/>
            <w:r>
              <w:rPr>
                <w:rFonts w:ascii="Aptos" w:hAnsi="Aptos"/>
                <w:b w:val="0"/>
                <w:sz w:val="18"/>
              </w:rPr>
              <w:t>Annual return</w:t>
            </w:r>
          </w:p>
        </w:tc>
        <w:tc>
          <w:tcPr>
            <w:tcW w:type="dxa" w:w="5040"/>
            <w:vAlign w:val="center"/>
          </w:tcPr>
          <w:p>
            <w:r/>
            <w:r>
              <w:rPr>
                <w:rFonts w:ascii="Aptos" w:hAnsi="Aptos"/>
                <w:b w:val="0"/>
                <w:sz w:val="18"/>
              </w:rPr>
              <w:t>File the applicable MGT-7 / MGT-7A family form depending on company classification and current rules.</w:t>
            </w:r>
          </w:p>
        </w:tc>
      </w:tr>
      <w:tr>
        <w:trPr>
          <w:trHeight w:hRule="atLeast"/>
        </w:trPr>
        <w:tc>
          <w:tcPr>
            <w:tcW w:type="dxa" w:w="5040"/>
            <w:vAlign w:val="center"/>
          </w:tcPr>
          <w:p>
            <w:r/>
            <w:r>
              <w:rPr>
                <w:rFonts w:ascii="Aptos" w:hAnsi="Aptos"/>
                <w:b w:val="0"/>
                <w:sz w:val="18"/>
              </w:rPr>
              <w:t>Income tax</w:t>
            </w:r>
          </w:p>
        </w:tc>
        <w:tc>
          <w:tcPr>
            <w:tcW w:type="dxa" w:w="5040"/>
            <w:vAlign w:val="center"/>
          </w:tcPr>
          <w:p>
            <w:r/>
            <w:r>
              <w:rPr>
                <w:rFonts w:ascii="Aptos" w:hAnsi="Aptos"/>
                <w:b w:val="0"/>
                <w:sz w:val="18"/>
              </w:rPr>
              <w:t>Corporate income-tax return and related tax/audit requirements as applicable.</w:t>
            </w:r>
          </w:p>
        </w:tc>
      </w:tr>
      <w:tr>
        <w:trPr>
          <w:trHeight w:hRule="atLeast"/>
        </w:trPr>
        <w:tc>
          <w:tcPr>
            <w:tcW w:type="dxa" w:w="5040"/>
            <w:vAlign w:val="center"/>
          </w:tcPr>
          <w:p>
            <w:r/>
            <w:r>
              <w:rPr>
                <w:rFonts w:ascii="Aptos" w:hAnsi="Aptos"/>
                <w:b w:val="0"/>
                <w:sz w:val="18"/>
              </w:rPr>
              <w:t>TDS / GST</w:t>
            </w:r>
          </w:p>
        </w:tc>
        <w:tc>
          <w:tcPr>
            <w:tcW w:type="dxa" w:w="5040"/>
            <w:vAlign w:val="center"/>
          </w:tcPr>
          <w:p>
            <w:r/>
            <w:r>
              <w:rPr>
                <w:rFonts w:ascii="Aptos" w:hAnsi="Aptos"/>
                <w:b w:val="0"/>
                <w:sz w:val="18"/>
              </w:rPr>
              <w:t>Periodic returns/payments where registration and transaction facts trigger them.</w:t>
            </w:r>
          </w:p>
        </w:tc>
      </w:tr>
      <w:tr>
        <w:trPr>
          <w:trHeight w:hRule="atLeast"/>
        </w:trPr>
        <w:tc>
          <w:tcPr>
            <w:tcW w:type="dxa" w:w="5040"/>
            <w:vAlign w:val="center"/>
          </w:tcPr>
          <w:p>
            <w:r/>
            <w:r>
              <w:rPr>
                <w:rFonts w:ascii="Aptos" w:hAnsi="Aptos"/>
                <w:b w:val="0"/>
                <w:sz w:val="18"/>
              </w:rPr>
              <w:t>Event-based ROC</w:t>
            </w:r>
          </w:p>
        </w:tc>
        <w:tc>
          <w:tcPr>
            <w:tcW w:type="dxa" w:w="5040"/>
            <w:vAlign w:val="center"/>
          </w:tcPr>
          <w:p>
            <w:r/>
            <w:r>
              <w:rPr>
                <w:rFonts w:ascii="Aptos" w:hAnsi="Aptos"/>
                <w:b w:val="0"/>
                <w:sz w:val="18"/>
              </w:rPr>
              <w:t>File event forms for changes in directors, registered office, capital, allotments, charges and other reportable corporate actions.</w:t>
            </w:r>
          </w:p>
        </w:tc>
      </w:tr>
    </w:tbl>
    <w:p/>
    <w:p>
      <w:pPr>
        <w:pStyle w:val="Heading1"/>
      </w:pPr>
      <w:r>
        <w:t>15. AI-company legal and governance priorities</w:t>
      </w:r>
    </w:p>
    <w:p>
      <w:pPr>
        <w:pStyle w:val="ListBullet"/>
        <w:spacing w:after="40"/>
      </w:pPr>
      <w:r>
        <w:t>Enterprise customer contracting: SaaS/license terms, service levels, implementation SOWs, warranties, liability allocation and security commitments.</w:t>
      </w:r>
    </w:p>
    <w:p>
      <w:pPr>
        <w:pStyle w:val="ListBullet"/>
        <w:spacing w:after="40"/>
      </w:pPr>
      <w:r>
        <w:t>Data protection: map personal/company data flows; establish DPAs, retention/deletion controls, subprocessors and cross-border arrangements as applicable.</w:t>
      </w:r>
    </w:p>
    <w:p>
      <w:pPr>
        <w:pStyle w:val="ListBullet"/>
        <w:spacing w:after="40"/>
      </w:pPr>
      <w:r>
        <w:t>AI governance: model/agent inventory, evaluation standards, human oversight, audit logs, incident response and acceptable-use controls.</w:t>
      </w:r>
    </w:p>
    <w:p>
      <w:pPr>
        <w:pStyle w:val="ListBullet"/>
        <w:spacing w:after="40"/>
      </w:pPr>
      <w:r>
        <w:t>Security: identity/access controls, least privilege, secrets management, encryption, tenant isolation, logging, vulnerability management and secure SDLC.</w:t>
      </w:r>
    </w:p>
    <w:p>
      <w:pPr>
        <w:pStyle w:val="ListBullet"/>
        <w:spacing w:after="40"/>
      </w:pPr>
      <w:r>
        <w:t>Third-party AI/model providers: review commercial rights, data-use terms, confidentiality, training-use restrictions, output/IP provisions and availability dependencies.</w:t>
      </w:r>
    </w:p>
    <w:p>
      <w:pPr>
        <w:pStyle w:val="ListBullet"/>
        <w:spacing w:after="40"/>
      </w:pPr>
      <w:r>
        <w:t>Open-source software: maintain an OSS inventory and license-compliance process.</w:t>
      </w:r>
    </w:p>
    <w:p>
      <w:pPr>
        <w:pStyle w:val="ListBullet"/>
        <w:spacing w:after="40"/>
      </w:pPr>
      <w:r>
        <w:t>Regulated use cases: perform additional legal/compliance review before deploying into high-impact or sector-regulated workflows.</w:t>
      </w:r>
    </w:p>
    <w:p>
      <w:pPr>
        <w:pStyle w:val="Heading1"/>
      </w:pPr>
      <w:r>
        <w:t>16. Items to confirm with the filing professional before submission</w:t>
      </w:r>
    </w:p>
    <w:p>
      <w:pPr>
        <w:pStyle w:val="ListBullet"/>
        <w:spacing w:after="40"/>
      </w:pPr>
      <w:r>
        <w:t>Availability and registrability of CEREBRO HIVE PRIVATE LIMITED.</w:t>
      </w:r>
    </w:p>
    <w:p>
      <w:pPr>
        <w:pStyle w:val="ListBullet"/>
        <w:spacing w:after="40"/>
      </w:pPr>
      <w:r>
        <w:t>Trademark conflicts and preferred trademark classes for the planned software/services.</w:t>
      </w:r>
    </w:p>
    <w:p>
      <w:pPr>
        <w:pStyle w:val="ListBullet"/>
        <w:spacing w:after="40"/>
      </w:pPr>
      <w:r>
        <w:t>Exact registered-office address and documentary sufficiency.</w:t>
      </w:r>
    </w:p>
    <w:p>
      <w:pPr>
        <w:pStyle w:val="ListBullet"/>
        <w:spacing w:after="40"/>
      </w:pPr>
      <w:r>
        <w:t>Exact authorized capital after considering Kerala stamp duty / filing economics and near-term funding plans.</w:t>
      </w:r>
    </w:p>
    <w:p>
      <w:pPr>
        <w:pStyle w:val="ListBullet"/>
        <w:spacing w:after="40"/>
      </w:pPr>
      <w:r>
        <w:t>Final e-MOA object language and e-AOA provisions.</w:t>
      </w:r>
    </w:p>
    <w:p>
      <w:pPr>
        <w:pStyle w:val="ListBullet"/>
        <w:spacing w:after="40"/>
      </w:pPr>
      <w:r>
        <w:t>Exact industrial activity / NIC code in the live MCA interface.</w:t>
      </w:r>
    </w:p>
    <w:p>
      <w:pPr>
        <w:pStyle w:val="ListBullet"/>
        <w:spacing w:after="40"/>
      </w:pPr>
      <w:r>
        <w:t>Whether both proposed directors satisfy all eligibility/KYC requirements, including the statutory resident-director requirement.</w:t>
      </w:r>
    </w:p>
    <w:p>
      <w:pPr>
        <w:pStyle w:val="ListBullet"/>
        <w:spacing w:after="40"/>
      </w:pPr>
      <w:r>
        <w:t>Whether the company qualifies as a 'small company' from time to time, because this can affect certain compliance requirements.</w:t>
      </w:r>
    </w:p>
    <w:p>
      <w:pPr>
        <w:pStyle w:val="ListBullet"/>
        <w:spacing w:after="40"/>
      </w:pPr>
      <w:r>
        <w:t>Any Kerala Shops &amp; Establishments, professional tax, labour or other state registrations triggered by actual operations/employees.</w:t>
      </w:r>
    </w:p>
    <w:p>
      <w:pPr>
        <w:pStyle w:val="Heading1"/>
      </w:pPr>
      <w:r>
        <w:t>17. Official-source notes</w:t>
      </w:r>
    </w:p>
    <w:p>
      <w:r>
        <w:t>MCA's SPICe+ instruction kit states that the form captures the proposed company's main division of industrial activity and proposed/approved name. MCA's AGILE-PRO-S instruction kit describes the linked incorporation workflow for GSTIN (where applied), EPFO, ESIC, bank-account opening and other specified registrations/services. MCA's INC-20A instruction kit states that a company having share capital must file the commencement declaration within 180 days of incorporation.</w:t>
      </w:r>
    </w:p>
    <w:p>
      <w:r>
        <w:t>Official references for the professional reviewer: Ministry of Corporate Affairs (mca.gov.in); SPICe+ (INC-32) Instruction Kit; AGILE-PRO-S (INC-35) Instruction Kit; INC-20A Instruction Kit; Companies Act, 2013 and rules as amended.</w:t>
      </w:r>
    </w:p>
    <w:p>
      <w:pPr>
        <w:pStyle w:val="Heading1"/>
      </w:pPr>
      <w:r>
        <w:t>18. Professional hand-off checklist</w:t>
      </w:r>
    </w:p>
    <w:p>
      <w:pPr>
        <w:pStyle w:val="ListBullet"/>
        <w:spacing w:after="40"/>
      </w:pPr>
      <w:r>
        <w:t>☐ Confirm name search and trademark screening.</w:t>
      </w:r>
    </w:p>
    <w:p>
      <w:pPr>
        <w:pStyle w:val="ListBullet"/>
        <w:spacing w:after="40"/>
      </w:pPr>
      <w:r>
        <w:t>☐ Confirm 90/10 share subscription and ₹10 face value.</w:t>
      </w:r>
    </w:p>
    <w:p>
      <w:pPr>
        <w:pStyle w:val="ListBullet"/>
        <w:spacing w:after="40"/>
      </w:pPr>
      <w:r>
        <w:t>☐ Confirm authorized capital amount.</w:t>
      </w:r>
    </w:p>
    <w:p>
      <w:pPr>
        <w:pStyle w:val="ListBullet"/>
        <w:spacing w:after="40"/>
      </w:pPr>
      <w:r>
        <w:t>☐ Finalize MOA/AOA and industrial activity/NIC code.</w:t>
      </w:r>
    </w:p>
    <w:p>
      <w:pPr>
        <w:pStyle w:val="ListBullet"/>
        <w:spacing w:after="40"/>
      </w:pPr>
      <w:r>
        <w:t>☐ Validate founder/director KYC and DSCs.</w:t>
      </w:r>
    </w:p>
    <w:p>
      <w:pPr>
        <w:pStyle w:val="ListBullet"/>
        <w:spacing w:after="40"/>
      </w:pPr>
      <w:r>
        <w:t>☐ Validate Kerala registered-office evidence.</w:t>
      </w:r>
    </w:p>
    <w:p>
      <w:pPr>
        <w:pStyle w:val="ListBullet"/>
        <w:spacing w:after="40"/>
      </w:pPr>
      <w:r>
        <w:t>☐ File SPICe+ and linked forms.</w:t>
      </w:r>
    </w:p>
    <w:p>
      <w:pPr>
        <w:pStyle w:val="ListBullet"/>
        <w:spacing w:after="40"/>
      </w:pPr>
      <w:r>
        <w:t>☐ Set post-incorporation board/auditor/INC-20A calendar.</w:t>
      </w:r>
    </w:p>
    <w:p>
      <w:pPr>
        <w:pStyle w:val="ListBullet"/>
        <w:spacing w:after="40"/>
      </w:pPr>
      <w:r>
        <w:t>☐ Execute founder/IP documents.</w:t>
      </w:r>
    </w:p>
    <w:p>
      <w:pPr>
        <w:pStyle w:val="ListBullet"/>
        <w:spacing w:after="40"/>
      </w:pPr>
      <w:r>
        <w:t>☐ Establish annual ROC/tax/accounting compliance calendar.</w:t>
      </w:r>
    </w:p>
    <w:p>
      <w:pPr>
        <w:pStyle w:val="SmallNote"/>
        <w:spacing w:before="200"/>
      </w:pPr>
      <w:r>
        <w:t>Disclaimer: This pack is a business-planning and incorporation-preparation draft. It is not legal, tax, accounting or investment advice. Company-law forms, thresholds, exemptions, state duties and filing requirements can change. Final documents and filings should be reviewed and certified by the appropriate practising professionals.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draft for review with a practising Company Secretary / Chartered Accountant / lawyer  •  9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CEREBRO HIVE PRIVATE LIMITED  |  INCORPORATION &amp; FOUNDER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