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rFonts w:ascii="Times New Roman" w:cs="Times New Roman" w:eastAsia="Times New Roman" w:hAnsi="Times New Roman"/>
          <w:b w:val="false"/>
          <w:bCs w:val="false"/>
          <w:sz w:val="24"/>
          <w:szCs w:val="24"/>
        </w:rPr>
        <w:t xml:space="preserve">COMPANIES ACT, 2013</w:t>
      </w:r>
    </w:p>
    <w:p>
      <w:pPr>
        <w:spacing w:after="120" w:before="120"/>
        <w:jc w:val="center"/>
      </w:pPr>
      <w:r>
        <w:rPr>
          <w:rFonts w:ascii="Times New Roman" w:cs="Times New Roman" w:eastAsia="Times New Roman" w:hAnsi="Times New Roman"/>
          <w:b w:val="false"/>
          <w:bCs w:val="false"/>
          <w:sz w:val="24"/>
          <w:szCs w:val="24"/>
        </w:rPr>
        <w:t xml:space="preserve">COMPANY LIMITED BY SHARES</w:t>
      </w:r>
    </w:p>
    <w:p/>
    <w:p>
      <w:pPr>
        <w:spacing w:after="120" w:before="120"/>
        <w:jc w:val="center"/>
      </w:pPr>
      <w:r>
        <w:rPr>
          <w:rFonts w:ascii="Times New Roman" w:cs="Times New Roman" w:eastAsia="Times New Roman" w:hAnsi="Times New Roman"/>
          <w:b/>
          <w:bCs/>
          <w:sz w:val="24"/>
          <w:szCs w:val="24"/>
        </w:rPr>
        <w:t xml:space="preserve">ARTICLES OF ASSOCIATION</w:t>
      </w:r>
    </w:p>
    <w:p>
      <w:pPr>
        <w:spacing w:after="120" w:before="120"/>
        <w:jc w:val="center"/>
      </w:pPr>
      <w:r>
        <w:rPr>
          <w:rFonts w:ascii="Times New Roman" w:cs="Times New Roman" w:eastAsia="Times New Roman" w:hAnsi="Times New Roman"/>
          <w:b/>
          <w:bCs/>
          <w:sz w:val="24"/>
          <w:szCs w:val="24"/>
        </w:rPr>
        <w:t xml:space="preserve">OF</w:t>
      </w:r>
    </w:p>
    <w:p>
      <w:pPr>
        <w:spacing w:after="120" w:before="120"/>
        <w:jc w:val="center"/>
      </w:pPr>
      <w:r>
        <w:rPr>
          <w:rFonts w:ascii="Times New Roman" w:cs="Times New Roman" w:eastAsia="Times New Roman" w:hAnsi="Times New Roman"/>
          <w:b/>
          <w:bCs/>
          <w:sz w:val="24"/>
          <w:szCs w:val="24"/>
        </w:rPr>
        <w:t xml:space="preserve">CEREBROHIVE PRIVATE LIMITED</w:t>
      </w:r>
    </w:p>
    <w:p>
      <w:pPr>
        <w:spacing w:after="120" w:before="120"/>
        <w:jc w:val="center"/>
      </w:pPr>
      <w:r>
        <w:rPr>
          <w:rFonts w:ascii="Times New Roman" w:cs="Times New Roman" w:eastAsia="Times New Roman" w:hAnsi="Times New Roman"/>
          <w:b w:val="false"/>
          <w:bCs w:val="false"/>
          <w:sz w:val="24"/>
          <w:szCs w:val="24"/>
        </w:rPr>
        <w:t xml:space="preserve">(A Private Limited Company incorporated in the State of [•STATE•])</w:t>
      </w:r>
    </w:p>
    <w:p/>
    <w:p>
      <w:pPr>
        <w:pBdr>
          <w:bottom w:val="single" w:sz="6"/>
        </w:pBdr>
        <w:spacing w:after="200" w:before="200"/>
      </w:pPr>
    </w:p>
    <w:p/>
    <w:p>
      <w:pPr>
        <w:pStyle w:val="Heading1"/>
        <w:spacing w:after="150" w:before="300"/>
      </w:pPr>
      <w:r>
        <w:t xml:space="preserve">PART I — PRELIMINARY</w:t>
      </w:r>
    </w:p>
    <w:p>
      <w:pPr>
        <w:spacing w:after="80" w:before="120"/>
        <w:ind w:left="36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These Articles of Association are adopted for CEREBROHIVE PRIVATE LIMITED (hereinafter referred to as "the Company"), a private limited company incorporated under the Companies Act, 2013.</w:t>
      </w:r>
    </w:p>
    <w:p>
      <w:pPr>
        <w:spacing w:after="80" w:before="120"/>
        <w:ind w:left="36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In these Articles, unless the context otherwise requires: (a) "Act" means the Companies Act, 2013, and any statutory modification or re-enactment thereof for the time being in force; (b) "Board" means the Board of Directors of the Company; (c) "Member" means a member of the Company as defined under Section 2(55) of the Act; (d) "Regulations" means the Companies (Incorporation) Rules, 2014; (e) "Seal" means the Common Seal of the Company.</w:t>
      </w:r>
    </w:p>
    <w:p>
      <w:pPr>
        <w:spacing w:after="80" w:before="120"/>
        <w:ind w:left="36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regulations contained in Table F of Schedule I of the Companies Act, 2013 shall apply to the Company except in so far as they are repugnant to or inconsistent with or varied by these Articles.</w:t>
      </w:r>
    </w:p>
    <w:p>
      <w:pPr>
        <w:pStyle w:val="Heading1"/>
        <w:spacing w:after="150" w:before="300"/>
      </w:pPr>
      <w:r>
        <w:t xml:space="preserve">PART II — SHARE CAPITAL AND VARIATION OF RIGHTS</w:t>
      </w:r>
    </w:p>
    <w:p>
      <w:pPr>
        <w:spacing w:after="80" w:before="120"/>
        <w:ind w:left="36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The Authorised Share Capital of the Company is ₹10,00,000 (Rupees Ten Lakhs) divided into 1,00,000 Equity Shares of ₹10 each. The Company may, by ordinary resolution passed at a General Meeting, increase, consolidate, subdivide, cancel or reduce its share capital in accordance with the Act.</w:t>
      </w:r>
    </w:p>
    <w:p>
      <w:pPr>
        <w:spacing w:after="80" w:before="120"/>
        <w:ind w:left="36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Subject to the provisions of the Act and these Articles, the shares in the capital of the Company shall be under the control of the Board, who may allot or otherwise dispose of the same to such person, on such terms and conditions, and at such times as the Board thinks fit.</w:t>
      </w:r>
    </w:p>
    <w:p>
      <w:pPr>
        <w:spacing w:after="80" w:before="120"/>
        <w:ind w:left="36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Every person whose name is entered as a member in the Register of Members shall, without payment, be entitled to receive within two months after incorporation, or within one month of the application for registration of transfer of shares, a certificate under the seal of the Company specifying the share or shares held by him and the amount paid thereon.</w:t>
      </w:r>
    </w:p>
    <w:p>
      <w:pPr>
        <w:spacing w:after="80" w:before="120"/>
        <w:ind w:left="36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The Company shall not issue any shares to the public and shall not invite the public to subscribe for any shares in the Company. The Company shall restrict the right to transfer its shares as provided in these Articles.</w:t>
      </w:r>
    </w:p>
    <w:p>
      <w:pPr>
        <w:spacing w:after="80" w:before="120"/>
        <w:ind w:left="36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The Board may, in its absolute discretion and without assigning any reason, decline to register the transfer of shares to any person who is not already a member of the Company unless approved by a resolution of the Board.</w:t>
      </w:r>
    </w:p>
    <w:p>
      <w:pPr>
        <w:spacing w:after="80" w:before="120"/>
        <w:ind w:left="360" w:hanging="36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The right of pre-emption shall apply to any proposed transfer of shares. A member intending to transfer shares shall first offer such shares to the existing members in proportion to their shareholding at a price to be mutually agreed or determined by the Board.</w:t>
      </w:r>
    </w:p>
    <w:p>
      <w:pPr>
        <w:pStyle w:val="Heading1"/>
        <w:spacing w:after="150" w:before="300"/>
      </w:pPr>
      <w:r>
        <w:t xml:space="preserve">PART III — DIRECTORS</w:t>
      </w:r>
    </w:p>
    <w:p>
      <w:pPr>
        <w:spacing w:after="80" w:before="120"/>
        <w:ind w:left="360" w:hanging="36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The minimum number of Directors shall be two (2) and the maximum number shall be fifteen (15). The first Directors of the Company are named in the Statement of First Directors filed with the Registrar of Companies at the time of incorporation.</w:t>
      </w:r>
    </w:p>
    <w:p>
      <w:pPr>
        <w:spacing w:after="80" w:before="120"/>
        <w:ind w:left="360" w:hanging="36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The Board shall have the power to appoint any person as an Additional Director. An Additional Director shall hold office only up to the date of the next Annual General Meeting or the last date on which such Annual General Meeting should have been held, whichever is earlier.</w:t>
      </w:r>
    </w:p>
    <w:p>
      <w:pPr>
        <w:spacing w:after="80" w:before="120"/>
        <w:ind w:left="360" w:hanging="36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A Director shall not be required to hold any qualification shares. A Director shall not be liable to retire by rotation if he is a Managing Director or Whole-Time Director.</w:t>
      </w:r>
    </w:p>
    <w:p>
      <w:pPr>
        <w:spacing w:after="80" w:before="120"/>
        <w:ind w:left="360" w:hanging="36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The Directors may be paid such remuneration as may be determined by the Board and approved by the Members in a General Meeting, subject to the provisions of the Act.</w:t>
      </w:r>
    </w:p>
    <w:p>
      <w:pPr>
        <w:spacing w:after="80" w:before="120"/>
        <w:ind w:left="360" w:hanging="36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A Director may be removed by an ordinary resolution of the Company after giving him a reasonable opportunity of being heard, as per Section 169 of the Act.</w:t>
      </w:r>
    </w:p>
    <w:p>
      <w:pPr>
        <w:spacing w:after="80" w:before="120"/>
        <w:ind w:left="360" w:hanging="36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The quorum for a Board meeting shall be one-third of total strength or two directors, whichever is higher. Where the Company has only two directors, both shall be present.</w:t>
      </w:r>
    </w:p>
    <w:p>
      <w:pPr>
        <w:spacing w:after="80" w:before="120"/>
        <w:ind w:left="360" w:hanging="36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The Board may delegate any of its powers to a committee consisting of such Director or Directors as it thinks fit, subject to the provisions of the Act.</w:t>
      </w:r>
    </w:p>
    <w:p>
      <w:pPr>
        <w:pStyle w:val="Heading1"/>
        <w:spacing w:after="150" w:before="300"/>
      </w:pPr>
      <w:r>
        <w:t xml:space="preserve">PART IV — MANAGING DIRECTOR / WHOLE-TIME DIRECTOR</w:t>
      </w:r>
    </w:p>
    <w:p>
      <w:pPr>
        <w:spacing w:after="80" w:before="120"/>
        <w:ind w:left="360" w:hanging="360"/>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The Board may appoint one of its members as the Managing Director of the Company for a period not exceeding five years at a time, subject to Section 196 and Schedule V of the Act, and may fix his/her remuneration by way of salary, commission, perquisites, or any combination thereof.</w:t>
      </w:r>
    </w:p>
    <w:p>
      <w:pPr>
        <w:spacing w:after="80" w:before="120"/>
        <w:ind w:left="360" w:hanging="360"/>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The Managing Director shall, subject to the superintendence, direction, and control of the Board, manage the day-to-day affairs of the Company and shall have all powers of management of the Company.</w:t>
      </w:r>
    </w:p>
    <w:p>
      <w:pPr>
        <w:pStyle w:val="Heading1"/>
        <w:spacing w:after="150" w:before="300"/>
      </w:pPr>
      <w:r>
        <w:t xml:space="preserve">PART V — GENERAL MEETINGS</w:t>
      </w:r>
    </w:p>
    <w:p>
      <w:pPr>
        <w:spacing w:after="80" w:before="120"/>
        <w:ind w:left="360" w:hanging="360"/>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The Annual General Meeting of the Company shall be held each year within the time limits prescribed by Section 96 of the Act. The Board shall fix the date, time, and place for the Annual General Meeting.</w:t>
      </w:r>
    </w:p>
    <w:p>
      <w:pPr>
        <w:spacing w:after="80" w:before="120"/>
        <w:ind w:left="360" w:hanging="360"/>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The quorum for a General Meeting shall be two members personally present. If the quorum is not present within half an hour from the time appointed, the meeting shall stand adjourned to the same day in the next week at the same time and place.</w:t>
      </w:r>
    </w:p>
    <w:p>
      <w:pPr>
        <w:spacing w:after="80" w:before="120"/>
        <w:ind w:left="360" w:hanging="360"/>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An Extraordinary General Meeting may be convened by the Board at any time, or requisitioned by members holding not less than one-tenth of the paid-up share capital carrying voting rights.</w:t>
      </w:r>
    </w:p>
    <w:p>
      <w:pPr>
        <w:spacing w:after="80" w:before="120"/>
        <w:ind w:left="360" w:hanging="360"/>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Votes may be given either personally or by proxy. A proxy shall not be entitled to vote on a show of hands. A member may appoint any person (whether a member or not) as his proxy, provided such person is not a minor.</w:t>
      </w:r>
    </w:p>
    <w:p>
      <w:pPr>
        <w:pStyle w:val="Heading1"/>
        <w:spacing w:after="150" w:before="300"/>
      </w:pPr>
      <w:r>
        <w:t xml:space="preserve">PART VI — DIVIDENDS AND RESERVES</w:t>
      </w:r>
    </w:p>
    <w:p>
      <w:pPr>
        <w:spacing w:after="80" w:before="120"/>
        <w:ind w:left="360" w:hanging="360"/>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The Company may, in a General Meeting, declare dividends on the recommendation of the Board. No dividend shall exceed the amount recommended by the Board.</w:t>
      </w:r>
    </w:p>
    <w:p>
      <w:pPr>
        <w:spacing w:after="80" w:before="120"/>
        <w:ind w:left="360" w:hanging="360"/>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The Board may, before recommending any dividend, set aside out of the profits of the Company such sums as it thinks fit as a reserve or reserves which shall, at the discretion of the Board, be applicable for any purpose to which the profits of the Company may be properly applied.</w:t>
      </w:r>
    </w:p>
    <w:p>
      <w:pPr>
        <w:spacing w:after="80" w:before="120"/>
        <w:ind w:left="360" w:hanging="360"/>
        <w:jc w:val="both"/>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No dividend shall be paid otherwise than out of profits of the Company or out of moneys provided by the Central or State Government for the payment of dividend in pursuance of any guarantee given by such Government.</w:t>
      </w:r>
    </w:p>
    <w:p>
      <w:pPr>
        <w:pStyle w:val="Heading1"/>
        <w:spacing w:after="150" w:before="300"/>
      </w:pPr>
      <w:r>
        <w:t xml:space="preserve">PART VII — ACCOUNTS AND AUDIT</w:t>
      </w:r>
    </w:p>
    <w:p>
      <w:pPr>
        <w:spacing w:after="80" w:before="120"/>
        <w:ind w:left="360" w:hanging="360"/>
        <w:jc w:val="both"/>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rPr>
        <w:t xml:space="preserve">The books of account of the Company shall be kept at the registered office of the Company or at such other place in India as the Board may decide in accordance with the Act.</w:t>
      </w:r>
    </w:p>
    <w:p>
      <w:pPr>
        <w:spacing w:after="80" w:before="120"/>
        <w:ind w:left="360" w:hanging="360"/>
        <w:jc w:val="both"/>
      </w:pPr>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rPr>
        <w:t xml:space="preserve">The Company shall appoint a Statutory Auditor as per the provisions of the Act. The auditor shall audit the accounts of the Company and the report shall be laid before the Annual General Meeting.</w:t>
      </w:r>
    </w:p>
    <w:p>
      <w:pPr>
        <w:pStyle w:val="Heading1"/>
        <w:spacing w:after="150" w:before="300"/>
      </w:pPr>
      <w:r>
        <w:t xml:space="preserve">PART VIII — THE SEAL</w:t>
      </w:r>
    </w:p>
    <w:p>
      <w:pPr>
        <w:spacing w:after="80" w:before="120"/>
        <w:ind w:left="360" w:hanging="360"/>
        <w:jc w:val="both"/>
      </w:pPr>
      <w:r>
        <w:rPr>
          <w:rFonts w:ascii="Times New Roman" w:cs="Times New Roman" w:eastAsia="Times New Roman" w:hAnsi="Times New Roman"/>
          <w:b/>
          <w:bCs/>
          <w:sz w:val="24"/>
          <w:szCs w:val="24"/>
        </w:rPr>
        <w:t xml:space="preserve">28. </w:t>
      </w:r>
      <w:r>
        <w:rPr>
          <w:rFonts w:ascii="Times New Roman" w:cs="Times New Roman" w:eastAsia="Times New Roman" w:hAnsi="Times New Roman"/>
          <w:sz w:val="24"/>
          <w:szCs w:val="24"/>
        </w:rPr>
        <w:t xml:space="preserve">The Board shall provide for the safe custody of the Common Seal. The Common Seal of the Company shall be used only by the authority of the Board or of a committee of the Board authorised in this behalf, and every instrument to which the seal is affixed shall be signed by two Directors or by one Director and the Company Secretary.</w:t>
      </w:r>
    </w:p>
    <w:p>
      <w:pPr>
        <w:pStyle w:val="Heading1"/>
        <w:spacing w:after="150" w:before="300"/>
      </w:pPr>
      <w:r>
        <w:t xml:space="preserve">PART IX — WINDING UP</w:t>
      </w:r>
    </w:p>
    <w:p>
      <w:pPr>
        <w:spacing w:after="80" w:before="120"/>
        <w:ind w:left="360" w:hanging="360"/>
        <w:jc w:val="both"/>
      </w:pPr>
      <w:r>
        <w:rPr>
          <w:rFonts w:ascii="Times New Roman" w:cs="Times New Roman" w:eastAsia="Times New Roman" w:hAnsi="Times New Roman"/>
          <w:b/>
          <w:bCs/>
          <w:sz w:val="24"/>
          <w:szCs w:val="24"/>
        </w:rPr>
        <w:t xml:space="preserve">29. </w:t>
      </w:r>
      <w:r>
        <w:rPr>
          <w:rFonts w:ascii="Times New Roman" w:cs="Times New Roman" w:eastAsia="Times New Roman" w:hAnsi="Times New Roman"/>
          <w:sz w:val="24"/>
          <w:szCs w:val="24"/>
        </w:rPr>
        <w:t xml:space="preserve">If the Company shall be wound up, the liquidator may, with the sanction of a special resolution, divide amongst the members in specie any part of the assets of the Company, and may, with the like sanction, vest any part of the assets in trustees upon such trusts for the benefit of the contributories, as the liquidator with the like sanction shall think fit.</w:t>
      </w:r>
    </w:p>
    <w:p>
      <w:pPr>
        <w:pStyle w:val="Heading1"/>
        <w:spacing w:after="150" w:before="300"/>
      </w:pPr>
      <w:r>
        <w:t xml:space="preserve">PART X — INDEMNITY</w:t>
      </w:r>
    </w:p>
    <w:p>
      <w:pPr>
        <w:spacing w:after="80" w:before="120"/>
        <w:ind w:left="360" w:hanging="360"/>
        <w:jc w:val="both"/>
      </w:pPr>
      <w:r>
        <w:rPr>
          <w:rFonts w:ascii="Times New Roman" w:cs="Times New Roman" w:eastAsia="Times New Roman" w:hAnsi="Times New Roman"/>
          <w:b/>
          <w:bCs/>
          <w:sz w:val="24"/>
          <w:szCs w:val="24"/>
        </w:rPr>
        <w:t xml:space="preserve">30. </w:t>
      </w:r>
      <w:r>
        <w:rPr>
          <w:rFonts w:ascii="Times New Roman" w:cs="Times New Roman" w:eastAsia="Times New Roman" w:hAnsi="Times New Roman"/>
          <w:sz w:val="24"/>
          <w:szCs w:val="24"/>
        </w:rPr>
        <w:t xml:space="preserve">Every Director, Manager, Auditor, Treasurer, Secretary, and other officer or servant of the Company shall be indemnified out of the assets of the Company against any liability incurred by him in defending any proceedings, whether civil or criminal, in which judgment is given in his favour or in which he is acquitted or in connection with any application under the Act in which relief is granted to him by the Court.</w:t>
      </w:r>
    </w:p>
    <w:p/>
    <w:p>
      <w:pPr>
        <w:pBdr>
          <w:top w:val="single" w:sz="6"/>
        </w:pBdr>
        <w:spacing w:after="100" w:before="200"/>
      </w:pPr>
    </w:p>
    <w:p>
      <w:pPr>
        <w:spacing w:after="100" w:before="100"/>
        <w:jc w:val="both"/>
      </w:pPr>
      <w:r>
        <w:rPr>
          <w:rFonts w:ascii="Times New Roman" w:cs="Times New Roman" w:eastAsia="Times New Roman" w:hAnsi="Times New Roman"/>
          <w:sz w:val="24"/>
          <w:szCs w:val="24"/>
        </w:rPr>
        <w:t xml:space="preserve">We, the several persons whose names and addresses are subscribed below, are desirous of being formed into a Company in pursuance of these Articles of Association:</w:t>
      </w:r>
    </w:p>
    <w:p/>
    <w:p>
      <w:pPr>
        <w:spacing w:after="100" w:before="100"/>
        <w:jc w:val="both"/>
      </w:pPr>
      <w:r>
        <w:rPr>
          <w:rFonts w:ascii="Times New Roman" w:cs="Times New Roman" w:eastAsia="Times New Roman" w:hAnsi="Times New Roman"/>
          <w:sz w:val="24"/>
          <w:szCs w:val="24"/>
        </w:rPr>
        <w:t xml:space="preserve">Name: Philemon Nathan | DIN: [•DIN•] | Signature: __________________ | Date: __________________</w:t>
      </w:r>
    </w:p>
    <w:p>
      <w:pPr>
        <w:spacing w:after="100" w:before="100"/>
        <w:jc w:val="both"/>
      </w:pPr>
      <w:r>
        <w:rPr>
          <w:rFonts w:ascii="Times New Roman" w:cs="Times New Roman" w:eastAsia="Times New Roman" w:hAnsi="Times New Roman"/>
          <w:sz w:val="24"/>
          <w:szCs w:val="24"/>
        </w:rPr>
        <w:t xml:space="preserve">Name: [•Second Director•]  | DIN: [•DIN•] | Signature: __________________ | Date: __________________</w:t>
      </w:r>
    </w:p>
    <w:p/>
    <w:p>
      <w:pPr>
        <w:spacing w:after="100" w:before="100"/>
        <w:jc w:val="both"/>
      </w:pPr>
      <w:r>
        <w:rPr>
          <w:rFonts w:ascii="Times New Roman" w:cs="Times New Roman" w:eastAsia="Times New Roman" w:hAnsi="Times New Roman"/>
          <w:sz w:val="24"/>
          <w:szCs w:val="24"/>
        </w:rPr>
        <w:t xml:space="preserve">Witness: Name ____________ | Signature ____________ | Address ____________</w:t>
      </w:r>
    </w:p>
    <w:p/>
    <w:p>
      <w:pPr>
        <w:spacing w:after="120" w:before="120"/>
        <w:jc w:val="center"/>
      </w:pPr>
      <w:r>
        <w:rPr>
          <w:rFonts w:ascii="Times New Roman" w:cs="Times New Roman" w:eastAsia="Times New Roman" w:hAnsi="Times New Roman"/>
          <w:b w:val="false"/>
          <w:bCs w:val="false"/>
          <w:sz w:val="24"/>
          <w:szCs w:val="24"/>
        </w:rPr>
        <w:t xml:space="preserve">NOTE: All placeholders marked [•…•] must be filled in by a Company Secretary or CA before filing.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2026-08-05T21:20:45.415Z</dcterms:created>
  <dcterms:modified xsi:type="dcterms:W3CDTF">2026-08-05T21:20:45.416Z</dcterms:modified>
</cp:coreProperties>
</file>

<file path=docProps/custom.xml><?xml version="1.0" encoding="utf-8"?>
<Properties xmlns="http://schemas.openxmlformats.org/officeDocument/2006/custom-properties" xmlns:vt="http://schemas.openxmlformats.org/officeDocument/2006/docPropsVTypes"/>
</file>