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859AF" w14:textId="77777777" w:rsidR="004E2C5A" w:rsidRPr="004E2C5A" w:rsidRDefault="004E2C5A" w:rsidP="004E2C5A">
      <w:r w:rsidRPr="004E2C5A">
        <w:rPr>
          <w:b/>
          <w:bCs/>
        </w:rPr>
        <w:t>The Situation</w:t>
      </w:r>
    </w:p>
    <w:p w14:paraId="5F1594B2" w14:textId="77777777" w:rsidR="004E2C5A" w:rsidRPr="004E2C5A" w:rsidRDefault="004E2C5A" w:rsidP="004E2C5A">
      <w:r w:rsidRPr="004E2C5A">
        <w:t>The question is no longer whether AI will become transformatively capable, but how fast, through what mechanisms, and against what constraints. This Google DeepMind report (Genewein et al., 2026) maps the terrain between human-level AGI and artificial general superintelligence — and its framing deserves space on any strategic agenda before the next board conversation.</w:t>
      </w:r>
    </w:p>
    <w:p w14:paraId="59F64FE6" w14:textId="77777777" w:rsidR="004E2C5A" w:rsidRPr="004E2C5A" w:rsidRDefault="004E2C5A" w:rsidP="004E2C5A">
      <w:r w:rsidRPr="004E2C5A">
        <w:t>The report's working definitions are precise enough to be useful. AGI means roughly median human performance across the full spectrum of cognitive tasks — not narrow excellence, but broad competence. ASI means a system that outperforms large, well-coordinated groups of human experts — think tens of thousands of specialists working for years — across virtually all domains. Between them lies a continuum, not a cliff edge. The theoretical ceiling of this continuum is Universal AI (UAI), formalized as the AIXI framework: a hypothetical agent that maximally compresses and generalizes across all computable experience. AIXI is incomputable in practice but is theoretically well understood, and critically, it establishes that there is no hard upper bound on machine intelligence short of fundamental physics, complexity theory, and logic.</w:t>
      </w:r>
    </w:p>
    <w:p w14:paraId="5963FF39" w14:textId="77777777" w:rsidR="004E2C5A" w:rsidRPr="004E2C5A" w:rsidRDefault="004E2C5A" w:rsidP="004E2C5A">
      <w:r w:rsidRPr="004E2C5A">
        <w:rPr>
          <w:b/>
          <w:bCs/>
        </w:rPr>
        <w:t>Why Digital Intelligence Is Structurally Different</w:t>
      </w:r>
    </w:p>
    <w:p w14:paraId="6C431149" w14:textId="77777777" w:rsidR="004E2C5A" w:rsidRPr="004E2C5A" w:rsidRDefault="004E2C5A" w:rsidP="004E2C5A">
      <w:r w:rsidRPr="004E2C5A">
        <w:t>Before the pathways, the report surfaces what may be its most practically important insight: AI's advantages over biological intelligence don't merely add up, they compound with more compute. Six specific properties of digital intelligence grow with scale and have no biological equivalent. Input/output bandwidth already exceeds human capacity enormously and increases further with better hardware. Internal processing speed — both sequential depth and parallel breadth — scales with compute in ways biological neurons cannot match. Working memory capacity is already vastly superhuman and nowhere near its technological ceiling. Substrate independence means an AI can migrate across compute platforms, potentially upgrading at runtime. Lossless replication means not just source code but full learned memory state can be copied, backed up, and spawned in parallel at negligible marginal cost. And high-bandwidth sharing of learning experiences means that in a collective of homogeneous AI instances, raw gradient signals and interaction data can be exchanged at speeds impossible in any human organization.</w:t>
      </w:r>
    </w:p>
    <w:p w14:paraId="63FB06B8" w14:textId="77777777" w:rsidR="004E2C5A" w:rsidRPr="004E2C5A" w:rsidRDefault="004E2C5A" w:rsidP="004E2C5A">
      <w:r w:rsidRPr="004E2C5A">
        <w:t>These are not cosmetic differences. They mean that as compute scales, the gap between AI and human capability widens structurally, independent of further algorithmic innovation.</w:t>
      </w:r>
    </w:p>
    <w:p w14:paraId="303D9B95" w14:textId="77777777" w:rsidR="004E2C5A" w:rsidRPr="004E2C5A" w:rsidRDefault="004E2C5A" w:rsidP="004E2C5A">
      <w:r w:rsidRPr="004E2C5A">
        <w:rPr>
          <w:b/>
          <w:bCs/>
        </w:rPr>
        <w:t>Four Pathways: The Strategic Vectors</w:t>
      </w:r>
    </w:p>
    <w:p w14:paraId="46867BB2" w14:textId="77777777" w:rsidR="004E2C5A" w:rsidRPr="004E2C5A" w:rsidRDefault="004E2C5A" w:rsidP="004E2C5A">
      <w:r w:rsidRPr="004E2C5A">
        <w:lastRenderedPageBreak/>
        <w:t>The report identifies four technological routes from AGI to ASI, each distinct but not mutually exclusive — they are likely to run concurrently, with compounding rather than merely additive effects.</w:t>
      </w:r>
    </w:p>
    <w:p w14:paraId="304429F7" w14:textId="77777777" w:rsidR="004E2C5A" w:rsidRPr="004E2C5A" w:rsidRDefault="004E2C5A" w:rsidP="004E2C5A">
      <w:r w:rsidRPr="004E2C5A">
        <w:t>The first, and the only one with historical data for extrapolation, is continued scaling of compute, models, and data. Effective compute — the combined product of hardware improvement, investment growth, and algorithmic efficiency gains — has been growing at roughly 10× per year over the last decade. If this trajectory persists even partially, the implications are substantial. Running millions of AGI instances orders of magnitude faster than humans already constitutes a form of collective superintelligence, even with no individual model improving. The crux here is sustainability: whether economic inputs, energy infrastructure, and data supply can continue scaling through many further orders of magnitude.</w:t>
      </w:r>
    </w:p>
    <w:p w14:paraId="420ABB74" w14:textId="77777777" w:rsidR="004E2C5A" w:rsidRPr="004E2C5A" w:rsidRDefault="004E2C5A" w:rsidP="004E2C5A">
      <w:r w:rsidRPr="004E2C5A">
        <w:t>The second pathway is algorithmic paradigm shifts — changes sufficiently dramatic to sharply deviate from today's paradigm of pretraining large transformers on log-loss minimization. True paradigm shifts are by nature hard to predict, which makes this pathway the least amenable to quantitative forecasting. What can be said is that if scaling hits its ceiling, the pressure to find a new paradigm intensifies, and the report notes that advances in data efficiency, energy efficiency, continual learning, and robust decision-making are all candidates for what the next paradigm would need to deliver.</w:t>
      </w:r>
    </w:p>
    <w:p w14:paraId="30C61900" w14:textId="77777777" w:rsidR="004E2C5A" w:rsidRPr="004E2C5A" w:rsidRDefault="004E2C5A" w:rsidP="004E2C5A">
      <w:r w:rsidRPr="004E2C5A">
        <w:t>The third pathway is recursive self-improvement, where AI systems contribute to AI research and development — generating better training data, discovering improved architectures, automating experiments, and designing more efficient hardware — in a positive feedback loop. This is the pathway with the most dramatic upside and the highest uncertainty. Weak forms of it are arguably already underway: neural architecture search, AI-assisted chip design, AlphaZero-style iterative distillation of search outputs. Fully autonomous recursive improvement could produce hyperbolic growth dynamics — theoretically approaching a singularity — though in practice, physical constraints (the time required to run experiments, manufacture hardware, validate against physical reality) act as dampers. The report is careful not to dismiss this pathway but equally careful not to assert it is imminent.</w:t>
      </w:r>
    </w:p>
    <w:p w14:paraId="3AB9CFE5" w14:textId="77777777" w:rsidR="004E2C5A" w:rsidRPr="004E2C5A" w:rsidRDefault="004E2C5A" w:rsidP="004E2C5A">
      <w:r w:rsidRPr="004E2C5A">
        <w:t>The fourth pathway is ASI via multi-agent group formation, where superintelligence emerges as a collective property of many AGI agents coordinating at scale. Human organizations already achieve things no individual can; AI collectives could do the same, with the additional advantages of high-bandwidth communication, lossless replication, and flexible scaling. The form this takes — centralized collectives with near-identical instances versus heterogeneous, market-like self-organizing systems — is an open question. What the report argues is that even if individual model capabilities plateau near AGI level, groups of AGIs, scaled with more compute, could constitute ASI simply through organized collective intelligence.</w:t>
      </w:r>
    </w:p>
    <w:p w14:paraId="05695531" w14:textId="77777777" w:rsidR="004E2C5A" w:rsidRPr="004E2C5A" w:rsidRDefault="004E2C5A" w:rsidP="004E2C5A">
      <w:r w:rsidRPr="004E2C5A">
        <w:rPr>
          <w:b/>
          <w:bCs/>
        </w:rPr>
        <w:lastRenderedPageBreak/>
        <w:t>Six Frictions: The Risk Register</w:t>
      </w:r>
    </w:p>
    <w:p w14:paraId="34F5F9D7" w14:textId="77777777" w:rsidR="004E2C5A" w:rsidRPr="004E2C5A" w:rsidRDefault="004E2C5A" w:rsidP="004E2C5A">
      <w:r w:rsidRPr="004E2C5A">
        <w:t>Against each pathway, the report maps a set of frictions and bottlenecks. None can yet be confidently classified as a fundamental blocker versus a mere speed bump — the report is explicit that determining their significance is itself an open research question.</w:t>
      </w:r>
    </w:p>
    <w:p w14:paraId="5B7E7A0E" w14:textId="77777777" w:rsidR="004E2C5A" w:rsidRPr="004E2C5A" w:rsidRDefault="004E2C5A" w:rsidP="004E2C5A">
      <w:r w:rsidRPr="004E2C5A">
        <w:t>The data wall is the most discussed in public discourse: the rate of growth in model sizes already outpaces the global production of novel high-quality training data, and human-generated text is estimated to be effectively exhausted later this decade. The counter is synthetic data generation, simulation, and interaction data from agentic AI — but whether these can substitute at scale without degeneration is unresolved.</w:t>
      </w:r>
    </w:p>
    <w:p w14:paraId="1E1D59D5" w14:textId="77777777" w:rsidR="004E2C5A" w:rsidRPr="004E2C5A" w:rsidRDefault="004E2C5A" w:rsidP="004E2C5A">
      <w:r w:rsidRPr="004E2C5A">
        <w:t>Economic and natural resource demand is the friction that could dominate if scaling is the primary pathway. Continued exponential growth in compute requires proportional growth in energy, hardware manufacturing, and capital investment. The environmental footprint — land, water, rare earths, carbon — adds a societal dimension to what begins as an engineering constraint.</w:t>
      </w:r>
    </w:p>
    <w:p w14:paraId="670C05AF" w14:textId="77777777" w:rsidR="004E2C5A" w:rsidRPr="004E2C5A" w:rsidRDefault="004E2C5A" w:rsidP="004E2C5A">
      <w:r w:rsidRPr="004E2C5A">
        <w:t>The neural paradigm may be insufficient is the concern that large pretrained transformers, even with sophisticated post-training and scaffolding, cannot reach AGI or ASI. The report's assessment is that smooth evolution of the current paradigm — rather than wholesale replacement — is plausible, but some observed failure modes (hallucinations, prompt injection vulnerability, inability to reason reliably under epistemic uncertainty) may require architectural changes rather than tuning.</w:t>
      </w:r>
    </w:p>
    <w:p w14:paraId="53430B73" w14:textId="77777777" w:rsidR="004E2C5A" w:rsidRPr="004E2C5A" w:rsidRDefault="004E2C5A" w:rsidP="004E2C5A">
      <w:r w:rsidRPr="004E2C5A">
        <w:t>Research gets harder captures the well-documented phenomenon that maintaining a constant rate of progress in any maturing field requires exponentially increasing inputs. The offsetting factor is that AI research automation could dramatically shift this dynamic: spinning up 18 times more artificial researchers takes hours, not decades.</w:t>
      </w:r>
    </w:p>
    <w:p w14:paraId="4E1B24CD" w14:textId="77777777" w:rsidR="004E2C5A" w:rsidRPr="004E2C5A" w:rsidRDefault="004E2C5A" w:rsidP="004E2C5A">
      <w:r w:rsidRPr="004E2C5A">
        <w:t>The abstraction barrier is perhaps the most philosophically interesting friction. The hypothesis is that AI systems trained predominantly on human-generated content — already-translated-into-symbols cognitive products — may be bounded by existing human conceptual frameworks. They can recombine and extend within those frameworks at superhuman speed, but they may lack the mechanism to discover genuinely new conceptual primitives from raw physical data, the kind of discovery that drove the Newtonian and Einsteinian revolutions. If true, reaching transformative ASI — the ability to invent new scientific paradigms rather than accelerate existing ones — may require a shift toward grounded, embodied concept formation, and that process is constrained by the latency of physical experimentation.</w:t>
      </w:r>
    </w:p>
    <w:p w14:paraId="025FA724" w14:textId="77777777" w:rsidR="004E2C5A" w:rsidRPr="004E2C5A" w:rsidRDefault="004E2C5A" w:rsidP="004E2C5A">
      <w:r w:rsidRPr="004E2C5A">
        <w:t xml:space="preserve">Deliberate slowdown is the regulatory and sociopolitical friction. Accidents, societal backlash, and governance responses could slow or redirect capability development. The counterpressure is competitive economic and military dynamics between nations, </w:t>
      </w:r>
      <w:r w:rsidRPr="004E2C5A">
        <w:lastRenderedPageBreak/>
        <w:t>which the report acknowledges tends historically to override coordination on technology constraints. The two forces are in tension, and the outcome is genuinely uncertain.</w:t>
      </w:r>
    </w:p>
    <w:p w14:paraId="2A9BBB50" w14:textId="77777777" w:rsidR="004E2C5A" w:rsidRPr="004E2C5A" w:rsidRDefault="004E2C5A" w:rsidP="004E2C5A">
      <w:r w:rsidRPr="004E2C5A">
        <w:rPr>
          <w:b/>
          <w:bCs/>
        </w:rPr>
        <w:t>The Research Agenda: What Remains Unknown</w:t>
      </w:r>
    </w:p>
    <w:p w14:paraId="336DBE7D" w14:textId="77777777" w:rsidR="004E2C5A" w:rsidRPr="004E2C5A" w:rsidRDefault="004E2C5A" w:rsidP="004E2C5A">
      <w:r w:rsidRPr="004E2C5A">
        <w:t>The report closes with what is effectively a strategic uncertainty map — the open research questions that, if answered, would substantially reduce forecasting error. These cluster into five themes: better quantitative models coupling compute growth to capability growth and economic output; benchmarking methodologies that continue to function beyond human expert level and don't require human-in-the-loop evaluation; understanding recursive improvement dynamics well enough to formulate scaling laws for it; understanding how collective intelligence scales with group size, form of organization, and task type; and advancing the theoretical foundations of superintelligence, particularly the gap between AIXI theory and practical deep learning.</w:t>
      </w:r>
    </w:p>
    <w:p w14:paraId="14318466" w14:textId="77777777" w:rsidR="004E2C5A" w:rsidRPr="004E2C5A" w:rsidRDefault="004E2C5A" w:rsidP="004E2C5A">
      <w:r w:rsidRPr="004E2C5A">
        <w:rPr>
          <w:b/>
          <w:bCs/>
        </w:rPr>
        <w:t>The Bottom Line</w:t>
      </w:r>
    </w:p>
    <w:p w14:paraId="4AB0FF5E" w14:textId="77777777" w:rsidR="004E2C5A" w:rsidRPr="004E2C5A" w:rsidRDefault="004E2C5A" w:rsidP="004E2C5A">
      <w:r w:rsidRPr="004E2C5A">
        <w:t>The report's honest conclusion is that the possibility of cruising past AGI and into ASI territory within the next decade or two cannot be easily dismissed, but neither can a trajectory where progress plateaus before AGI, or where multiple frictions compound into a sustained ceiling. For AI progress to stall exactly at human level, several independent bottlenecks would all need to bite simultaneously — which the authors consider less likely than either a pre-AGI plateau or a relatively smooth AGI-to-ASI transition.</w:t>
      </w:r>
    </w:p>
    <w:p w14:paraId="0341897A" w14:textId="77777777" w:rsidR="004E2C5A" w:rsidRPr="004E2C5A" w:rsidRDefault="004E2C5A" w:rsidP="004E2C5A">
      <w:r w:rsidRPr="004E2C5A">
        <w:t>The consultant's takeaway is this: the uncertainty is irreducible in the near term, but it is not symmetric. The asymmetry of impact — a world with ASI looks radically different from a world without it — means that the cost of being unprepared for rapid progress is likely much higher than the cost of preparing for rapid progress that turns out to be slower. The report's recommendation is not to pick one scenario but to maintain a diverse set of quantitative forecasts, update them continuously against observable indicators, and build the organizational and policy capacity to respond quickly as the picture clarifies. That is not hedging — it is the only defensible strategy under genuine uncertainty.</w:t>
      </w:r>
    </w:p>
    <w:p w14:paraId="10329375" w14:textId="77777777" w:rsidR="00DC4B6C" w:rsidRDefault="00DC4B6C"/>
    <w:sectPr w:rsidR="00DC4B6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B6C"/>
    <w:rsid w:val="004E2C5A"/>
    <w:rsid w:val="00B26490"/>
    <w:rsid w:val="00DC4B6C"/>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170F05-519F-4937-B2D8-CB7F1458AB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B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4B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4B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4B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4B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4B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B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B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B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B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4B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4B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4B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4B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4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B6C"/>
    <w:rPr>
      <w:rFonts w:eastAsiaTheme="majorEastAsia" w:cstheme="majorBidi"/>
      <w:color w:val="272727" w:themeColor="text1" w:themeTint="D8"/>
    </w:rPr>
  </w:style>
  <w:style w:type="paragraph" w:styleId="Title">
    <w:name w:val="Title"/>
    <w:basedOn w:val="Normal"/>
    <w:next w:val="Normal"/>
    <w:link w:val="TitleChar"/>
    <w:uiPriority w:val="10"/>
    <w:qFormat/>
    <w:rsid w:val="00DC4B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B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B6C"/>
    <w:pPr>
      <w:spacing w:before="160"/>
      <w:jc w:val="center"/>
    </w:pPr>
    <w:rPr>
      <w:i/>
      <w:iCs/>
      <w:color w:val="404040" w:themeColor="text1" w:themeTint="BF"/>
    </w:rPr>
  </w:style>
  <w:style w:type="character" w:customStyle="1" w:styleId="QuoteChar">
    <w:name w:val="Quote Char"/>
    <w:basedOn w:val="DefaultParagraphFont"/>
    <w:link w:val="Quote"/>
    <w:uiPriority w:val="29"/>
    <w:rsid w:val="00DC4B6C"/>
    <w:rPr>
      <w:i/>
      <w:iCs/>
      <w:color w:val="404040" w:themeColor="text1" w:themeTint="BF"/>
    </w:rPr>
  </w:style>
  <w:style w:type="paragraph" w:styleId="ListParagraph">
    <w:name w:val="List Paragraph"/>
    <w:basedOn w:val="Normal"/>
    <w:uiPriority w:val="34"/>
    <w:qFormat/>
    <w:rsid w:val="00DC4B6C"/>
    <w:pPr>
      <w:ind w:left="720"/>
      <w:contextualSpacing/>
    </w:pPr>
  </w:style>
  <w:style w:type="character" w:styleId="IntenseEmphasis">
    <w:name w:val="Intense Emphasis"/>
    <w:basedOn w:val="DefaultParagraphFont"/>
    <w:uiPriority w:val="21"/>
    <w:qFormat/>
    <w:rsid w:val="00DC4B6C"/>
    <w:rPr>
      <w:i/>
      <w:iCs/>
      <w:color w:val="0F4761" w:themeColor="accent1" w:themeShade="BF"/>
    </w:rPr>
  </w:style>
  <w:style w:type="paragraph" w:styleId="IntenseQuote">
    <w:name w:val="Intense Quote"/>
    <w:basedOn w:val="Normal"/>
    <w:next w:val="Normal"/>
    <w:link w:val="IntenseQuoteChar"/>
    <w:uiPriority w:val="30"/>
    <w:qFormat/>
    <w:rsid w:val="00DC4B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B6C"/>
    <w:rPr>
      <w:i/>
      <w:iCs/>
      <w:color w:val="0F4761" w:themeColor="accent1" w:themeShade="BF"/>
    </w:rPr>
  </w:style>
  <w:style w:type="character" w:styleId="IntenseReference">
    <w:name w:val="Intense Reference"/>
    <w:basedOn w:val="DefaultParagraphFont"/>
    <w:uiPriority w:val="32"/>
    <w:qFormat/>
    <w:rsid w:val="00DC4B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1626</Words>
  <Characters>9269</Characters>
  <Application>Microsoft Office Word</Application>
  <DocSecurity>0</DocSecurity>
  <Lines>77</Lines>
  <Paragraphs>21</Paragraphs>
  <ScaleCrop>false</ScaleCrop>
  <Company/>
  <LinksUpToDate>false</LinksUpToDate>
  <CharactersWithSpaces>10874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Ravana Viswanath</dc:creator>
  <cp:keywords/>
  <dc:description/>
  <cp:lastModifiedBy>Ravana Viswanath</cp:lastModifiedBy>
  <cp:revision>2</cp:revision>
  <dcterms:created xsi:type="dcterms:W3CDTF">2026-06-23T11:46:00Z</dcterms:created>
  <dcterms:modified xsi:type="dcterms:W3CDTF">2026-06-23T11:46:00Z</dcterms:modified>
</cp:coreProperties>
</file>