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5B6470"/>
          <w:spacing w:val="20"/>
          <w:sz w:val="22"/>
          <w:szCs w:val="22"/>
        </w:rPr>
        <w:t xml:space="preserve">CEREBROHIVE</w:t>
      </w:r>
    </w:p>
    <w:p>
      <w:pPr>
        <w:spacing w:after="120"/>
      </w:pPr>
      <w:r>
        <w:rPr>
          <w:b/>
          <w:bCs/>
          <w:color w:val="111318"/>
          <w:sz w:val="56"/>
          <w:szCs w:val="56"/>
        </w:rPr>
        <w:t xml:space="preserve">Enterprise AI Platform</w:t>
      </w:r>
    </w:p>
    <w:p>
      <w:pPr>
        <w:spacing w:after="400"/>
      </w:pPr>
      <w:r>
        <w:rPr>
          <w:color w:val="0F5132"/>
          <w:sz w:val="26"/>
          <w:szCs w:val="26"/>
        </w:rPr>
        <w:t xml:space="preserve">A Strategic Architecture for Platform, Products, Enterprise Services &amp; Research</w:t>
      </w:r>
    </w:p>
    <w:p>
      <w:pPr>
        <w:spacing w:after="40"/>
      </w:pPr>
      <w:r>
        <w:rPr>
          <w:color w:val="5B6470"/>
          <w:sz w:val="20"/>
          <w:szCs w:val="20"/>
        </w:rPr>
        <w:t xml:space="preserve">Prepared for: Phil, CerebroHive</w:t>
      </w:r>
    </w:p>
    <w:p>
      <w:pPr>
        <w:spacing w:after="900"/>
      </w:pPr>
      <w:r>
        <w:rPr>
          <w:color w:val="5B6470"/>
          <w:sz w:val="20"/>
          <w:szCs w:val="20"/>
        </w:rPr>
        <w:t xml:space="preserve">July 17, 2026</w:t>
      </w:r>
    </w:p>
    <w:p>
      <w:pPr>
        <w:spacing w:after="100"/>
      </w:pPr>
      <w:r>
        <w:rPr>
          <w:b/>
          <w:bCs/>
          <w:color w:val="111318"/>
          <w:sz w:val="21"/>
          <w:szCs w:val="21"/>
        </w:rPr>
        <w:t xml:space="preserve">Core thesis</w:t>
      </w:r>
    </w:p>
    <w:p>
      <w:pPr>
        <w:spacing w:after="160" w:line="276"/>
      </w:pPr>
      <w:r>
        <w:rPr>
          <w:color w:val="111318"/>
          <w:sz w:val="21"/>
          <w:szCs w:val="21"/>
        </w:rPr>
        <w:t xml:space="preserve">If CerebroHive wants to compete with enterprise AI companies rather than be “another AI consulting company,” the biggest differentiator has to be proprietary technology — platform capabilities customers can only get from CerebroHive. Consulting is a services business with no defensible moat; a platform is IP that compounds, licenses, and scales without linear headcount.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 w:line="276"/>
      </w:pPr>
      <w:r>
        <w:rPr>
          <w:color w:val="111318"/>
          <w:sz w:val="21"/>
          <w:szCs w:val="21"/>
        </w:rPr>
        <w:t xml:space="preserve">This document organizes CerebroHive's offering into four pillars — Platform, Products, Enterprise Services, and Research — with the Platform as the proprietary core that every Product and Service is built on. Services stop being generic “AI consulting” and become delivery mechanisms for platform IP; Products become packaged applications of the platform; Research becomes the pipeline that keeps the platform ahead.</w:t>
      </w:r>
    </w:p>
    <w:p>
      <w:pPr>
        <w:spacing w:after="160" w:line="276"/>
      </w:pPr>
      <w:r>
        <w:rPr>
          <w:color w:val="111318"/>
          <w:sz w:val="21"/>
          <w:szCs w:val="21"/>
        </w:rPr>
        <w:t xml:space="preserve">The strongest IP here is not any single algorithm. It is the architecture: the orchestration layer, the operating model, and the integrated platform that ties together multi-agent execution, enterprise memory, governance, knowledge, workflows, observability and industry accelerators into one coherent system.</w:t>
      </w:r>
    </w:p>
    <w:p>
      <w:pPr>
        <w:pStyle w:val="Heading1"/>
        <w:spacing w:after="200" w:before="400"/>
      </w:pPr>
      <w:r>
        <w:t xml:space="preserve">2. The Four-Pillar Model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00"/>
      </w:tblGrid>
      <w:tr>
        <w:trPr>
          <w:tblHeader/>
        </w:trPr>
        <w:tc>
          <w:tcPr>
            <w:tcW w:type="dxa" w:w="26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42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Buyer relationship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Platform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Proprietary technology layer — the moat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Licensed / embedded, rarely sold standalone</w:t>
            </w:r>
          </w:p>
        </w:tc>
      </w:tr>
      <w:tr>
        <w:tc>
          <w:tcPr>
            <w:tcW w:type="dxa" w:w="2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Products</w:t>
            </w:r>
          </w:p>
        </w:tc>
        <w:tc>
          <w:tcPr>
            <w:tcW w:type="dxa" w:w="42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Packaged applications built on the Platform</w:t>
            </w:r>
          </w:p>
        </w:tc>
        <w:tc>
          <w:tcPr>
            <w:tcW w:type="dxa" w:w="32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Sold directly, seat- or usage-based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Services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Delivery, integration and adoption of Platform + Products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Project fees, retainers, accelerators</w:t>
            </w:r>
          </w:p>
        </w:tc>
      </w:tr>
      <w:tr>
        <w:tc>
          <w:tcPr>
            <w:tcW w:type="dxa" w:w="2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Research</w:t>
            </w:r>
          </w:p>
        </w:tc>
        <w:tc>
          <w:tcPr>
            <w:tcW w:type="dxa" w:w="42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CerebroHive Labs — feeds new capability back into the Platform</w:t>
            </w:r>
          </w:p>
        </w:tc>
        <w:tc>
          <w:tcPr>
            <w:tcW w:type="dxa" w:w="32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Licensing, publications, spin-offs</w:t>
            </w:r>
          </w:p>
        </w:tc>
      </w:tr>
    </w:tbl>
    <w:p>
      <w:pPr>
        <w:spacing w:after="240" w:before="60"/>
      </w:pPr>
      <w:r>
        <w:rPr>
          <w:i/>
          <w:iCs/>
          <w:color w:val="5B6470"/>
          <w:sz w:val="18"/>
          <w:szCs w:val="18"/>
        </w:rPr>
        <w:t xml:space="preserve">The flywheel: Research advances the Platform → the Platform powers Products → Enterprise Services deliver both into the enterprise → client engagements surface new research problems.</w:t>
      </w:r>
    </w:p>
    <w:p>
      <w:pPr>
        <w:pStyle w:val="Heading1"/>
        <w:spacing w:after="200" w:before="400"/>
      </w:pPr>
      <w:r>
        <w:t xml:space="preserve">3. Platform — Cerebro AgentOS™ and 15 Core Capabilities</w:t>
      </w:r>
    </w:p>
    <w:p>
      <w:pPr>
        <w:spacing w:after="160" w:line="276"/>
      </w:pPr>
      <w:r>
        <w:rPr>
          <w:color w:val="111318"/>
          <w:sz w:val="21"/>
          <w:szCs w:val="21"/>
        </w:rPr>
        <w:t xml:space="preserve">Cerebro AgentOS™ is the flagship: an Enterprise AI Operating System, positioned as “Kubernetes for AI agents.” The remaining fourteen capabilities are the modules and adjacent systems that make the OS enterprise-grade. Each is a brandable, defensible piece of infrastructure in its own right.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74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AgentOS™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Multi-agent runtime, scheduler, planner, tool registry, workflow engine, event bus, observability, governance. The flagship — “Kubernetes for AI agents.”</w:t>
            </w:r>
          </w:p>
        </w:tc>
      </w:tr>
      <w:tr>
        <w:tc>
          <w:tcPr>
            <w:tcW w:type="dxa" w:w="2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Memory Fabric™</w:t>
            </w:r>
          </w:p>
        </w:tc>
        <w:tc>
          <w:tcPr>
            <w:tcW w:type="dxa" w:w="7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Short-term, episodic, semantic, organizational, graph and temporal memory, unified across documents, chats, ERP, CRM, email and meetings.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Knowledge Fabric™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knowledge platform: GraphRAG, hybrid/semantic search, citation engine, knowledge graph, document intelligence, enterprise search.</w:t>
            </w:r>
          </w:p>
        </w:tc>
      </w:tr>
      <w:tr>
        <w:tc>
          <w:tcPr>
            <w:tcW w:type="dxa" w:w="2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Reasoning Engine™</w:t>
            </w:r>
          </w:p>
        </w:tc>
        <w:tc>
          <w:tcPr>
            <w:tcW w:type="dxa" w:w="7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Adaptive orchestration layer that selects the right reasoning strategy per task — CoT, ToT, GoT, ReAct, planner-executor, debate, reflection.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Context Engine™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Auto-assembles execution context from user, workspace, documents, CRM, calendar, ERP, prior runs and policy — replaces manual prompting.</w:t>
            </w:r>
          </w:p>
        </w:tc>
      </w:tr>
      <w:tr>
        <w:tc>
          <w:tcPr>
            <w:tcW w:type="dxa" w:w="2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Agent Mesh™</w:t>
            </w:r>
          </w:p>
        </w:tc>
        <w:tc>
          <w:tcPr>
            <w:tcW w:type="dxa" w:w="7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Multi-agent communication layer: discovery, registry, message routing, negotiation, consensus, voting, shared memory.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Flow™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Visual AI workflow platform — pipelines, approvals, retries, schedules, event triggers, human-in-the-loop review.</w:t>
            </w:r>
          </w:p>
        </w:tc>
      </w:tr>
      <w:tr>
        <w:tc>
          <w:tcPr>
            <w:tcW w:type="dxa" w:w="2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Connect™</w:t>
            </w:r>
          </w:p>
        </w:tc>
        <w:tc>
          <w:tcPr>
            <w:tcW w:type="dxa" w:w="7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integration layer with hundreds of connectors: SAP, Salesforce, Oracle, Snowflake, Microsoft, Google, Slack, GitHub, Jira, ServiceNow.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Guard™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AI security: prompt-injection detection, PII protection, RBAC, policy engine, secrets, audit, content safety.</w:t>
            </w:r>
          </w:p>
        </w:tc>
      </w:tr>
      <w:tr>
        <w:tc>
          <w:tcPr>
            <w:tcW w:type="dxa" w:w="2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Eval™</w:t>
            </w:r>
          </w:p>
        </w:tc>
        <w:tc>
          <w:tcPr>
            <w:tcW w:type="dxa" w:w="7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Continuous evaluation — accuracy, hallucination, citation quality, latency, cost, groundedness.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Observatory™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Distributed-tracing-grade observability for agent systems: traces, workflow graphs, tool calls, token usage, cost, failures.</w:t>
            </w:r>
          </w:p>
        </w:tc>
      </w:tr>
      <w:tr>
        <w:tc>
          <w:tcPr>
            <w:tcW w:type="dxa" w:w="2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Cortex™</w:t>
            </w:r>
          </w:p>
        </w:tc>
        <w:tc>
          <w:tcPr>
            <w:tcW w:type="dxa" w:w="7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decision engine — optimization, forecasting, recommendations and simulation for supply chain, finance, manufacturing, logistics.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Simulator™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 digital-twin platform for agents, workflows, factories, hospitals, banks and logistics networks — “what-if” analysis.</w:t>
            </w:r>
          </w:p>
        </w:tc>
      </w:tr>
      <w:tr>
        <w:tc>
          <w:tcPr>
            <w:tcW w:type="dxa" w:w="2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Intelligence Hub™</w:t>
            </w:r>
          </w:p>
        </w:tc>
        <w:tc>
          <w:tcPr>
            <w:tcW w:type="dxa" w:w="7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Unifies CRM, ERP, documents, knowledge, email, meetings, policy and analytics into one intelligence layer.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 Governance™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Approvals, audit, compliance (SOC 2, ISO, GDPR, HIPAA) and policy management across every layer above.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t xml:space="preserve">4. Products — Packaged Applications of the Platform</w:t>
      </w:r>
    </w:p>
    <w:p>
      <w:pPr>
        <w:spacing w:after="160" w:line="276"/>
      </w:pPr>
      <w:r>
        <w:rPr>
          <w:color w:val="111318"/>
          <w:sz w:val="21"/>
          <w:szCs w:val="21"/>
        </w:rPr>
        <w:t xml:space="preserve">Products are what customers buy and use day to day. Each one is a thin, opinionated application layer over one or more Platform capabilities — which is why they can ship fast and stay coherent.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600"/>
      </w:tblGrid>
      <w:tr>
        <w:trPr>
          <w:tblHeader/>
        </w:trPr>
        <w:tc>
          <w:tcPr>
            <w:tcW w:type="dxa" w:w="20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4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6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CerebroArchive™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Knowledge Platform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RAG, research, documents, knowledge graph, citations, AI search.</w:t>
            </w:r>
          </w:p>
        </w:tc>
      </w:tr>
      <w:tr>
        <w:tc>
          <w:tcPr>
            <w:tcW w:type="dxa" w:w="2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CerebroStudio™</w:t>
            </w:r>
          </w:p>
        </w:tc>
        <w:tc>
          <w:tcPr>
            <w:tcW w:type="dxa" w:w="2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 Builder</w:t>
            </w:r>
          </w:p>
        </w:tc>
        <w:tc>
          <w:tcPr>
            <w:tcW w:type="dxa" w:w="5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Drag-and-drop creation of agents, workflows, automations and copilots.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CerebroFlow™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Workflow Automation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AI-first BPM built on the Flow engine.</w:t>
            </w:r>
          </w:p>
        </w:tc>
      </w:tr>
      <w:tr>
        <w:tc>
          <w:tcPr>
            <w:tcW w:type="dxa" w:w="2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CerebroInsight™</w:t>
            </w:r>
          </w:p>
        </w:tc>
        <w:tc>
          <w:tcPr>
            <w:tcW w:type="dxa" w:w="2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Executive Analytics</w:t>
            </w:r>
          </w:p>
        </w:tc>
        <w:tc>
          <w:tcPr>
            <w:tcW w:type="dxa" w:w="5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 dashboards and forecasting for leadership.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CerebroCopilot™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Assistant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Works across ERP, CRM, HR, Finance, Legal and Healthcare workflows.</w:t>
            </w:r>
          </w:p>
        </w:tc>
      </w:tr>
      <w:tr>
        <w:tc>
          <w:tcPr>
            <w:tcW w:type="dxa" w:w="2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CerebroResearch™</w:t>
            </w:r>
          </w:p>
        </w:tc>
        <w:tc>
          <w:tcPr>
            <w:tcW w:type="dxa" w:w="2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Research Platform</w:t>
            </w:r>
          </w:p>
        </w:tc>
        <w:tc>
          <w:tcPr>
            <w:tcW w:type="dxa" w:w="5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Research agents, scientific workflows, paper analysis.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CerebroLearn™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Corporate AI Learning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Training, certification, assessments, hands-on labs.</w:t>
            </w:r>
          </w:p>
        </w:tc>
      </w:tr>
      <w:tr>
        <w:tc>
          <w:tcPr>
            <w:tcW w:type="dxa" w:w="2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HiveShield™</w:t>
            </w:r>
          </w:p>
        </w:tc>
        <w:tc>
          <w:tcPr>
            <w:tcW w:type="dxa" w:w="2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Security Platform</w:t>
            </w:r>
          </w:p>
        </w:tc>
        <w:tc>
          <w:tcPr>
            <w:tcW w:type="dxa" w:w="5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Threat detection, governance and AI safety, built on Guard.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HiveOps™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Operations Center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Deploy, monitor and scale agents in production.</w:t>
            </w:r>
          </w:p>
        </w:tc>
      </w:tr>
      <w:tr>
        <w:tc>
          <w:tcPr>
            <w:tcW w:type="dxa" w:w="2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CerebroSphere™</w:t>
            </w:r>
          </w:p>
        </w:tc>
        <w:tc>
          <w:tcPr>
            <w:tcW w:type="dxa" w:w="2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 Command Center</w:t>
            </w:r>
          </w:p>
        </w:tc>
        <w:tc>
          <w:tcPr>
            <w:tcW w:type="dxa" w:w="5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Mission control: live architecture, agent topology, health, metrics, digital twin.</w:t>
            </w:r>
          </w:p>
        </w:tc>
      </w:tr>
    </w:tbl>
    <w:p>
      <w:pPr>
        <w:pStyle w:val="Heading1"/>
        <w:spacing w:after="200" w:before="400"/>
      </w:pPr>
      <w:r>
        <w:t xml:space="preserve">5. Enterprise Services — Branded, Not Generic Consulting</w:t>
      </w:r>
    </w:p>
    <w:p>
      <w:pPr>
        <w:spacing w:after="160" w:line="276"/>
      </w:pPr>
      <w:r>
        <w:rPr>
          <w:color w:val="111318"/>
          <w:sz w:val="21"/>
          <w:szCs w:val="21"/>
        </w:rPr>
        <w:t xml:space="preserve">Every service is named and scoped around delivering specific Platform or Product capability, not generic “AI advisory.” This reframes the sales conversation from hourly consulting to platform-led transformation.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rPr>
          <w:tblHeader/>
        </w:trPr>
        <w:tc>
          <w:tcPr>
            <w:tcW w:type="dxa" w:w="34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6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CerebroAI Strategy™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Executive AI strategy and roadmap</w:t>
            </w:r>
          </w:p>
        </w:tc>
      </w:tr>
      <w:tr>
        <w:tc>
          <w:tcPr>
            <w:tcW w:type="dxa" w:w="3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Intelligence Modernization™</w:t>
            </w:r>
          </w:p>
        </w:tc>
        <w:tc>
          <w:tcPr>
            <w:tcW w:type="dxa" w:w="6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Digital transformation for legacy knowledge and data estates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Autonomous Enterprise Transformation™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Org-wide agent adoption programs</w:t>
            </w:r>
          </w:p>
        </w:tc>
      </w:tr>
      <w:tr>
        <w:tc>
          <w:tcPr>
            <w:tcW w:type="dxa" w:w="3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 Platform Engineering™</w:t>
            </w:r>
          </w:p>
        </w:tc>
        <w:tc>
          <w:tcPr>
            <w:tcW w:type="dxa" w:w="6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Building enterprise AI platforms on Cerebro technology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Knowledge Engineering™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Knowledge graphs, RAG pipelines, enterprise data</w:t>
            </w:r>
          </w:p>
        </w:tc>
      </w:tr>
      <w:tr>
        <w:tc>
          <w:tcPr>
            <w:tcW w:type="dxa" w:w="3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 Factory™</w:t>
            </w:r>
          </w:p>
        </w:tc>
        <w:tc>
          <w:tcPr>
            <w:tcW w:type="dxa" w:w="6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Rapid, repeatable delivery model for AI use cases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 Center of Excellence™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enablement and internal capability building</w:t>
            </w:r>
          </w:p>
        </w:tc>
      </w:tr>
      <w:tr>
        <w:tc>
          <w:tcPr>
            <w:tcW w:type="dxa" w:w="3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 Governance &amp; Trust™</w:t>
            </w:r>
          </w:p>
        </w:tc>
        <w:tc>
          <w:tcPr>
            <w:tcW w:type="dxa" w:w="6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Responsible AI, policy and compliance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 Operations (AIOps)™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Full-lifecycle operation of enterprise AI systems</w:t>
            </w:r>
          </w:p>
        </w:tc>
      </w:tr>
      <w:tr>
        <w:tc>
          <w:tcPr>
            <w:tcW w:type="dxa" w:w="34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Industry AI Accelerator™</w:t>
            </w:r>
          </w:p>
        </w:tc>
        <w:tc>
          <w:tcPr>
            <w:tcW w:type="dxa" w:w="66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Vertical accelerators: Banking, Healthcare, Manufacturing, Retail, Government, Insurance, Education, Energy, Logistics, Construction, Legal, Telecom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t xml:space="preserve">6. Research — CerebroHive Labs™</w:t>
      </w:r>
    </w:p>
    <w:p>
      <w:pPr>
        <w:spacing w:after="160" w:line="276"/>
      </w:pPr>
      <w:r>
        <w:rPr>
          <w:color w:val="111318"/>
          <w:sz w:val="21"/>
          <w:szCs w:val="21"/>
        </w:rPr>
        <w:t xml:space="preserve">Labs is the mechanism that keeps the Platform ahead of competitors instead of catching up to them. Each research line maps to a specific Platform capability it feeds.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Research line</w:t>
            </w:r>
          </w:p>
        </w:tc>
        <w:tc>
          <w:tcPr>
            <w:tcW w:type="dxa" w:w="7000"/>
            <w:shd w:fill="0F51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Feeds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Agent Architectures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Next-generation multi-agent design patterns</w:t>
            </w:r>
          </w:p>
        </w:tc>
      </w:tr>
      <w:tr>
        <w:tc>
          <w:tcPr>
            <w:tcW w:type="dxa" w:w="3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AI Safety</w:t>
            </w:r>
          </w:p>
        </w:tc>
        <w:tc>
          <w:tcPr>
            <w:tcW w:type="dxa" w:w="7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Alignment, robustness and failure-mode research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Memory Systems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Advances feeding directly into Memory Fabric™</w:t>
            </w:r>
          </w:p>
        </w:tc>
      </w:tr>
      <w:tr>
        <w:tc>
          <w:tcPr>
            <w:tcW w:type="dxa" w:w="3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Planning Algorithms</w:t>
            </w:r>
          </w:p>
        </w:tc>
        <w:tc>
          <w:tcPr>
            <w:tcW w:type="dxa" w:w="7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Feeds the Reasoning Engine™'s strategy library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Enterprise RAG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Retrieval quality, grounding and citation research</w:t>
            </w:r>
          </w:p>
        </w:tc>
      </w:tr>
      <w:tr>
        <w:tc>
          <w:tcPr>
            <w:tcW w:type="dxa" w:w="3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Knowledge Graphs</w:t>
            </w:r>
          </w:p>
        </w:tc>
        <w:tc>
          <w:tcPr>
            <w:tcW w:type="dxa" w:w="7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Feeds Knowledge Fabric™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Digital Twins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Feeds Simulator™</w:t>
            </w:r>
          </w:p>
        </w:tc>
      </w:tr>
      <w:tr>
        <w:tc>
          <w:tcPr>
            <w:tcW w:type="dxa" w:w="3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Multimodal Systems</w:t>
            </w:r>
          </w:p>
        </w:tc>
        <w:tc>
          <w:tcPr>
            <w:tcW w:type="dxa" w:w="7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Cross-modal reasoning and retrieval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Robotics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Physical-world agent execution</w:t>
            </w:r>
          </w:p>
        </w:tc>
      </w:tr>
      <w:tr>
        <w:tc>
          <w:tcPr>
            <w:tcW w:type="dxa" w:w="3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Edge AI</w:t>
            </w:r>
          </w:p>
        </w:tc>
        <w:tc>
          <w:tcPr>
            <w:tcW w:type="dxa" w:w="7000"/>
            <w:shd w:fill="F2F5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318"/>
                <w:sz w:val="19"/>
                <w:szCs w:val="19"/>
              </w:rPr>
              <w:t xml:space="preserve">Low-latency, on-device inference and agents</w:t>
            </w:r>
          </w:p>
        </w:tc>
      </w:tr>
    </w:tbl>
    <w:p>
      <w:pPr>
        <w:pStyle w:val="Heading1"/>
        <w:spacing w:after="200" w:before="400"/>
      </w:pPr>
      <w:r>
        <w:t xml:space="preserve">7. IP &amp; Naming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11318"/>
          <w:sz w:val="21"/>
          <w:szCs w:val="21"/>
        </w:rPr>
        <w:t xml:space="preserve">Trademark the flagship terms first: Cerebro AgentOS™, Memory Fabric™, Knowledge Fabric™, Reasoning Engine™ — these are the terms most likely to appear in analyst reports and competitor comparisons.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318"/>
          <w:sz w:val="21"/>
          <w:szCs w:val="21"/>
        </w:rPr>
        <w:t xml:space="preserve">Never describe a capability by its generic technical name in customer-facing material (e.g., say “Memory Fabric,” not “vector database”) — the abstraction is the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318"/>
          <w:sz w:val="21"/>
          <w:szCs w:val="21"/>
        </w:rPr>
        <w:t xml:space="preserve">Keep the value proposition anchored to adaptive orchestration and integration, not to inventing new algorithms — that is the honest, defensible claim, and it is also the harder one for competitors to copy because it requires the whole platform, not one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318"/>
          <w:sz w:val="21"/>
          <w:szCs w:val="21"/>
        </w:rPr>
        <w:t xml:space="preserve">Every Product page and Service page should name the Platform capabilities it is built on, so the Platform layer visibly compounds credibility across the whole catalog.</w:t>
      </w:r>
    </w:p>
    <w:p>
      <w:pPr>
        <w:pStyle w:val="Heading1"/>
        <w:spacing w:after="200" w:before="400"/>
      </w:pPr>
      <w:r>
        <w:t xml:space="preserve">8. Reconciling with the Current Build</w:t>
      </w:r>
    </w:p>
    <w:p>
      <w:pPr>
        <w:spacing w:after="160" w:line="276"/>
      </w:pPr>
      <w:r>
        <w:rPr>
          <w:color w:val="111318"/>
          <w:sz w:val="21"/>
          <w:szCs w:val="21"/>
        </w:rPr>
        <w:t xml:space="preserve">The cerebro-hive-website project already has real infrastructure that overlaps this taxonomy, under different working 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318"/>
          <w:sz w:val="21"/>
          <w:szCs w:val="21"/>
        </w:rPr>
        <w:t xml:space="preserve">Cerebro AgentOS is already built (lib/data/products/agentos.ts) and closely matches this architecture — its existing “modules” list (Runtime Kernel, Enterprise Memory, Planning &amp; Reasoning, Tool Platform, Workflow &amp; Event Engine, Governance) already maps almost one-to-one onto Memory Fabric, Reasoning Engine, Connect and Governance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318"/>
          <w:sz w:val="21"/>
          <w:szCs w:val="21"/>
        </w:rPr>
        <w:t xml:space="preserve">Knowledge Hub → maps to Knowledge Fabric™.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318"/>
          <w:sz w:val="21"/>
          <w:szCs w:val="21"/>
        </w:rPr>
        <w:t xml:space="preserve">CerebroSphere, HiveMatrix, NeuroFlow, SynapseX, AgentForge, CortexOps, HiveScore and DecisionDNA already exist as “proprietary framework” products under earlier working names, and will need to be reconciled (renamed, merged, or kept as-is) against the Products list in Section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318"/>
          <w:sz w:val="21"/>
          <w:szCs w:val="21"/>
        </w:rPr>
        <w:t xml:space="preserve">A separate internal doc (CerebHive_Products_services_Solutions.md) uses yet a third naming set — CerebroFlow, CerebroAgent, CerebroLearn, CerebroERP, CerebroOS — for the same division. That inconsistency predates this document and should be resolved in one naming pass rather than three.</w:t>
      </w:r>
    </w:p>
    <w:p>
      <w:pPr>
        <w:spacing w:after="160" w:line="276"/>
      </w:pPr>
      <w:r>
        <w:rPr>
          <w:color w:val="111318"/>
          <w:sz w:val="21"/>
          <w:szCs w:val="21"/>
        </w:rPr>
        <w:t xml:space="preserve">Recommendation: treat this document as the target naming and structure, and do the rename/consolidation as a scoped follow-on project — it touches product slugs, routing, the sitemap, footer navigation and existing tests, so it is worth doing deliberately rather than folding into this pass.</w:t>
      </w:r>
    </w:p>
    <w:p>
      <w:pPr>
        <w:pStyle w:val="Heading1"/>
        <w:spacing w:after="200" w:before="400"/>
      </w:pPr>
      <w:r>
        <w:t xml:space="preserve">9. Immediate Next Step (this pass)</w:t>
      </w:r>
    </w:p>
    <w:p>
      <w:pPr>
        <w:spacing w:after="160" w:line="276"/>
      </w:pPr>
      <w:r>
        <w:rPr>
          <w:color w:val="111318"/>
          <w:sz w:val="21"/>
          <w:szCs w:val="21"/>
        </w:rPr>
        <w:t xml:space="preserve">The Products page architecture diagram has been rebuilt to visualize this four-pillar structure (Platform → Products → Enterprise Services → Research) so the positioning is visible on the site today, without renaming or re-routing any existing product pages.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5132" w:sz="4" w:space="4"/>
      </w:pBdr>
      <w:spacing w:after="180" w:before="360"/>
    </w:pPr>
    <w:rPr>
      <w:rFonts w:ascii="Calibri" w:cs="Calibri" w:eastAsia="Calibri" w:hAnsi="Calibri"/>
      <w:b/>
      <w:bCs/>
      <w:color w:val="0F51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113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2026-07-17T08:03:45.450Z</dcterms:created>
  <dcterms:modified xsi:type="dcterms:W3CDTF">2026-07-17T08:03:45.451Z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