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60"/>
      </w:pPr>
      <w:r>
        <w:rPr>
          <w:rFonts w:ascii="Calibri" w:cs="Calibri" w:eastAsia="Calibri" w:hAnsi="Calibri"/>
          <w:b/>
          <w:bCs/>
          <w:color w:val="3E6E9E"/>
          <w:spacing w:val="60"/>
          <w:sz w:val="26"/>
          <w:szCs w:val="26"/>
        </w:rPr>
        <w:t xml:space="preserve">CEREBROHIVE™</w:t>
      </w:r>
    </w:p>
    <w:p>
      <w:pPr>
        <w:pBdr>
          <w:bottom w:val="single" w:color="0B2545" w:sz="14" w:space="12"/>
        </w:pBdr>
        <w:spacing w:after="40"/>
      </w:pPr>
      <w:r>
        <w:rPr>
          <w:sz w:val="12"/>
          <w:szCs w:val="12"/>
        </w:rPr>
        <w:t xml:space="preserve"/>
      </w:r>
    </w:p>
    <w:p>
      <w:pPr>
        <w:spacing w:after="120" w:before="420"/>
      </w:pPr>
      <w:r>
        <w:rPr>
          <w:rFonts w:ascii="Calibri Light" w:cs="Calibri Light" w:eastAsia="Calibri Light" w:hAnsi="Calibri Light"/>
          <w:b/>
          <w:bCs/>
          <w:color w:val="0B2545"/>
          <w:sz w:val="62"/>
          <w:szCs w:val="62"/>
        </w:rPr>
        <w:t xml:space="preserve">Product Strategy and</w:t>
      </w:r>
    </w:p>
    <w:p>
      <w:pPr>
        <w:spacing w:after="120"/>
      </w:pPr>
      <w:r>
        <w:rPr>
          <w:rFonts w:ascii="Calibri Light" w:cs="Calibri Light" w:eastAsia="Calibri Light" w:hAnsi="Calibri Light"/>
          <w:b/>
          <w:bCs/>
          <w:color w:val="0B2545"/>
          <w:sz w:val="62"/>
          <w:szCs w:val="62"/>
        </w:rPr>
        <w:t xml:space="preserve">Execution Plan</w:t>
      </w:r>
    </w:p>
    <w:p>
      <w:pPr>
        <w:spacing w:after="480"/>
      </w:pPr>
      <w:r>
        <w:rPr>
          <w:rFonts w:ascii="Calibri Light" w:cs="Calibri Light" w:eastAsia="Calibri Light" w:hAnsi="Calibri Light"/>
          <w:color w:val="6B7280"/>
          <w:sz w:val="26"/>
          <w:szCs w:val="26"/>
        </w:rPr>
        <w:t xml:space="preserve">A 24-week programme to convert the Enterprise Intelligence Mesh from architecture into a shippable, secure, revenue-bearing platform</w:t>
      </w:r>
    </w:p>
    <w:p>
      <w:pPr>
        <w:spacing w:after="120"/>
      </w:pP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Document</w:t>
            </w:r>
          </w:p>
        </w:tc>
        <w:tc>
          <w:tcPr>
            <w:tcW w:type="dxa" w:w="624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CerebroHive Product Strategy &amp; 120-Day Execution Plan</w:t>
            </w:r>
          </w:p>
        </w:tc>
      </w:tr>
      <w:tr>
        <w:tc>
          <w:tcPr>
            <w:tcW w:type="dxa" w:w="312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Version</w:t>
            </w:r>
          </w:p>
        </w:tc>
        <w:tc>
          <w:tcPr>
            <w:tcW w:type="dxa" w:w="624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1.0 — Canonical</w:t>
            </w:r>
          </w:p>
        </w:tc>
      </w:tr>
      <w:tr>
        <w:tc>
          <w:tcPr>
            <w:tcW w:type="dxa" w:w="312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Date</w:t>
            </w:r>
          </w:p>
        </w:tc>
        <w:tc>
          <w:tcPr>
            <w:tcW w:type="dxa" w:w="624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28 July 2026</w:t>
            </w:r>
          </w:p>
        </w:tc>
      </w:tr>
      <w:tr>
        <w:tc>
          <w:tcPr>
            <w:tcW w:type="dxa" w:w="312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Prepared for</w:t>
            </w:r>
          </w:p>
        </w:tc>
        <w:tc>
          <w:tcPr>
            <w:tcW w:type="dxa" w:w="624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Board, investors, enterprise customers and partners, engineering leadership</w:t>
            </w:r>
          </w:p>
        </w:tc>
      </w:tr>
      <w:tr>
        <w:tc>
          <w:tcPr>
            <w:tcW w:type="dxa" w:w="312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Governing documents</w:t>
            </w:r>
          </w:p>
        </w:tc>
        <w:tc>
          <w:tcPr>
            <w:tcW w:type="dxa" w:w="624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CEREBROHIVE_CONSTITUTION.md · CAPABILITY_ARCHITECTURE.md · COMMERCIAL_STRATEGY.md</w:t>
            </w:r>
          </w:p>
        </w:tc>
      </w:tr>
      <w:tr>
        <w:tc>
          <w:tcPr>
            <w:tcW w:type="dxa" w:w="312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Evidence base</w:t>
            </w:r>
          </w:p>
        </w:tc>
        <w:tc>
          <w:tcPr>
            <w:tcW w:type="dxa" w:w="624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cerebro-hive-os monorepo, audit series, Milestone 25.4C/25.5 reports</w:t>
            </w:r>
          </w:p>
        </w:tc>
      </w:tr>
      <w:tr>
        <w:tc>
          <w:tcPr>
            <w:tcW w:type="dxa" w:w="312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8"/>
                <w:szCs w:val="18"/>
              </w:rPr>
              <w:t xml:space="preserve">Classification</w:t>
            </w:r>
          </w:p>
        </w:tc>
        <w:tc>
          <w:tcPr>
            <w:tcW w:type="dxa" w:w="624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Confidential — do not distribute without written consent</w:t>
            </w:r>
          </w:p>
        </w:tc>
      </w:tr>
    </w:tbl>
    <w:p>
      <w:pPr>
        <w:spacing w:after="120"/>
      </w:pPr>
    </w:p>
    <w:p>
      <w:pPr>
        <w:spacing w:after="120"/>
      </w:pPr>
    </w:p>
    <w:p>
      <w:pPr>
        <w:spacing w:before="200"/>
      </w:pPr>
      <w:r>
        <w:rPr>
          <w:rFonts w:ascii="Calibri" w:cs="Calibri" w:eastAsia="Calibri" w:hAnsi="Calibri"/>
          <w:i/>
          <w:iCs/>
          <w:color w:val="6B7280"/>
          <w:sz w:val="15"/>
          <w:szCs w:val="15"/>
        </w:rPr>
        <w:t xml:space="preserve">This document contains a candid technical assessment alongside forward-looking plans. Financial figures, timelines and hour estimates are planning estimates, not commitments, and are subject to the assumptions register in Appendix D.</w:t>
      </w:r>
    </w:p>
    <w:p>
      <w:r>
        <w:br w:type="page"/>
      </w:r>
    </w:p>
    <w:p>
      <w:pPr>
        <w:pBdr>
          <w:bottom w:val="single" w:color="0B2545" w:sz="10" w:space="8"/>
        </w:pBdr>
        <w:spacing w:after="240"/>
      </w:pPr>
      <w:r>
        <w:rPr>
          <w:rFonts w:ascii="Calibri Light" w:cs="Calibri Light" w:eastAsia="Calibri Light" w:hAnsi="Calibri Light"/>
          <w:b/>
          <w:bCs/>
          <w:color w:val="0B2545"/>
          <w:sz w:val="34"/>
          <w:szCs w:val="34"/>
        </w:rPr>
        <w:t xml:space="preserve">Document Control</w:t>
      </w:r>
    </w:p>
    <w:p>
      <w:pPr>
        <w:spacing w:after="140" w:before="0" w:line="276"/>
        <w:jc w:val="both"/>
      </w:pPr>
      <w:r>
        <w:rPr>
          <w:rFonts w:ascii="Calibri" w:cs="Calibri" w:eastAsia="Calibri" w:hAnsi="Calibri"/>
          <w:color w:val="1A1A1A"/>
          <w:sz w:val="20"/>
          <w:szCs w:val="20"/>
        </w:rPr>
        <w:t xml:space="preserve">This plan is derived directly from the state of the CerebroHive monorepo as of 28 July 2026. Where it makes a claim about what exists today, that claim is traceable to a named file or audit report. Where it makes a claim about the future, it is labelled as a plan, an estimate or an assumption. The distinction is deliberate and load-bearing: the single most valuable property of this document is that a reader can tell the difference.</w:t>
      </w:r>
    </w:p>
    <w:p>
      <w:pPr>
        <w:pStyle w:val="Heading3"/>
        <w:keepNext/>
        <w:spacing w:after="100" w:before="220"/>
      </w:pPr>
      <w:r>
        <w:rPr>
          <w:rFonts w:ascii="Calibri" w:cs="Calibri" w:eastAsia="Calibri" w:hAnsi="Calibri"/>
          <w:b/>
          <w:bCs/>
          <w:color w:val="2E3A4B"/>
          <w:sz w:val="21"/>
          <w:szCs w:val="21"/>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560"/>
        <w:gridCol w:w="4200"/>
      </w:tblGrid>
      <w:tr>
        <w:trPr>
          <w:tblHeader/>
        </w:trPr>
        <w:tc>
          <w:tcPr>
            <w:tcW w:type="dxa" w:w="1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Version</w:t>
            </w:r>
          </w:p>
        </w:tc>
        <w:tc>
          <w:tcPr>
            <w:tcW w:type="dxa" w:w="1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Date</w:t>
            </w:r>
          </w:p>
        </w:tc>
        <w:tc>
          <w:tcPr>
            <w:tcW w:type="dxa" w:w="25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Author</w:t>
            </w:r>
          </w:p>
        </w:tc>
        <w:tc>
          <w:tcPr>
            <w:tcW w:type="dxa" w:w="4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Change</w:t>
            </w:r>
          </w:p>
        </w:tc>
      </w:tr>
      <w:tr>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0.1</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18 Jul 2026</w:t>
            </w:r>
          </w:p>
        </w:tc>
        <w:tc>
          <w:tcPr>
            <w:tcW w:type="dxa" w:w="2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Platform Engineering</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Initial milestone framing (M10, ten epics)</w:t>
            </w:r>
          </w:p>
        </w:tc>
      </w:tr>
      <w:tr>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0.5</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24 Jul 2026</w:t>
            </w:r>
          </w:p>
        </w:tc>
        <w:tc>
          <w:tcPr>
            <w:tcW w:type="dxa" w:w="2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Platform Engineering</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Superseded by phased M10.1–M10.7 backlog</w:t>
            </w:r>
          </w:p>
        </w:tc>
      </w:tr>
      <w:tr>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0.9</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27 Jul 2026</w:t>
            </w:r>
          </w:p>
        </w:tc>
        <w:tc>
          <w:tcPr>
            <w:tcW w:type="dxa" w:w="2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Architecture</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Audit series complete; P0 auth gap escalated</w:t>
            </w:r>
          </w:p>
        </w:tc>
      </w:tr>
      <w:tr>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1.0</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28 Jul 2026</w:t>
            </w:r>
          </w:p>
        </w:tc>
        <w:tc>
          <w:tcPr>
            <w:tcW w:type="dxa" w:w="2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Programme Office</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Canonical strategy and 24-week execution plan</w:t>
            </w:r>
          </w:p>
        </w:tc>
      </w:tr>
    </w:tbl>
    <w:p>
      <w:pPr>
        <w:pStyle w:val="Heading3"/>
        <w:keepNext/>
        <w:spacing w:after="100" w:before="220"/>
      </w:pPr>
      <w:r>
        <w:rPr>
          <w:rFonts w:ascii="Calibri" w:cs="Calibri" w:eastAsia="Calibri" w:hAnsi="Calibri"/>
          <w:b/>
          <w:bCs/>
          <w:color w:val="2E3A4B"/>
          <w:sz w:val="21"/>
          <w:szCs w:val="21"/>
        </w:rPr>
        <w:t xml:space="preserve">Source documents consumed</w:t>
      </w:r>
    </w:p>
    <w:p>
      <w:pPr>
        <w:pStyle w:val="ListParagraph"/>
        <w:numPr>
          <w:ilvl w:val="0"/>
          <w:numId w:val="2"/>
        </w:numPr>
        <w:spacing w:after="70" w:line="268"/>
      </w:pPr>
      <w:r>
        <w:rPr>
          <w:rFonts w:ascii="Consolas" w:cs="Consolas" w:eastAsia="Consolas" w:hAnsi="Consolas"/>
          <w:color w:val="1F3864"/>
          <w:sz w:val="17"/>
          <w:szCs w:val="17"/>
        </w:rPr>
        <w:t xml:space="preserve">CEREBROHIVE_CONSTITUTION.md</w:t>
      </w:r>
      <w:r>
        <w:rPr>
          <w:rFonts w:ascii="Calibri" w:cs="Calibri" w:eastAsia="Calibri" w:hAnsi="Calibri"/>
          <w:color w:val="1A1A1A"/>
          <w:sz w:val="20"/>
          <w:szCs w:val="20"/>
        </w:rPr>
        <w:t xml:space="preserve"> — vision, portfolio, governance standards, eight-phase roadmap</w:t>
      </w:r>
    </w:p>
    <w:p>
      <w:pPr>
        <w:pStyle w:val="ListParagraph"/>
        <w:numPr>
          <w:ilvl w:val="0"/>
          <w:numId w:val="2"/>
        </w:numPr>
        <w:spacing w:after="70" w:line="268"/>
      </w:pPr>
      <w:r>
        <w:rPr>
          <w:rFonts w:ascii="Consolas" w:cs="Consolas" w:eastAsia="Consolas" w:hAnsi="Consolas"/>
          <w:color w:val="1F3864"/>
          <w:sz w:val="17"/>
          <w:szCs w:val="17"/>
        </w:rPr>
        <w:t xml:space="preserve">CAPABILITY_ARCHITECTURE.md</w:t>
      </w:r>
      <w:r>
        <w:rPr>
          <w:rFonts w:ascii="Calibri" w:cs="Calibri" w:eastAsia="Calibri" w:hAnsi="Calibri"/>
          <w:color w:val="1A1A1A"/>
          <w:sz w:val="20"/>
          <w:szCs w:val="20"/>
        </w:rPr>
        <w:t xml:space="preserve"> — five-tier model, dependency graph, boot order, degradation map</w:t>
      </w:r>
    </w:p>
    <w:p>
      <w:pPr>
        <w:pStyle w:val="ListParagraph"/>
        <w:numPr>
          <w:ilvl w:val="0"/>
          <w:numId w:val="2"/>
        </w:numPr>
        <w:spacing w:after="70" w:line="268"/>
      </w:pPr>
      <w:r>
        <w:rPr>
          <w:rFonts w:ascii="Consolas" w:cs="Consolas" w:eastAsia="Consolas" w:hAnsi="Consolas"/>
          <w:color w:val="1F3864"/>
          <w:sz w:val="17"/>
          <w:szCs w:val="17"/>
        </w:rPr>
        <w:t xml:space="preserve">COMMERCIAL_STRATEGY.md</w:t>
      </w:r>
      <w:r>
        <w:rPr>
          <w:rFonts w:ascii="Calibri" w:cs="Calibri" w:eastAsia="Calibri" w:hAnsi="Calibri"/>
          <w:color w:val="1A1A1A"/>
          <w:sz w:val="20"/>
          <w:szCs w:val="20"/>
        </w:rPr>
        <w:t xml:space="preserve"> — editions, licensing philosophy, marketplace economics</w:t>
      </w:r>
    </w:p>
    <w:p>
      <w:pPr>
        <w:pStyle w:val="ListParagraph"/>
        <w:numPr>
          <w:ilvl w:val="0"/>
          <w:numId w:val="2"/>
        </w:numPr>
        <w:spacing w:after="70" w:line="268"/>
      </w:pPr>
      <w:r>
        <w:rPr>
          <w:rFonts w:ascii="Consolas" w:cs="Consolas" w:eastAsia="Consolas" w:hAnsi="Consolas"/>
          <w:color w:val="1F3864"/>
          <w:sz w:val="17"/>
          <w:szCs w:val="17"/>
        </w:rPr>
        <w:t xml:space="preserve">AGENT-RUNTIME-BACKLOG.md</w:t>
      </w:r>
      <w:r>
        <w:rPr>
          <w:rFonts w:ascii="Calibri" w:cs="Calibri" w:eastAsia="Calibri" w:hAnsi="Calibri"/>
          <w:color w:val="1A1A1A"/>
          <w:sz w:val="20"/>
          <w:szCs w:val="20"/>
        </w:rPr>
        <w:t xml:space="preserve"> — the M10.1–M10.7 phased runtime programme</w:t>
      </w:r>
    </w:p>
    <w:p>
      <w:pPr>
        <w:pStyle w:val="ListParagraph"/>
        <w:numPr>
          <w:ilvl w:val="0"/>
          <w:numId w:val="2"/>
        </w:numPr>
        <w:spacing w:after="70" w:line="268"/>
      </w:pPr>
      <w:r>
        <w:rPr>
          <w:rFonts w:ascii="Consolas" w:cs="Consolas" w:eastAsia="Consolas" w:hAnsi="Consolas"/>
          <w:color w:val="1F3864"/>
          <w:sz w:val="17"/>
          <w:szCs w:val="17"/>
        </w:rPr>
        <w:t xml:space="preserve">audit/P0-AUTH-AUTHZ-GAP.md</w:t>
      </w:r>
      <w:r>
        <w:rPr>
          <w:rFonts w:ascii="Calibri" w:cs="Calibri" w:eastAsia="Calibri" w:hAnsi="Calibri"/>
          <w:color w:val="1A1A1A"/>
          <w:sz w:val="20"/>
          <w:szCs w:val="20"/>
        </w:rPr>
        <w:t xml:space="preserve"> — end-to-end trace of the authentication gap and its partial remediation</w:t>
      </w:r>
    </w:p>
    <w:p>
      <w:pPr>
        <w:pStyle w:val="ListParagraph"/>
        <w:numPr>
          <w:ilvl w:val="0"/>
          <w:numId w:val="2"/>
        </w:numPr>
        <w:spacing w:after="70" w:line="268"/>
      </w:pPr>
      <w:r>
        <w:rPr>
          <w:rFonts w:ascii="Consolas" w:cs="Consolas" w:eastAsia="Consolas" w:hAnsi="Consolas"/>
          <w:color w:val="1F3864"/>
          <w:sz w:val="17"/>
          <w:szCs w:val="17"/>
        </w:rPr>
        <w:t xml:space="preserve">audit/MILESTONE-25.5-PRODUCTION-READINESS.md</w:t>
      </w:r>
      <w:r>
        <w:rPr>
          <w:rFonts w:ascii="Calibri" w:cs="Calibri" w:eastAsia="Calibri" w:hAnsi="Calibri"/>
          <w:color w:val="1A1A1A"/>
          <w:sz w:val="20"/>
          <w:szCs w:val="20"/>
        </w:rPr>
        <w:t xml:space="preserve"> — production readiness across the 11 deployed services</w:t>
      </w:r>
    </w:p>
    <w:p>
      <w:pPr>
        <w:pStyle w:val="ListParagraph"/>
        <w:numPr>
          <w:ilvl w:val="0"/>
          <w:numId w:val="2"/>
        </w:numPr>
        <w:spacing w:after="70" w:line="268"/>
      </w:pPr>
      <w:r>
        <w:rPr>
          <w:rFonts w:ascii="Consolas" w:cs="Consolas" w:eastAsia="Consolas" w:hAnsi="Consolas"/>
          <w:color w:val="1F3864"/>
          <w:sz w:val="17"/>
          <w:szCs w:val="17"/>
        </w:rPr>
        <w:t xml:space="preserve">audit/POLYGLOT-ARCHITECTURE-MAP.md</w:t>
      </w:r>
      <w:r>
        <w:rPr>
          <w:rFonts w:ascii="Calibri" w:cs="Calibri" w:eastAsia="Calibri" w:hAnsi="Calibri"/>
          <w:color w:val="1A1A1A"/>
          <w:sz w:val="20"/>
          <w:szCs w:val="20"/>
        </w:rPr>
        <w:t xml:space="preserve"> — the full six-language service estate and deployment status</w:t>
      </w:r>
    </w:p>
    <w:p>
      <w:pPr>
        <w:pStyle w:val="ListParagraph"/>
        <w:numPr>
          <w:ilvl w:val="0"/>
          <w:numId w:val="2"/>
        </w:numPr>
        <w:spacing w:after="70" w:line="268"/>
      </w:pPr>
      <w:r>
        <w:rPr>
          <w:rFonts w:ascii="Consolas" w:cs="Consolas" w:eastAsia="Consolas" w:hAnsi="Consolas"/>
          <w:color w:val="1F3864"/>
          <w:sz w:val="17"/>
          <w:szCs w:val="17"/>
        </w:rPr>
        <w:t xml:space="preserve">audit/RESILIENCE-AUDIT.md</w:t>
      </w:r>
      <w:r>
        <w:rPr>
          <w:rFonts w:ascii="Calibri" w:cs="Calibri" w:eastAsia="Calibri" w:hAnsi="Calibri"/>
          <w:color w:val="1A1A1A"/>
          <w:sz w:val="20"/>
          <w:szCs w:val="20"/>
        </w:rPr>
        <w:t xml:space="preserve"> — per-service failure handling, confirmed real vs. confirmed mock</w:t>
      </w:r>
    </w:p>
    <w:p>
      <w:pPr>
        <w:pStyle w:val="ListParagraph"/>
        <w:numPr>
          <w:ilvl w:val="0"/>
          <w:numId w:val="2"/>
        </w:numPr>
        <w:spacing w:after="70" w:line="268"/>
      </w:pPr>
      <w:r>
        <w:rPr>
          <w:rFonts w:ascii="Consolas" w:cs="Consolas" w:eastAsia="Consolas" w:hAnsi="Consolas"/>
          <w:color w:val="1F3864"/>
          <w:sz w:val="17"/>
          <w:szCs w:val="17"/>
        </w:rPr>
        <w:t xml:space="preserve">audit/scaffold-ranking.md</w:t>
      </w:r>
      <w:r>
        <w:rPr>
          <w:rFonts w:ascii="Calibri" w:cs="Calibri" w:eastAsia="Calibri" w:hAnsi="Calibri"/>
          <w:color w:val="1A1A1A"/>
          <w:sz w:val="20"/>
          <w:szCs w:val="20"/>
        </w:rPr>
        <w:t xml:space="preserve"> and </w:t>
      </w:r>
      <w:r>
        <w:rPr>
          <w:rFonts w:ascii="Consolas" w:cs="Consolas" w:eastAsia="Consolas" w:hAnsi="Consolas"/>
          <w:color w:val="1F3864"/>
          <w:sz w:val="17"/>
          <w:szCs w:val="17"/>
        </w:rPr>
        <w:t xml:space="preserve">audit/executive-dashboard.md</w:t>
      </w:r>
      <w:r>
        <w:rPr>
          <w:rFonts w:ascii="Calibri" w:cs="Calibri" w:eastAsia="Calibri" w:hAnsi="Calibri"/>
          <w:color w:val="1A1A1A"/>
          <w:sz w:val="20"/>
          <w:szCs w:val="20"/>
        </w:rPr>
        <w:t xml:space="preserve"> — scaffold density and web readiness scoring</w:t>
      </w:r>
    </w:p>
    <w:p>
      <w:pPr>
        <w:pStyle w:val="ListParagraph"/>
        <w:numPr>
          <w:ilvl w:val="0"/>
          <w:numId w:val="2"/>
        </w:numPr>
        <w:spacing w:after="70" w:line="268"/>
      </w:pPr>
      <w:r>
        <w:rPr>
          <w:rFonts w:ascii="Consolas" w:cs="Consolas" w:eastAsia="Consolas" w:hAnsi="Consolas"/>
          <w:color w:val="1F3864"/>
          <w:sz w:val="17"/>
          <w:szCs w:val="17"/>
        </w:rPr>
        <w:t xml:space="preserve">RUNTIME-VALIDATION-CHECKLIST.md</w:t>
      </w:r>
      <w:r>
        <w:rPr>
          <w:rFonts w:ascii="Calibri" w:cs="Calibri" w:eastAsia="Calibri" w:hAnsi="Calibri"/>
          <w:color w:val="1A1A1A"/>
          <w:sz w:val="20"/>
          <w:szCs w:val="20"/>
        </w:rPr>
        <w:t xml:space="preserve"> — the human-in-the-loop validation gate for M25</w:t>
      </w:r>
    </w:p>
    <w:p>
      <w:pPr>
        <w:pStyle w:val="Heading3"/>
        <w:keepNext/>
        <w:spacing w:after="100" w:before="220"/>
      </w:pPr>
      <w:r>
        <w:rPr>
          <w:rFonts w:ascii="Calibri" w:cs="Calibri" w:eastAsia="Calibri" w:hAnsi="Calibri"/>
          <w:b/>
          <w:bCs/>
          <w:color w:val="2E3A4B"/>
          <w:sz w:val="21"/>
          <w:szCs w:val="21"/>
        </w:rPr>
        <w:t xml:space="preserve">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If you are…</w:t>
            </w:r>
          </w:p>
        </w:tc>
        <w:tc>
          <w:tcPr>
            <w:tcW w:type="dxa" w:w="6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Read</w:t>
            </w:r>
          </w:p>
        </w:tc>
      </w:tr>
      <w:tr>
        <w:tc>
          <w:tcPr>
            <w:tcW w:type="dxa" w:w="2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An investor or board member</w:t>
            </w:r>
          </w:p>
        </w:tc>
        <w:tc>
          <w:tcPr>
            <w:tcW w:type="dxa" w:w="6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Sections 1, 2, 12, 15 and the risk register in Section 11. Roughly 20 pages.</w:t>
            </w:r>
          </w:p>
        </w:tc>
      </w:tr>
      <w:tr>
        <w:tc>
          <w:tcPr>
            <w:tcW w:type="dxa" w:w="2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An enterprise customer or partner</w:t>
            </w:r>
          </w:p>
        </w:tc>
        <w:tc>
          <w:tcPr>
            <w:tcW w:type="dxa" w:w="6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Sections 1, 2, 13, 14, 15. Section 3 is optional but is the honest answer to 'is it real?'</w:t>
            </w:r>
          </w:p>
        </w:tc>
      </w:tr>
      <w:tr>
        <w:tc>
          <w:tcPr>
            <w:tcW w:type="dxa" w:w="2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An engineering leader</w:t>
            </w:r>
          </w:p>
        </w:tc>
        <w:tc>
          <w:tcPr>
            <w:tcW w:type="dxa" w:w="6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Sections 3 through 10 in full. Section 3 is the baseline everything else is built on.</w:t>
            </w:r>
          </w:p>
        </w:tc>
      </w:tr>
      <w:tr>
        <w:tc>
          <w:tcPr>
            <w:tcW w:type="dxa" w:w="2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An individual contributor</w:t>
            </w:r>
          </w:p>
        </w:tc>
        <w:tc>
          <w:tcPr>
            <w:tcW w:type="dxa" w:w="6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Sections 3, 6, 7, 9, 10 and Appendix B. Section 9 is your backlog.</w:t>
            </w:r>
          </w:p>
        </w:tc>
      </w:tr>
      <w:tr>
        <w:tc>
          <w:tcPr>
            <w:tcW w:type="dxa" w:w="2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 finance or operations partner</w:t>
            </w:r>
          </w:p>
        </w:tc>
        <w:tc>
          <w:tcPr>
            <w:tcW w:type="dxa" w:w="6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Sections 7, 8, 12 and Appendix D.</w:t>
            </w:r>
          </w:p>
        </w:tc>
      </w:tr>
    </w:tbl>
    <w:p>
      <w:r>
        <w:br w:type="page"/>
      </w:r>
    </w:p>
    <w:p>
      <w:pPr>
        <w:pBdr>
          <w:bottom w:val="single" w:color="0B2545" w:sz="10" w:space="8"/>
        </w:pBdr>
        <w:spacing w:after="200"/>
      </w:pPr>
      <w:r>
        <w:rPr>
          <w:rFonts w:ascii="Calibri Light" w:cs="Calibri Light" w:eastAsia="Calibri Light" w:hAnsi="Calibri Light"/>
          <w:b/>
          <w:bCs/>
          <w:color w:val="0B2545"/>
          <w:sz w:val="34"/>
          <w:szCs w:val="34"/>
        </w:rPr>
        <w:t xml:space="preserve">Table of Contents</w:t>
      </w:r>
    </w:p>
    <w:p>
      <w:pPr>
        <w:tabs>
          <w:tab w:val="right" w:pos="9360" w:leader="none"/>
        </w:tabs>
        <w:spacing w:after="30" w:before="150" w:line="240"/>
        <w:ind w:left="0" w:right="0"/>
      </w:pPr>
      <w:r>
        <w:rPr>
          <w:rFonts w:ascii="Calibri" w:cs="Calibri" w:eastAsia="Calibri" w:hAnsi="Calibri"/>
          <w:b/>
          <w:bCs/>
          <w:color w:val="0B2545"/>
          <w:sz w:val="20"/>
          <w:szCs w:val="20"/>
        </w:rPr>
        <w:t xml:space="preserve">1 </w:t>
      </w:r>
      <w:r>
        <w:rPr>
          <w:rFonts w:ascii="Calibri" w:cs="Calibri" w:eastAsia="Calibri" w:hAnsi="Calibri"/>
          <w:b/>
          <w:bCs/>
          <w:color w:val="0B2545"/>
          <w:sz w:val="20"/>
          <w:szCs w:val="20"/>
        </w:rPr>
        <w:t xml:space="preserve">Executive Summary</w:t>
      </w:r>
      <w:r>
        <w:rPr>
          <w:rFonts w:ascii="Calibri" w:cs="Calibri" w:eastAsia="Calibri" w:hAnsi="Calibri"/>
          <w:color w:val="AAB4C0"/>
          <w:sz w:val="20"/>
          <w:szCs w:val="20"/>
        </w:rPr>
        <w:tab/>
      </w:r>
      <w:r>
        <w:rPr>
          <w:rFonts w:ascii="Calibri" w:cs="Calibri" w:eastAsia="Calibri" w:hAnsi="Calibri"/>
          <w:b/>
          <w:bCs/>
          <w:color w:val="0B2545"/>
          <w:sz w:val="20"/>
          <w:szCs w:val="20"/>
        </w:rPr>
        <w:t xml:space="preserve">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1.1 </w:t>
      </w:r>
      <w:r>
        <w:rPr>
          <w:rFonts w:ascii="Calibri" w:cs="Calibri" w:eastAsia="Calibri" w:hAnsi="Calibri"/>
          <w:b w:val="false"/>
          <w:bCs w:val="false"/>
          <w:color w:val="33404F"/>
          <w:sz w:val="18"/>
          <w:szCs w:val="18"/>
        </w:rPr>
        <w:t xml:space="preserve">The situation in one page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1.2 </w:t>
      </w:r>
      <w:r>
        <w:rPr>
          <w:rFonts w:ascii="Calibri" w:cs="Calibri" w:eastAsia="Calibri" w:hAnsi="Calibri"/>
          <w:b w:val="false"/>
          <w:bCs w:val="false"/>
          <w:color w:val="33404F"/>
          <w:sz w:val="18"/>
          <w:szCs w:val="18"/>
        </w:rPr>
        <w:t xml:space="preserve">What this programme delivers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1.3 </w:t>
      </w:r>
      <w:r>
        <w:rPr>
          <w:rFonts w:ascii="Calibri" w:cs="Calibri" w:eastAsia="Calibri" w:hAnsi="Calibri"/>
          <w:b w:val="false"/>
          <w:bCs w:val="false"/>
          <w:color w:val="33404F"/>
          <w:sz w:val="18"/>
          <w:szCs w:val="18"/>
        </w:rPr>
        <w:t xml:space="preserve">Investment and expected return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1.4 </w:t>
      </w:r>
      <w:r>
        <w:rPr>
          <w:rFonts w:ascii="Calibri" w:cs="Calibri" w:eastAsia="Calibri" w:hAnsi="Calibri"/>
          <w:b w:val="false"/>
          <w:bCs w:val="false"/>
          <w:color w:val="33404F"/>
          <w:sz w:val="18"/>
          <w:szCs w:val="18"/>
        </w:rPr>
        <w:t xml:space="preserve">The six decisions we are asking for</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1.5 </w:t>
      </w:r>
      <w:r>
        <w:rPr>
          <w:rFonts w:ascii="Calibri" w:cs="Calibri" w:eastAsia="Calibri" w:hAnsi="Calibri"/>
          <w:b w:val="false"/>
          <w:bCs w:val="false"/>
          <w:color w:val="33404F"/>
          <w:sz w:val="18"/>
          <w:szCs w:val="18"/>
        </w:rPr>
        <w:t xml:space="preserve">What we are explicitly not doing</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w:t>
      </w:r>
    </w:p>
    <w:p>
      <w:pPr>
        <w:tabs>
          <w:tab w:val="right" w:pos="9360" w:leader="none"/>
        </w:tabs>
        <w:spacing w:after="30" w:before="150" w:line="240"/>
        <w:ind w:left="0" w:right="0"/>
      </w:pPr>
      <w:r>
        <w:rPr>
          <w:rFonts w:ascii="Calibri" w:cs="Calibri" w:eastAsia="Calibri" w:hAnsi="Calibri"/>
          <w:b/>
          <w:bCs/>
          <w:color w:val="0B2545"/>
          <w:sz w:val="20"/>
          <w:szCs w:val="20"/>
        </w:rPr>
        <w:t xml:space="preserve">2 </w:t>
      </w:r>
      <w:r>
        <w:rPr>
          <w:rFonts w:ascii="Calibri" w:cs="Calibri" w:eastAsia="Calibri" w:hAnsi="Calibri"/>
          <w:b/>
          <w:bCs/>
          <w:color w:val="0B2545"/>
          <w:sz w:val="20"/>
          <w:szCs w:val="20"/>
        </w:rPr>
        <w:t xml:space="preserve">Vision and Product Strategy</w:t>
      </w:r>
      <w:r>
        <w:rPr>
          <w:rFonts w:ascii="Calibri" w:cs="Calibri" w:eastAsia="Calibri" w:hAnsi="Calibri"/>
          <w:color w:val="AAB4C0"/>
          <w:sz w:val="20"/>
          <w:szCs w:val="20"/>
        </w:rPr>
        <w:tab/>
      </w:r>
      <w:r>
        <w:rPr>
          <w:rFonts w:ascii="Calibri" w:cs="Calibri" w:eastAsia="Calibri" w:hAnsi="Calibri"/>
          <w:b/>
          <w:bCs/>
          <w:color w:val="0B2545"/>
          <w:sz w:val="20"/>
          <w:szCs w:val="20"/>
        </w:rPr>
        <w:t xml:space="preserve">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2.1 </w:t>
      </w:r>
      <w:r>
        <w:rPr>
          <w:rFonts w:ascii="Calibri" w:cs="Calibri" w:eastAsia="Calibri" w:hAnsi="Calibri"/>
          <w:b w:val="false"/>
          <w:bCs w:val="false"/>
          <w:color w:val="33404F"/>
          <w:sz w:val="18"/>
          <w:szCs w:val="18"/>
        </w:rPr>
        <w:t xml:space="preserve">The Enterprise Intelligence Mesh</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2.2 </w:t>
      </w:r>
      <w:r>
        <w:rPr>
          <w:rFonts w:ascii="Calibri" w:cs="Calibri" w:eastAsia="Calibri" w:hAnsi="Calibri"/>
          <w:b w:val="false"/>
          <w:bCs w:val="false"/>
          <w:color w:val="33404F"/>
          <w:sz w:val="18"/>
          <w:szCs w:val="18"/>
        </w:rPr>
        <w:t xml:space="preserve">Why the timing works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5</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2.3 </w:t>
      </w:r>
      <w:r>
        <w:rPr>
          <w:rFonts w:ascii="Calibri" w:cs="Calibri" w:eastAsia="Calibri" w:hAnsi="Calibri"/>
          <w:b w:val="false"/>
          <w:bCs w:val="false"/>
          <w:color w:val="33404F"/>
          <w:sz w:val="18"/>
          <w:szCs w:val="18"/>
        </w:rPr>
        <w:t xml:space="preserve">Portfolio and sequencing</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5</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2.4 </w:t>
      </w:r>
      <w:r>
        <w:rPr>
          <w:rFonts w:ascii="Calibri" w:cs="Calibri" w:eastAsia="Calibri" w:hAnsi="Calibri"/>
          <w:b w:val="false"/>
          <w:bCs w:val="false"/>
          <w:color w:val="33404F"/>
          <w:sz w:val="18"/>
          <w:szCs w:val="18"/>
        </w:rPr>
        <w:t xml:space="preserve">Strategic moats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5</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2.5 </w:t>
      </w:r>
      <w:r>
        <w:rPr>
          <w:rFonts w:ascii="Calibri" w:cs="Calibri" w:eastAsia="Calibri" w:hAnsi="Calibri"/>
          <w:b w:val="false"/>
          <w:bCs w:val="false"/>
          <w:color w:val="33404F"/>
          <w:sz w:val="18"/>
          <w:szCs w:val="18"/>
        </w:rPr>
        <w:t xml:space="preserve">Commercial model</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2.6 </w:t>
      </w:r>
      <w:r>
        <w:rPr>
          <w:rFonts w:ascii="Calibri" w:cs="Calibri" w:eastAsia="Calibri" w:hAnsi="Calibri"/>
          <w:b w:val="false"/>
          <w:bCs w:val="false"/>
          <w:color w:val="33404F"/>
          <w:sz w:val="18"/>
          <w:szCs w:val="18"/>
        </w:rPr>
        <w:t xml:space="preserve">Maturity model as a sales instrument</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6</w:t>
      </w:r>
    </w:p>
    <w:p>
      <w:pPr>
        <w:tabs>
          <w:tab w:val="right" w:pos="9360" w:leader="none"/>
        </w:tabs>
        <w:spacing w:after="30" w:before="150" w:line="240"/>
        <w:ind w:left="0" w:right="0"/>
      </w:pPr>
      <w:r>
        <w:rPr>
          <w:rFonts w:ascii="Calibri" w:cs="Calibri" w:eastAsia="Calibri" w:hAnsi="Calibri"/>
          <w:b/>
          <w:bCs/>
          <w:color w:val="0B2545"/>
          <w:sz w:val="20"/>
          <w:szCs w:val="20"/>
        </w:rPr>
        <w:t xml:space="preserve">3 </w:t>
      </w:r>
      <w:r>
        <w:rPr>
          <w:rFonts w:ascii="Calibri" w:cs="Calibri" w:eastAsia="Calibri" w:hAnsi="Calibri"/>
          <w:b/>
          <w:bCs/>
          <w:color w:val="0B2545"/>
          <w:sz w:val="20"/>
          <w:szCs w:val="20"/>
        </w:rPr>
        <w:t xml:space="preserve">Current Architecture Assessment</w:t>
      </w:r>
      <w:r>
        <w:rPr>
          <w:rFonts w:ascii="Calibri" w:cs="Calibri" w:eastAsia="Calibri" w:hAnsi="Calibri"/>
          <w:color w:val="AAB4C0"/>
          <w:sz w:val="20"/>
          <w:szCs w:val="20"/>
        </w:rPr>
        <w:tab/>
      </w:r>
      <w:r>
        <w:rPr>
          <w:rFonts w:ascii="Calibri" w:cs="Calibri" w:eastAsia="Calibri" w:hAnsi="Calibri"/>
          <w:b/>
          <w:bCs/>
          <w:color w:val="0B2545"/>
          <w:sz w:val="20"/>
          <w:szCs w:val="20"/>
        </w:rPr>
        <w:t xml:space="preserve">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3.1 </w:t>
      </w:r>
      <w:r>
        <w:rPr>
          <w:rFonts w:ascii="Calibri" w:cs="Calibri" w:eastAsia="Calibri" w:hAnsi="Calibri"/>
          <w:b w:val="false"/>
          <w:bCs w:val="false"/>
          <w:color w:val="33404F"/>
          <w:sz w:val="18"/>
          <w:szCs w:val="18"/>
        </w:rPr>
        <w:t xml:space="preserve">Method and evidence base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3.2 </w:t>
      </w:r>
      <w:r>
        <w:rPr>
          <w:rFonts w:ascii="Calibri" w:cs="Calibri" w:eastAsia="Calibri" w:hAnsi="Calibri"/>
          <w:b w:val="false"/>
          <w:bCs w:val="false"/>
          <w:color w:val="33404F"/>
          <w:sz w:val="18"/>
          <w:szCs w:val="18"/>
        </w:rPr>
        <w:t xml:space="preserve">Repository topography</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3.3 </w:t>
      </w:r>
      <w:r>
        <w:rPr>
          <w:rFonts w:ascii="Calibri" w:cs="Calibri" w:eastAsia="Calibri" w:hAnsi="Calibri"/>
          <w:b w:val="false"/>
          <w:bCs w:val="false"/>
          <w:color w:val="33404F"/>
          <w:sz w:val="18"/>
          <w:szCs w:val="18"/>
        </w:rPr>
        <w:t xml:space="preserve">What is genuinely production-grade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9</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3.4 </w:t>
      </w:r>
      <w:r>
        <w:rPr>
          <w:rFonts w:ascii="Calibri" w:cs="Calibri" w:eastAsia="Calibri" w:hAnsi="Calibri"/>
          <w:b w:val="false"/>
          <w:bCs w:val="false"/>
          <w:color w:val="33404F"/>
          <w:sz w:val="18"/>
          <w:szCs w:val="18"/>
        </w:rPr>
        <w:t xml:space="preserve">What is modelled but not wired</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10</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3.5 </w:t>
      </w:r>
      <w:r>
        <w:rPr>
          <w:rFonts w:ascii="Calibri" w:cs="Calibri" w:eastAsia="Calibri" w:hAnsi="Calibri"/>
          <w:b w:val="false"/>
          <w:bCs w:val="false"/>
          <w:color w:val="33404F"/>
          <w:sz w:val="18"/>
          <w:szCs w:val="18"/>
        </w:rPr>
        <w:t xml:space="preserve">What is scaffolding, confirmed</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10</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3.6 </w:t>
      </w:r>
      <w:r>
        <w:rPr>
          <w:rFonts w:ascii="Calibri" w:cs="Calibri" w:eastAsia="Calibri" w:hAnsi="Calibri"/>
          <w:b w:val="false"/>
          <w:bCs w:val="false"/>
          <w:color w:val="33404F"/>
          <w:sz w:val="18"/>
          <w:szCs w:val="18"/>
        </w:rPr>
        <w:t xml:space="preserve">The polyglot service estate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3.7 </w:t>
      </w:r>
      <w:r>
        <w:rPr>
          <w:rFonts w:ascii="Calibri" w:cs="Calibri" w:eastAsia="Calibri" w:hAnsi="Calibri"/>
          <w:b w:val="false"/>
          <w:bCs w:val="false"/>
          <w:color w:val="33404F"/>
          <w:sz w:val="18"/>
          <w:szCs w:val="18"/>
        </w:rPr>
        <w:t xml:space="preserve">Critical finding 1 — authentication and tenant isolation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12</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3.8 </w:t>
      </w:r>
      <w:r>
        <w:rPr>
          <w:rFonts w:ascii="Calibri" w:cs="Calibri" w:eastAsia="Calibri" w:hAnsi="Calibri"/>
          <w:b w:val="false"/>
          <w:bCs w:val="false"/>
          <w:color w:val="33404F"/>
          <w:sz w:val="18"/>
          <w:szCs w:val="18"/>
        </w:rPr>
        <w:t xml:space="preserve">Critical finding 2 — the Helm chart defines every service twice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13</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3.9 </w:t>
      </w:r>
      <w:r>
        <w:rPr>
          <w:rFonts w:ascii="Calibri" w:cs="Calibri" w:eastAsia="Calibri" w:hAnsi="Calibri"/>
          <w:b w:val="false"/>
          <w:bCs w:val="false"/>
          <w:color w:val="33404F"/>
          <w:sz w:val="18"/>
          <w:szCs w:val="18"/>
        </w:rPr>
        <w:t xml:space="preserve">Critical finding 3 — two agent runtimes, no declared relationship</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3.10 </w:t>
      </w:r>
      <w:r>
        <w:rPr>
          <w:rFonts w:ascii="Calibri" w:cs="Calibri" w:eastAsia="Calibri" w:hAnsi="Calibri"/>
          <w:b w:val="false"/>
          <w:bCs w:val="false"/>
          <w:color w:val="33404F"/>
          <w:sz w:val="18"/>
          <w:szCs w:val="18"/>
        </w:rPr>
        <w:t xml:space="preserve">Critical finding 4 — resilience is real in places and absent in the places that matter</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3.11 </w:t>
      </w:r>
      <w:r>
        <w:rPr>
          <w:rFonts w:ascii="Calibri" w:cs="Calibri" w:eastAsia="Calibri" w:hAnsi="Calibri"/>
          <w:b w:val="false"/>
          <w:bCs w:val="false"/>
          <w:color w:val="33404F"/>
          <w:sz w:val="18"/>
          <w:szCs w:val="18"/>
        </w:rPr>
        <w:t xml:space="preserve">Web and product surface readiness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3.12 </w:t>
      </w:r>
      <w:r>
        <w:rPr>
          <w:rFonts w:ascii="Calibri" w:cs="Calibri" w:eastAsia="Calibri" w:hAnsi="Calibri"/>
          <w:b w:val="false"/>
          <w:bCs w:val="false"/>
          <w:color w:val="33404F"/>
          <w:sz w:val="18"/>
          <w:szCs w:val="18"/>
        </w:rPr>
        <w:t xml:space="preserve">Summary verdict</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15</w:t>
      </w:r>
    </w:p>
    <w:p>
      <w:pPr>
        <w:tabs>
          <w:tab w:val="right" w:pos="9360" w:leader="none"/>
        </w:tabs>
        <w:spacing w:after="30" w:before="150" w:line="240"/>
        <w:ind w:left="0" w:right="0"/>
      </w:pPr>
      <w:r>
        <w:rPr>
          <w:rFonts w:ascii="Calibri" w:cs="Calibri" w:eastAsia="Calibri" w:hAnsi="Calibri"/>
          <w:b/>
          <w:bCs/>
          <w:color w:val="0B2545"/>
          <w:sz w:val="20"/>
          <w:szCs w:val="20"/>
        </w:rPr>
        <w:t xml:space="preserve">4 </w:t>
      </w:r>
      <w:r>
        <w:rPr>
          <w:rFonts w:ascii="Calibri" w:cs="Calibri" w:eastAsia="Calibri" w:hAnsi="Calibri"/>
          <w:b/>
          <w:bCs/>
          <w:color w:val="0B2545"/>
          <w:sz w:val="20"/>
          <w:szCs w:val="20"/>
        </w:rPr>
        <w:t xml:space="preserve">Programme Design</w:t>
      </w:r>
      <w:r>
        <w:rPr>
          <w:rFonts w:ascii="Calibri" w:cs="Calibri" w:eastAsia="Calibri" w:hAnsi="Calibri"/>
          <w:color w:val="AAB4C0"/>
          <w:sz w:val="20"/>
          <w:szCs w:val="20"/>
        </w:rPr>
        <w:tab/>
      </w:r>
      <w:r>
        <w:rPr>
          <w:rFonts w:ascii="Calibri" w:cs="Calibri" w:eastAsia="Calibri" w:hAnsi="Calibri"/>
          <w:b/>
          <w:bCs/>
          <w:color w:val="0B2545"/>
          <w:sz w:val="20"/>
          <w:szCs w:val="20"/>
        </w:rPr>
        <w:t xml:space="preserve">16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4.1 </w:t>
      </w:r>
      <w:r>
        <w:rPr>
          <w:rFonts w:ascii="Calibri" w:cs="Calibri" w:eastAsia="Calibri" w:hAnsi="Calibri"/>
          <w:b w:val="false"/>
          <w:bCs w:val="false"/>
          <w:color w:val="33404F"/>
          <w:sz w:val="18"/>
          <w:szCs w:val="18"/>
        </w:rPr>
        <w:t xml:space="preserve">Workstreams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4.2 </w:t>
      </w:r>
      <w:r>
        <w:rPr>
          <w:rFonts w:ascii="Calibri" w:cs="Calibri" w:eastAsia="Calibri" w:hAnsi="Calibri"/>
          <w:b w:val="false"/>
          <w:bCs w:val="false"/>
          <w:color w:val="33404F"/>
          <w:sz w:val="18"/>
          <w:szCs w:val="18"/>
        </w:rPr>
        <w:t xml:space="preserve">Operating cadence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4.3 </w:t>
      </w:r>
      <w:r>
        <w:rPr>
          <w:rFonts w:ascii="Calibri" w:cs="Calibri" w:eastAsia="Calibri" w:hAnsi="Calibri"/>
          <w:b w:val="false"/>
          <w:bCs w:val="false"/>
          <w:color w:val="33404F"/>
          <w:sz w:val="18"/>
          <w:szCs w:val="18"/>
        </w:rPr>
        <w:t xml:space="preserve">Governing principles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4.4 </w:t>
      </w:r>
      <w:r>
        <w:rPr>
          <w:rFonts w:ascii="Calibri" w:cs="Calibri" w:eastAsia="Calibri" w:hAnsi="Calibri"/>
          <w:b w:val="false"/>
          <w:bCs w:val="false"/>
          <w:color w:val="33404F"/>
          <w:sz w:val="18"/>
          <w:szCs w:val="18"/>
        </w:rPr>
        <w:t xml:space="preserve">Definition of done — programme standard</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17</w:t>
      </w:r>
    </w:p>
    <w:p>
      <w:pPr>
        <w:tabs>
          <w:tab w:val="right" w:pos="9360" w:leader="none"/>
        </w:tabs>
        <w:spacing w:after="30" w:before="150" w:line="240"/>
        <w:ind w:left="0" w:right="0"/>
      </w:pPr>
      <w:r>
        <w:rPr>
          <w:rFonts w:ascii="Calibri" w:cs="Calibri" w:eastAsia="Calibri" w:hAnsi="Calibri"/>
          <w:b/>
          <w:bCs/>
          <w:color w:val="0B2545"/>
          <w:sz w:val="20"/>
          <w:szCs w:val="20"/>
        </w:rPr>
        <w:t xml:space="preserve">5 </w:t>
      </w:r>
      <w:r>
        <w:rPr>
          <w:rFonts w:ascii="Calibri" w:cs="Calibri" w:eastAsia="Calibri" w:hAnsi="Calibri"/>
          <w:b/>
          <w:bCs/>
          <w:color w:val="0B2545"/>
          <w:sz w:val="20"/>
          <w:szCs w:val="20"/>
        </w:rPr>
        <w:t xml:space="preserve">Twenty-Four Week Programme Schedule</w:t>
      </w:r>
      <w:r>
        <w:rPr>
          <w:rFonts w:ascii="Calibri" w:cs="Calibri" w:eastAsia="Calibri" w:hAnsi="Calibri"/>
          <w:color w:val="AAB4C0"/>
          <w:sz w:val="20"/>
          <w:szCs w:val="20"/>
        </w:rPr>
        <w:tab/>
      </w:r>
      <w:r>
        <w:rPr>
          <w:rFonts w:ascii="Calibri" w:cs="Calibri" w:eastAsia="Calibri" w:hAnsi="Calibri"/>
          <w:b/>
          <w:bCs/>
          <w:color w:val="0B2545"/>
          <w:sz w:val="20"/>
          <w:szCs w:val="20"/>
        </w:rPr>
        <w:t xml:space="preserve">18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5.1 </w:t>
      </w:r>
      <w:r>
        <w:rPr>
          <w:rFonts w:ascii="Calibri" w:cs="Calibri" w:eastAsia="Calibri" w:hAnsi="Calibri"/>
          <w:b w:val="false"/>
          <w:bCs w:val="false"/>
          <w:color w:val="33404F"/>
          <w:sz w:val="18"/>
          <w:szCs w:val="18"/>
        </w:rPr>
        <w:t xml:space="preserve">Critical path</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5.2 </w:t>
      </w:r>
      <w:r>
        <w:rPr>
          <w:rFonts w:ascii="Calibri" w:cs="Calibri" w:eastAsia="Calibri" w:hAnsi="Calibri"/>
          <w:b w:val="false"/>
          <w:bCs w:val="false"/>
          <w:color w:val="33404F"/>
          <w:sz w:val="18"/>
          <w:szCs w:val="18"/>
        </w:rPr>
        <w:t xml:space="preserve">Dependency map between workstreams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19</w:t>
      </w:r>
    </w:p>
    <w:p>
      <w:pPr>
        <w:tabs>
          <w:tab w:val="right" w:pos="9360" w:leader="none"/>
        </w:tabs>
        <w:spacing w:after="30" w:before="150" w:line="240"/>
        <w:ind w:left="0" w:right="0"/>
      </w:pPr>
      <w:r>
        <w:rPr>
          <w:rFonts w:ascii="Calibri" w:cs="Calibri" w:eastAsia="Calibri" w:hAnsi="Calibri"/>
          <w:b/>
          <w:bCs/>
          <w:color w:val="0B2545"/>
          <w:sz w:val="20"/>
          <w:szCs w:val="20"/>
        </w:rPr>
        <w:t xml:space="preserve">6 </w:t>
      </w:r>
      <w:r>
        <w:rPr>
          <w:rFonts w:ascii="Calibri" w:cs="Calibri" w:eastAsia="Calibri" w:hAnsi="Calibri"/>
          <w:b/>
          <w:bCs/>
          <w:color w:val="0B2545"/>
          <w:sz w:val="20"/>
          <w:szCs w:val="20"/>
        </w:rPr>
        <w:t xml:space="preserve">The 120-Day Execution Plan</w:t>
      </w:r>
      <w:r>
        <w:rPr>
          <w:rFonts w:ascii="Calibri" w:cs="Calibri" w:eastAsia="Calibri" w:hAnsi="Calibri"/>
          <w:color w:val="AAB4C0"/>
          <w:sz w:val="20"/>
          <w:szCs w:val="20"/>
        </w:rPr>
        <w:tab/>
      </w:r>
      <w:r>
        <w:rPr>
          <w:rFonts w:ascii="Calibri" w:cs="Calibri" w:eastAsia="Calibri" w:hAnsi="Calibri"/>
          <w:b/>
          <w:bCs/>
          <w:color w:val="0B2545"/>
          <w:sz w:val="20"/>
          <w:szCs w:val="20"/>
        </w:rPr>
        <w:t xml:space="preserve">20</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6.1 </w:t>
      </w:r>
      <w:r>
        <w:rPr>
          <w:rFonts w:ascii="Calibri" w:cs="Calibri" w:eastAsia="Calibri" w:hAnsi="Calibri"/>
          <w:b w:val="false"/>
          <w:bCs w:val="false"/>
          <w:color w:val="33404F"/>
          <w:sz w:val="18"/>
          <w:szCs w:val="18"/>
        </w:rPr>
        <w:t xml:space="preserve">Buffer and contingency in the schedule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21</w:t>
      </w:r>
    </w:p>
    <w:p>
      <w:pPr>
        <w:tabs>
          <w:tab w:val="right" w:pos="9360" w:leader="none"/>
        </w:tabs>
        <w:spacing w:after="30" w:before="150" w:line="240"/>
        <w:ind w:left="0" w:right="0"/>
      </w:pPr>
      <w:r>
        <w:rPr>
          <w:rFonts w:ascii="Calibri" w:cs="Calibri" w:eastAsia="Calibri" w:hAnsi="Calibri"/>
          <w:b/>
          <w:bCs/>
          <w:color w:val="0B2545"/>
          <w:sz w:val="20"/>
          <w:szCs w:val="20"/>
        </w:rPr>
        <w:t xml:space="preserve">7 </w:t>
      </w:r>
      <w:r>
        <w:rPr>
          <w:rFonts w:ascii="Calibri" w:cs="Calibri" w:eastAsia="Calibri" w:hAnsi="Calibri"/>
          <w:b/>
          <w:bCs/>
          <w:color w:val="0B2545"/>
          <w:sz w:val="20"/>
          <w:szCs w:val="20"/>
        </w:rPr>
        <w:t xml:space="preserve">Effort Model: Hours by Module and Engineer</w:t>
      </w:r>
      <w:r>
        <w:rPr>
          <w:rFonts w:ascii="Calibri" w:cs="Calibri" w:eastAsia="Calibri" w:hAnsi="Calibri"/>
          <w:color w:val="AAB4C0"/>
          <w:sz w:val="20"/>
          <w:szCs w:val="20"/>
        </w:rPr>
        <w:tab/>
      </w:r>
      <w:r>
        <w:rPr>
          <w:rFonts w:ascii="Calibri" w:cs="Calibri" w:eastAsia="Calibri" w:hAnsi="Calibri"/>
          <w:b/>
          <w:bCs/>
          <w:color w:val="0B2545"/>
          <w:sz w:val="20"/>
          <w:szCs w:val="20"/>
        </w:rPr>
        <w:t xml:space="preserve">23</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7.1 </w:t>
      </w:r>
      <w:r>
        <w:rPr>
          <w:rFonts w:ascii="Calibri" w:cs="Calibri" w:eastAsia="Calibri" w:hAnsi="Calibri"/>
          <w:b w:val="false"/>
          <w:bCs w:val="false"/>
          <w:color w:val="33404F"/>
          <w:sz w:val="18"/>
          <w:szCs w:val="18"/>
        </w:rPr>
        <w:t xml:space="preserve">Estimation basis and confidence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23</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7.2 </w:t>
      </w:r>
      <w:r>
        <w:rPr>
          <w:rFonts w:ascii="Calibri" w:cs="Calibri" w:eastAsia="Calibri" w:hAnsi="Calibri"/>
          <w:b w:val="false"/>
          <w:bCs w:val="false"/>
          <w:color w:val="33404F"/>
          <w:sz w:val="18"/>
          <w:szCs w:val="18"/>
        </w:rPr>
        <w:t xml:space="preserve">Hours by work package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7.3 </w:t>
      </w:r>
      <w:r>
        <w:rPr>
          <w:rFonts w:ascii="Calibri" w:cs="Calibri" w:eastAsia="Calibri" w:hAnsi="Calibri"/>
          <w:b w:val="false"/>
          <w:bCs w:val="false"/>
          <w:color w:val="33404F"/>
          <w:sz w:val="18"/>
          <w:szCs w:val="18"/>
        </w:rPr>
        <w:t xml:space="preserve">Hours per engineer</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25</w:t>
      </w:r>
    </w:p>
    <w:p>
      <w:pPr>
        <w:tabs>
          <w:tab w:val="right" w:pos="9360" w:leader="none"/>
        </w:tabs>
        <w:spacing w:after="30" w:before="150" w:line="240"/>
        <w:ind w:left="0" w:right="0"/>
      </w:pPr>
      <w:r>
        <w:rPr>
          <w:rFonts w:ascii="Calibri" w:cs="Calibri" w:eastAsia="Calibri" w:hAnsi="Calibri"/>
          <w:b/>
          <w:bCs/>
          <w:color w:val="0B2545"/>
          <w:sz w:val="20"/>
          <w:szCs w:val="20"/>
        </w:rPr>
        <w:t xml:space="preserve">8 </w:t>
      </w:r>
      <w:r>
        <w:rPr>
          <w:rFonts w:ascii="Calibri" w:cs="Calibri" w:eastAsia="Calibri" w:hAnsi="Calibri"/>
          <w:b/>
          <w:bCs/>
          <w:color w:val="0B2545"/>
          <w:sz w:val="20"/>
          <w:szCs w:val="20"/>
        </w:rPr>
        <w:t xml:space="preserve">Team Structure and Hiring Plan</w:t>
      </w:r>
      <w:r>
        <w:rPr>
          <w:rFonts w:ascii="Calibri" w:cs="Calibri" w:eastAsia="Calibri" w:hAnsi="Calibri"/>
          <w:color w:val="AAB4C0"/>
          <w:sz w:val="20"/>
          <w:szCs w:val="20"/>
        </w:rPr>
        <w:tab/>
      </w:r>
      <w:r>
        <w:rPr>
          <w:rFonts w:ascii="Calibri" w:cs="Calibri" w:eastAsia="Calibri" w:hAnsi="Calibri"/>
          <w:b/>
          <w:bCs/>
          <w:color w:val="0B2545"/>
          <w:sz w:val="20"/>
          <w:szCs w:val="20"/>
        </w:rPr>
        <w:t xml:space="preserve">26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8.1 </w:t>
      </w:r>
      <w:r>
        <w:rPr>
          <w:rFonts w:ascii="Calibri" w:cs="Calibri" w:eastAsia="Calibri" w:hAnsi="Calibri"/>
          <w:b w:val="false"/>
          <w:bCs w:val="false"/>
          <w:color w:val="33404F"/>
          <w:sz w:val="18"/>
          <w:szCs w:val="18"/>
        </w:rPr>
        <w:t xml:space="preserve">Target structure at week 24</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8.2 </w:t>
      </w:r>
      <w:r>
        <w:rPr>
          <w:rFonts w:ascii="Calibri" w:cs="Calibri" w:eastAsia="Calibri" w:hAnsi="Calibri"/>
          <w:b w:val="false"/>
          <w:bCs w:val="false"/>
          <w:color w:val="33404F"/>
          <w:sz w:val="18"/>
          <w:szCs w:val="18"/>
        </w:rPr>
        <w:t xml:space="preserve">Hiring waves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8.3 </w:t>
      </w:r>
      <w:r>
        <w:rPr>
          <w:rFonts w:ascii="Calibri" w:cs="Calibri" w:eastAsia="Calibri" w:hAnsi="Calibri"/>
          <w:b w:val="false"/>
          <w:bCs w:val="false"/>
          <w:color w:val="33404F"/>
          <w:sz w:val="18"/>
          <w:szCs w:val="18"/>
        </w:rPr>
        <w:t xml:space="preserve">Ownership map</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8.4 </w:t>
      </w:r>
      <w:r>
        <w:rPr>
          <w:rFonts w:ascii="Calibri" w:cs="Calibri" w:eastAsia="Calibri" w:hAnsi="Calibri"/>
          <w:b w:val="false"/>
          <w:bCs w:val="false"/>
          <w:color w:val="33404F"/>
          <w:sz w:val="18"/>
          <w:szCs w:val="18"/>
        </w:rPr>
        <w:t xml:space="preserve">Knowledge risk</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27</w:t>
      </w:r>
    </w:p>
    <w:p>
      <w:pPr>
        <w:tabs>
          <w:tab w:val="right" w:pos="9360" w:leader="none"/>
        </w:tabs>
        <w:spacing w:after="30" w:before="150" w:line="240"/>
        <w:ind w:left="0" w:right="0"/>
      </w:pPr>
      <w:r>
        <w:rPr>
          <w:rFonts w:ascii="Calibri" w:cs="Calibri" w:eastAsia="Calibri" w:hAnsi="Calibri"/>
          <w:b/>
          <w:bCs/>
          <w:color w:val="0B2545"/>
          <w:sz w:val="20"/>
          <w:szCs w:val="20"/>
        </w:rPr>
        <w:t xml:space="preserve">9 </w:t>
      </w:r>
      <w:r>
        <w:rPr>
          <w:rFonts w:ascii="Calibri" w:cs="Calibri" w:eastAsia="Calibri" w:hAnsi="Calibri"/>
          <w:b/>
          <w:bCs/>
          <w:color w:val="0B2545"/>
          <w:sz w:val="20"/>
          <w:szCs w:val="20"/>
        </w:rPr>
        <w:t xml:space="preserve">Sprint Backlog: Twelve Bi-Weekly Sprints</w:t>
      </w:r>
      <w:r>
        <w:rPr>
          <w:rFonts w:ascii="Calibri" w:cs="Calibri" w:eastAsia="Calibri" w:hAnsi="Calibri"/>
          <w:color w:val="AAB4C0"/>
          <w:sz w:val="20"/>
          <w:szCs w:val="20"/>
        </w:rPr>
        <w:tab/>
      </w:r>
      <w:r>
        <w:rPr>
          <w:rFonts w:ascii="Calibri" w:cs="Calibri" w:eastAsia="Calibri" w:hAnsi="Calibri"/>
          <w:b/>
          <w:bCs/>
          <w:color w:val="0B2545"/>
          <w:sz w:val="20"/>
          <w:szCs w:val="20"/>
        </w:rPr>
        <w:t xml:space="preserve">28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9.1 </w:t>
      </w:r>
      <w:r>
        <w:rPr>
          <w:rFonts w:ascii="Calibri" w:cs="Calibri" w:eastAsia="Calibri" w:hAnsi="Calibri"/>
          <w:b w:val="false"/>
          <w:bCs w:val="false"/>
          <w:color w:val="33404F"/>
          <w:sz w:val="18"/>
          <w:szCs w:val="18"/>
        </w:rPr>
        <w:t xml:space="preserve">Sprints 1–4 · Foundation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28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9.2 </w:t>
      </w:r>
      <w:r>
        <w:rPr>
          <w:rFonts w:ascii="Calibri" w:cs="Calibri" w:eastAsia="Calibri" w:hAnsi="Calibri"/>
          <w:b w:val="false"/>
          <w:bCs w:val="false"/>
          <w:color w:val="33404F"/>
          <w:sz w:val="18"/>
          <w:szCs w:val="18"/>
        </w:rPr>
        <w:t xml:space="preserve">Sprints 5–8 · Memory, convergence and coordination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30</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9.3 </w:t>
      </w:r>
      <w:r>
        <w:rPr>
          <w:rFonts w:ascii="Calibri" w:cs="Calibri" w:eastAsia="Calibri" w:hAnsi="Calibri"/>
          <w:b w:val="false"/>
          <w:bCs w:val="false"/>
          <w:color w:val="33404F"/>
          <w:sz w:val="18"/>
          <w:szCs w:val="18"/>
        </w:rPr>
        <w:t xml:space="preserve">Sprints 9–12 · Hardening, assurance and launch</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9.4 </w:t>
      </w:r>
      <w:r>
        <w:rPr>
          <w:rFonts w:ascii="Calibri" w:cs="Calibri" w:eastAsia="Calibri" w:hAnsi="Calibri"/>
          <w:b w:val="false"/>
          <w:bCs w:val="false"/>
          <w:color w:val="33404F"/>
          <w:sz w:val="18"/>
          <w:szCs w:val="18"/>
        </w:rPr>
        <w:t xml:space="preserve">Velocity assumptions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33</w:t>
      </w:r>
    </w:p>
    <w:p>
      <w:pPr>
        <w:tabs>
          <w:tab w:val="right" w:pos="9360" w:leader="none"/>
        </w:tabs>
        <w:spacing w:after="30" w:before="150" w:line="240"/>
        <w:ind w:left="0" w:right="0"/>
      </w:pPr>
      <w:r>
        <w:rPr>
          <w:rFonts w:ascii="Calibri" w:cs="Calibri" w:eastAsia="Calibri" w:hAnsi="Calibri"/>
          <w:b/>
          <w:bCs/>
          <w:color w:val="0B2545"/>
          <w:sz w:val="20"/>
          <w:szCs w:val="20"/>
        </w:rPr>
        <w:t xml:space="preserve">10 </w:t>
      </w:r>
      <w:r>
        <w:rPr>
          <w:rFonts w:ascii="Calibri" w:cs="Calibri" w:eastAsia="Calibri" w:hAnsi="Calibri"/>
          <w:b/>
          <w:bCs/>
          <w:color w:val="0B2545"/>
          <w:sz w:val="20"/>
          <w:szCs w:val="20"/>
        </w:rPr>
        <w:t xml:space="preserve">Milestone Checklists</w:t>
      </w:r>
      <w:r>
        <w:rPr>
          <w:rFonts w:ascii="Calibri" w:cs="Calibri" w:eastAsia="Calibri" w:hAnsi="Calibri"/>
          <w:color w:val="AAB4C0"/>
          <w:sz w:val="20"/>
          <w:szCs w:val="20"/>
        </w:rPr>
        <w:tab/>
      </w:r>
      <w:r>
        <w:rPr>
          <w:rFonts w:ascii="Calibri" w:cs="Calibri" w:eastAsia="Calibri" w:hAnsi="Calibri"/>
          <w:b/>
          <w:bCs/>
          <w:color w:val="0B2545"/>
          <w:sz w:val="20"/>
          <w:szCs w:val="20"/>
        </w:rPr>
        <w:t xml:space="preserve">34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MS1 </w:t>
      </w:r>
      <w:r>
        <w:rPr>
          <w:rFonts w:ascii="Calibri" w:cs="Calibri" w:eastAsia="Calibri" w:hAnsi="Calibri"/>
          <w:b w:val="false"/>
          <w:bCs w:val="false"/>
          <w:color w:val="33404F"/>
          <w:sz w:val="18"/>
          <w:szCs w:val="18"/>
        </w:rPr>
        <w:t xml:space="preserve">Trustworthy front door (end of week 4)</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MS2 </w:t>
      </w:r>
      <w:r>
        <w:rPr>
          <w:rFonts w:ascii="Calibri" w:cs="Calibri" w:eastAsia="Calibri" w:hAnsi="Calibri"/>
          <w:b w:val="false"/>
          <w:bCs w:val="false"/>
          <w:color w:val="33404F"/>
          <w:sz w:val="18"/>
          <w:szCs w:val="18"/>
        </w:rPr>
        <w:t xml:space="preserve">Working agent (end of week 8)</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MS3 </w:t>
      </w:r>
      <w:r>
        <w:rPr>
          <w:rFonts w:ascii="Calibri" w:cs="Calibri" w:eastAsia="Calibri" w:hAnsi="Calibri"/>
          <w:b w:val="false"/>
          <w:bCs w:val="false"/>
          <w:color w:val="33404F"/>
          <w:sz w:val="18"/>
          <w:szCs w:val="18"/>
        </w:rPr>
        <w:t xml:space="preserve">Remembering agent and one runtime (end of week 12)</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35</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MS4 </w:t>
      </w:r>
      <w:r>
        <w:rPr>
          <w:rFonts w:ascii="Calibri" w:cs="Calibri" w:eastAsia="Calibri" w:hAnsi="Calibri"/>
          <w:b w:val="false"/>
          <w:bCs w:val="false"/>
          <w:color w:val="33404F"/>
          <w:sz w:val="18"/>
          <w:szCs w:val="18"/>
        </w:rPr>
        <w:t xml:space="preserve">Coordinating agents (end of week 16)</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35</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MS5 </w:t>
      </w:r>
      <w:r>
        <w:rPr>
          <w:rFonts w:ascii="Calibri" w:cs="Calibri" w:eastAsia="Calibri" w:hAnsi="Calibri"/>
          <w:b w:val="false"/>
          <w:bCs w:val="false"/>
          <w:color w:val="33404F"/>
          <w:sz w:val="18"/>
          <w:szCs w:val="18"/>
        </w:rPr>
        <w:t xml:space="preserve">Sellable platform (end of week 20)</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36</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MS6 </w:t>
      </w:r>
      <w:r>
        <w:rPr>
          <w:rFonts w:ascii="Calibri" w:cs="Calibri" w:eastAsia="Calibri" w:hAnsi="Calibri"/>
          <w:b w:val="false"/>
          <w:bCs w:val="false"/>
          <w:color w:val="33404F"/>
          <w:sz w:val="18"/>
          <w:szCs w:val="18"/>
        </w:rPr>
        <w:t xml:space="preserve">Controlled general availability (end of week 24)</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36</w:t>
      </w:r>
    </w:p>
    <w:p>
      <w:pPr>
        <w:tabs>
          <w:tab w:val="right" w:pos="9360" w:leader="none"/>
        </w:tabs>
        <w:spacing w:after="30" w:before="150" w:line="240"/>
        <w:ind w:left="0" w:right="0"/>
      </w:pPr>
      <w:r>
        <w:rPr>
          <w:rFonts w:ascii="Calibri" w:cs="Calibri" w:eastAsia="Calibri" w:hAnsi="Calibri"/>
          <w:b/>
          <w:bCs/>
          <w:color w:val="0B2545"/>
          <w:sz w:val="20"/>
          <w:szCs w:val="20"/>
        </w:rPr>
        <w:t xml:space="preserve">11 </w:t>
      </w:r>
      <w:r>
        <w:rPr>
          <w:rFonts w:ascii="Calibri" w:cs="Calibri" w:eastAsia="Calibri" w:hAnsi="Calibri"/>
          <w:b/>
          <w:bCs/>
          <w:color w:val="0B2545"/>
          <w:sz w:val="20"/>
          <w:szCs w:val="20"/>
        </w:rPr>
        <w:t xml:space="preserve">Risk Register and Mitigation Plan</w:t>
      </w:r>
      <w:r>
        <w:rPr>
          <w:rFonts w:ascii="Calibri" w:cs="Calibri" w:eastAsia="Calibri" w:hAnsi="Calibri"/>
          <w:color w:val="AAB4C0"/>
          <w:sz w:val="20"/>
          <w:szCs w:val="20"/>
        </w:rPr>
        <w:tab/>
      </w:r>
      <w:r>
        <w:rPr>
          <w:rFonts w:ascii="Calibri" w:cs="Calibri" w:eastAsia="Calibri" w:hAnsi="Calibri"/>
          <w:b/>
          <w:bCs/>
          <w:color w:val="0B2545"/>
          <w:sz w:val="20"/>
          <w:szCs w:val="20"/>
        </w:rPr>
        <w:t xml:space="preserve">37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11.1 </w:t>
      </w:r>
      <w:r>
        <w:rPr>
          <w:rFonts w:ascii="Calibri" w:cs="Calibri" w:eastAsia="Calibri" w:hAnsi="Calibri"/>
          <w:b w:val="false"/>
          <w:bCs w:val="false"/>
          <w:color w:val="33404F"/>
          <w:sz w:val="18"/>
          <w:szCs w:val="18"/>
        </w:rPr>
        <w:t xml:space="preserve">Register</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11.2 </w:t>
      </w:r>
      <w:r>
        <w:rPr>
          <w:rFonts w:ascii="Calibri" w:cs="Calibri" w:eastAsia="Calibri" w:hAnsi="Calibri"/>
          <w:b w:val="false"/>
          <w:bCs w:val="false"/>
          <w:color w:val="33404F"/>
          <w:sz w:val="18"/>
          <w:szCs w:val="18"/>
        </w:rPr>
        <w:t xml:space="preserve">Contingency release policy</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11.3 </w:t>
      </w:r>
      <w:r>
        <w:rPr>
          <w:rFonts w:ascii="Calibri" w:cs="Calibri" w:eastAsia="Calibri" w:hAnsi="Calibri"/>
          <w:b w:val="false"/>
          <w:bCs w:val="false"/>
          <w:color w:val="33404F"/>
          <w:sz w:val="18"/>
          <w:szCs w:val="18"/>
        </w:rPr>
        <w:t xml:space="preserve">Risks accepted without mitigation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38</w:t>
      </w:r>
    </w:p>
    <w:p>
      <w:pPr>
        <w:tabs>
          <w:tab w:val="right" w:pos="9360" w:leader="none"/>
        </w:tabs>
        <w:spacing w:after="30" w:before="150" w:line="240"/>
        <w:ind w:left="0" w:right="0"/>
      </w:pPr>
      <w:r>
        <w:rPr>
          <w:rFonts w:ascii="Calibri" w:cs="Calibri" w:eastAsia="Calibri" w:hAnsi="Calibri"/>
          <w:b/>
          <w:bCs/>
          <w:color w:val="0B2545"/>
          <w:sz w:val="20"/>
          <w:szCs w:val="20"/>
        </w:rPr>
        <w:t xml:space="preserve">12 </w:t>
      </w:r>
      <w:r>
        <w:rPr>
          <w:rFonts w:ascii="Calibri" w:cs="Calibri" w:eastAsia="Calibri" w:hAnsi="Calibri"/>
          <w:b/>
          <w:bCs/>
          <w:color w:val="0B2545"/>
          <w:sz w:val="20"/>
          <w:szCs w:val="20"/>
        </w:rPr>
        <w:t xml:space="preserve">Budget and Infrastructure Estimates</w:t>
      </w:r>
      <w:r>
        <w:rPr>
          <w:rFonts w:ascii="Calibri" w:cs="Calibri" w:eastAsia="Calibri" w:hAnsi="Calibri"/>
          <w:color w:val="AAB4C0"/>
          <w:sz w:val="20"/>
          <w:szCs w:val="20"/>
        </w:rPr>
        <w:tab/>
      </w:r>
      <w:r>
        <w:rPr>
          <w:rFonts w:ascii="Calibri" w:cs="Calibri" w:eastAsia="Calibri" w:hAnsi="Calibri"/>
          <w:b/>
          <w:bCs/>
          <w:color w:val="0B2545"/>
          <w:sz w:val="20"/>
          <w:szCs w:val="20"/>
        </w:rPr>
        <w:t xml:space="preserve">40</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12.1 </w:t>
      </w:r>
      <w:r>
        <w:rPr>
          <w:rFonts w:ascii="Calibri" w:cs="Calibri" w:eastAsia="Calibri" w:hAnsi="Calibri"/>
          <w:b w:val="false"/>
          <w:bCs w:val="false"/>
          <w:color w:val="33404F"/>
          <w:sz w:val="18"/>
          <w:szCs w:val="18"/>
        </w:rPr>
        <w:t xml:space="preserve">Budget detail</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40</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12.2 </w:t>
      </w:r>
      <w:r>
        <w:rPr>
          <w:rFonts w:ascii="Calibri" w:cs="Calibri" w:eastAsia="Calibri" w:hAnsi="Calibri"/>
          <w:b w:val="false"/>
          <w:bCs w:val="false"/>
          <w:color w:val="33404F"/>
          <w:sz w:val="18"/>
          <w:szCs w:val="18"/>
        </w:rPr>
        <w:t xml:space="preserve">Infrastructure sizing</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12.3 </w:t>
      </w:r>
      <w:r>
        <w:rPr>
          <w:rFonts w:ascii="Calibri" w:cs="Calibri" w:eastAsia="Calibri" w:hAnsi="Calibri"/>
          <w:b w:val="false"/>
          <w:bCs w:val="false"/>
          <w:color w:val="33404F"/>
          <w:sz w:val="18"/>
          <w:szCs w:val="18"/>
        </w:rPr>
        <w:t xml:space="preserve">Cost controls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12.4 </w:t>
      </w:r>
      <w:r>
        <w:rPr>
          <w:rFonts w:ascii="Calibri" w:cs="Calibri" w:eastAsia="Calibri" w:hAnsi="Calibri"/>
          <w:b w:val="false"/>
          <w:bCs w:val="false"/>
          <w:color w:val="33404F"/>
          <w:sz w:val="18"/>
          <w:szCs w:val="18"/>
        </w:rPr>
        <w:t xml:space="preserve">What this budget does not include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42</w:t>
      </w:r>
    </w:p>
    <w:p>
      <w:pPr>
        <w:tabs>
          <w:tab w:val="right" w:pos="9360" w:leader="none"/>
        </w:tabs>
        <w:spacing w:after="30" w:before="150" w:line="240"/>
        <w:ind w:left="0" w:right="0"/>
      </w:pPr>
      <w:r>
        <w:rPr>
          <w:rFonts w:ascii="Calibri" w:cs="Calibri" w:eastAsia="Calibri" w:hAnsi="Calibri"/>
          <w:b/>
          <w:bCs/>
          <w:color w:val="0B2545"/>
          <w:sz w:val="20"/>
          <w:szCs w:val="20"/>
        </w:rPr>
        <w:t xml:space="preserve">13 </w:t>
      </w:r>
      <w:r>
        <w:rPr>
          <w:rFonts w:ascii="Calibri" w:cs="Calibri" w:eastAsia="Calibri" w:hAnsi="Calibri"/>
          <w:b/>
          <w:bCs/>
          <w:color w:val="0B2545"/>
          <w:sz w:val="20"/>
          <w:szCs w:val="20"/>
        </w:rPr>
        <w:t xml:space="preserve">Target Technical Architecture</w:t>
      </w:r>
      <w:r>
        <w:rPr>
          <w:rFonts w:ascii="Calibri" w:cs="Calibri" w:eastAsia="Calibri" w:hAnsi="Calibri"/>
          <w:color w:val="AAB4C0"/>
          <w:sz w:val="20"/>
          <w:szCs w:val="20"/>
        </w:rPr>
        <w:tab/>
      </w:r>
      <w:r>
        <w:rPr>
          <w:rFonts w:ascii="Calibri" w:cs="Calibri" w:eastAsia="Calibri" w:hAnsi="Calibri"/>
          <w:b/>
          <w:bCs/>
          <w:color w:val="0B2545"/>
          <w:sz w:val="20"/>
          <w:szCs w:val="20"/>
        </w:rPr>
        <w:t xml:space="preserve">43</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13.1 </w:t>
      </w:r>
      <w:r>
        <w:rPr>
          <w:rFonts w:ascii="Calibri" w:cs="Calibri" w:eastAsia="Calibri" w:hAnsi="Calibri"/>
          <w:b w:val="false"/>
          <w:bCs w:val="false"/>
          <w:color w:val="33404F"/>
          <w:sz w:val="18"/>
          <w:szCs w:val="18"/>
        </w:rPr>
        <w:t xml:space="preserve">The request path</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43</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13.2 </w:t>
      </w:r>
      <w:r>
        <w:rPr>
          <w:rFonts w:ascii="Calibri" w:cs="Calibri" w:eastAsia="Calibri" w:hAnsi="Calibri"/>
          <w:b w:val="false"/>
          <w:bCs w:val="false"/>
          <w:color w:val="33404F"/>
          <w:sz w:val="18"/>
          <w:szCs w:val="18"/>
        </w:rPr>
        <w:t xml:space="preserve">Service estate at week 24</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13.3 </w:t>
      </w:r>
      <w:r>
        <w:rPr>
          <w:rFonts w:ascii="Calibri" w:cs="Calibri" w:eastAsia="Calibri" w:hAnsi="Calibri"/>
          <w:b w:val="false"/>
          <w:bCs w:val="false"/>
          <w:color w:val="33404F"/>
          <w:sz w:val="18"/>
          <w:szCs w:val="18"/>
        </w:rPr>
        <w:t xml:space="preserve">Data architecture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44</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13.4 </w:t>
      </w:r>
      <w:r>
        <w:rPr>
          <w:rFonts w:ascii="Calibri" w:cs="Calibri" w:eastAsia="Calibri" w:hAnsi="Calibri"/>
          <w:b w:val="false"/>
          <w:bCs w:val="false"/>
          <w:color w:val="33404F"/>
          <w:sz w:val="18"/>
          <w:szCs w:val="18"/>
        </w:rPr>
        <w:t xml:space="preserve">Non-functional targets at week 24</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45</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13.5 </w:t>
      </w:r>
      <w:r>
        <w:rPr>
          <w:rFonts w:ascii="Calibri" w:cs="Calibri" w:eastAsia="Calibri" w:hAnsi="Calibri"/>
          <w:b w:val="false"/>
          <w:bCs w:val="false"/>
          <w:color w:val="33404F"/>
          <w:sz w:val="18"/>
          <w:szCs w:val="18"/>
        </w:rPr>
        <w:t xml:space="preserve">Declared divergences from the constitution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45</w:t>
      </w:r>
    </w:p>
    <w:p>
      <w:pPr>
        <w:tabs>
          <w:tab w:val="right" w:pos="9360" w:leader="none"/>
        </w:tabs>
        <w:spacing w:after="30" w:before="150" w:line="240"/>
        <w:ind w:left="0" w:right="0"/>
      </w:pPr>
      <w:r>
        <w:rPr>
          <w:rFonts w:ascii="Calibri" w:cs="Calibri" w:eastAsia="Calibri" w:hAnsi="Calibri"/>
          <w:b/>
          <w:bCs/>
          <w:color w:val="0B2545"/>
          <w:sz w:val="20"/>
          <w:szCs w:val="20"/>
        </w:rPr>
        <w:t xml:space="preserve">14 </w:t>
      </w:r>
      <w:r>
        <w:rPr>
          <w:rFonts w:ascii="Calibri" w:cs="Calibri" w:eastAsia="Calibri" w:hAnsi="Calibri"/>
          <w:b/>
          <w:bCs/>
          <w:color w:val="0B2545"/>
          <w:sz w:val="20"/>
          <w:szCs w:val="20"/>
        </w:rPr>
        <w:t xml:space="preserve">Product Roadmap Beyond the Programme</w:t>
      </w:r>
      <w:r>
        <w:rPr>
          <w:rFonts w:ascii="Calibri" w:cs="Calibri" w:eastAsia="Calibri" w:hAnsi="Calibri"/>
          <w:color w:val="AAB4C0"/>
          <w:sz w:val="20"/>
          <w:szCs w:val="20"/>
        </w:rPr>
        <w:tab/>
      </w:r>
      <w:r>
        <w:rPr>
          <w:rFonts w:ascii="Calibri" w:cs="Calibri" w:eastAsia="Calibri" w:hAnsi="Calibri"/>
          <w:b/>
          <w:bCs/>
          <w:color w:val="0B2545"/>
          <w:sz w:val="20"/>
          <w:szCs w:val="20"/>
        </w:rPr>
        <w:t xml:space="preserve">46</w:t>
      </w:r>
    </w:p>
    <w:p>
      <w:pPr>
        <w:tabs>
          <w:tab w:val="right" w:pos="9360" w:leader="none"/>
        </w:tabs>
        <w:spacing w:after="30" w:before="150" w:line="240"/>
        <w:ind w:left="0" w:right="0"/>
      </w:pPr>
      <w:r>
        <w:rPr>
          <w:rFonts w:ascii="Calibri" w:cs="Calibri" w:eastAsia="Calibri" w:hAnsi="Calibri"/>
          <w:b/>
          <w:bCs/>
          <w:color w:val="0B2545"/>
          <w:sz w:val="20"/>
          <w:szCs w:val="20"/>
        </w:rPr>
        <w:t xml:space="preserve">15 </w:t>
      </w:r>
      <w:r>
        <w:rPr>
          <w:rFonts w:ascii="Calibri" w:cs="Calibri" w:eastAsia="Calibri" w:hAnsi="Calibri"/>
          <w:b/>
          <w:bCs/>
          <w:color w:val="0B2545"/>
          <w:sz w:val="20"/>
          <w:szCs w:val="20"/>
        </w:rPr>
        <w:t xml:space="preserve">Launch and Go-to-Market Plan</w:t>
      </w:r>
      <w:r>
        <w:rPr>
          <w:rFonts w:ascii="Calibri" w:cs="Calibri" w:eastAsia="Calibri" w:hAnsi="Calibri"/>
          <w:color w:val="AAB4C0"/>
          <w:sz w:val="20"/>
          <w:szCs w:val="20"/>
        </w:rPr>
        <w:tab/>
      </w:r>
      <w:r>
        <w:rPr>
          <w:rFonts w:ascii="Calibri" w:cs="Calibri" w:eastAsia="Calibri" w:hAnsi="Calibri"/>
          <w:b/>
          <w:bCs/>
          <w:color w:val="0B2545"/>
          <w:sz w:val="20"/>
          <w:szCs w:val="20"/>
        </w:rPr>
        <w:t xml:space="preserve">47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15.1 </w:t>
      </w:r>
      <w:r>
        <w:rPr>
          <w:rFonts w:ascii="Calibri" w:cs="Calibri" w:eastAsia="Calibri" w:hAnsi="Calibri"/>
          <w:b w:val="false"/>
          <w:bCs w:val="false"/>
          <w:color w:val="33404F"/>
          <w:sz w:val="18"/>
          <w:szCs w:val="18"/>
        </w:rPr>
        <w:t xml:space="preserve">Sequence</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15.2 </w:t>
      </w:r>
      <w:r>
        <w:rPr>
          <w:rFonts w:ascii="Calibri" w:cs="Calibri" w:eastAsia="Calibri" w:hAnsi="Calibri"/>
          <w:b w:val="false"/>
          <w:bCs w:val="false"/>
          <w:color w:val="33404F"/>
          <w:sz w:val="18"/>
          <w:szCs w:val="18"/>
        </w:rPr>
        <w:t xml:space="preserve">Design partner criteria</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15.3 </w:t>
      </w:r>
      <w:r>
        <w:rPr>
          <w:rFonts w:ascii="Calibri" w:cs="Calibri" w:eastAsia="Calibri" w:hAnsi="Calibri"/>
          <w:b w:val="false"/>
          <w:bCs w:val="false"/>
          <w:color w:val="33404F"/>
          <w:sz w:val="18"/>
          <w:szCs w:val="18"/>
        </w:rPr>
        <w:t xml:space="preserve">Positioning</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47</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15.4 </w:t>
      </w:r>
      <w:r>
        <w:rPr>
          <w:rFonts w:ascii="Calibri" w:cs="Calibri" w:eastAsia="Calibri" w:hAnsi="Calibri"/>
          <w:b w:val="false"/>
          <w:bCs w:val="false"/>
          <w:color w:val="33404F"/>
          <w:sz w:val="18"/>
          <w:szCs w:val="18"/>
        </w:rPr>
        <w:t xml:space="preserve">Prerequisites the launch plan depends on</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15.5 </w:t>
      </w:r>
      <w:r>
        <w:rPr>
          <w:rFonts w:ascii="Calibri" w:cs="Calibri" w:eastAsia="Calibri" w:hAnsi="Calibri"/>
          <w:b w:val="false"/>
          <w:bCs w:val="false"/>
          <w:color w:val="33404F"/>
          <w:sz w:val="18"/>
          <w:szCs w:val="18"/>
        </w:rPr>
        <w:t xml:space="preserve">Success measures for the launch</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48</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15.6 </w:t>
      </w:r>
      <w:r>
        <w:rPr>
          <w:rFonts w:ascii="Calibri" w:cs="Calibri" w:eastAsia="Calibri" w:hAnsi="Calibri"/>
          <w:b w:val="false"/>
          <w:bCs w:val="false"/>
          <w:color w:val="33404F"/>
          <w:sz w:val="18"/>
          <w:szCs w:val="18"/>
        </w:rPr>
        <w:t xml:space="preserve">Closing statement</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48</w:t>
      </w:r>
    </w:p>
    <w:p>
      <w:pPr>
        <w:tabs>
          <w:tab w:val="right" w:pos="9360" w:leader="none"/>
        </w:tabs>
        <w:spacing w:after="30" w:before="150" w:line="240"/>
        <w:ind w:left="0" w:right="0"/>
      </w:pPr>
      <w:r>
        <w:rPr>
          <w:rFonts w:ascii="Calibri" w:cs="Calibri" w:eastAsia="Calibri" w:hAnsi="Calibri"/>
          <w:b/>
          <w:bCs/>
          <w:color w:val="0B2545"/>
          <w:sz w:val="20"/>
          <w:szCs w:val="20"/>
        </w:rPr>
        <w:t xml:space="preserve"/>
      </w:r>
      <w:r>
        <w:rPr>
          <w:rFonts w:ascii="Calibri" w:cs="Calibri" w:eastAsia="Calibri" w:hAnsi="Calibri"/>
          <w:b/>
          <w:bCs/>
          <w:color w:val="0B2545"/>
          <w:sz w:val="20"/>
          <w:szCs w:val="20"/>
        </w:rPr>
        <w:t xml:space="preserve">Appendix A — Glossary</w:t>
      </w:r>
      <w:r>
        <w:rPr>
          <w:rFonts w:ascii="Calibri" w:cs="Calibri" w:eastAsia="Calibri" w:hAnsi="Calibri"/>
          <w:color w:val="AAB4C0"/>
          <w:sz w:val="20"/>
          <w:szCs w:val="20"/>
        </w:rPr>
        <w:tab/>
      </w:r>
      <w:r>
        <w:rPr>
          <w:rFonts w:ascii="Calibri" w:cs="Calibri" w:eastAsia="Calibri" w:hAnsi="Calibri"/>
          <w:b/>
          <w:bCs/>
          <w:color w:val="0B2545"/>
          <w:sz w:val="20"/>
          <w:szCs w:val="20"/>
        </w:rPr>
        <w:t xml:space="preserve">50</w:t>
      </w:r>
    </w:p>
    <w:p>
      <w:pPr>
        <w:tabs>
          <w:tab w:val="right" w:pos="9360" w:leader="none"/>
        </w:tabs>
        <w:spacing w:after="30" w:before="150" w:line="240"/>
        <w:ind w:left="0" w:right="0"/>
      </w:pPr>
      <w:r>
        <w:rPr>
          <w:rFonts w:ascii="Calibri" w:cs="Calibri" w:eastAsia="Calibri" w:hAnsi="Calibri"/>
          <w:b/>
          <w:bCs/>
          <w:color w:val="0B2545"/>
          <w:sz w:val="20"/>
          <w:szCs w:val="20"/>
        </w:rPr>
        <w:t xml:space="preserve"/>
      </w:r>
      <w:r>
        <w:rPr>
          <w:rFonts w:ascii="Calibri" w:cs="Calibri" w:eastAsia="Calibri" w:hAnsi="Calibri"/>
          <w:b/>
          <w:bCs/>
          <w:color w:val="0B2545"/>
          <w:sz w:val="20"/>
          <w:szCs w:val="20"/>
        </w:rPr>
        <w:t xml:space="preserve">Appendix B — Engineering Standards</w:t>
      </w:r>
      <w:r>
        <w:rPr>
          <w:rFonts w:ascii="Calibri" w:cs="Calibri" w:eastAsia="Calibri" w:hAnsi="Calibri"/>
          <w:color w:val="AAB4C0"/>
          <w:sz w:val="20"/>
          <w:szCs w:val="20"/>
        </w:rPr>
        <w:tab/>
      </w:r>
      <w:r>
        <w:rPr>
          <w:rFonts w:ascii="Calibri" w:cs="Calibri" w:eastAsia="Calibri" w:hAnsi="Calibri"/>
          <w:b/>
          <w:bCs/>
          <w:color w:val="0B2545"/>
          <w:sz w:val="20"/>
          <w:szCs w:val="20"/>
        </w:rPr>
        <w:t xml:space="preserve">51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B.1 </w:t>
      </w:r>
      <w:r>
        <w:rPr>
          <w:rFonts w:ascii="Calibri" w:cs="Calibri" w:eastAsia="Calibri" w:hAnsi="Calibri"/>
          <w:b w:val="false"/>
          <w:bCs w:val="false"/>
          <w:color w:val="33404F"/>
          <w:sz w:val="18"/>
          <w:szCs w:val="18"/>
        </w:rPr>
        <w:t xml:space="preserve">Platform-wide required standards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51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B.2 </w:t>
      </w:r>
      <w:r>
        <w:rPr>
          <w:rFonts w:ascii="Calibri" w:cs="Calibri" w:eastAsia="Calibri" w:hAnsi="Calibri"/>
          <w:b w:val="false"/>
          <w:bCs w:val="false"/>
          <w:color w:val="33404F"/>
          <w:sz w:val="18"/>
          <w:szCs w:val="18"/>
        </w:rPr>
        <w:t xml:space="preserve">Code review standards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51</w:t>
      </w:r>
    </w:p>
    <w:p>
      <w:pPr>
        <w:tabs>
          <w:tab w:val="right" w:pos="9360" w:leader="dot"/>
        </w:tabs>
        <w:spacing w:after="12" w:before="12" w:line="240"/>
        <w:ind w:left="340" w:right="0"/>
      </w:pPr>
      <w:r>
        <w:rPr>
          <w:rFonts w:ascii="Calibri" w:cs="Calibri" w:eastAsia="Calibri" w:hAnsi="Calibri"/>
          <w:b w:val="false"/>
          <w:bCs w:val="false"/>
          <w:color w:val="3E6E9E"/>
          <w:sz w:val="18"/>
          <w:szCs w:val="18"/>
        </w:rPr>
        <w:t xml:space="preserve">B.3 </w:t>
      </w:r>
      <w:r>
        <w:rPr>
          <w:rFonts w:ascii="Calibri" w:cs="Calibri" w:eastAsia="Calibri" w:hAnsi="Calibri"/>
          <w:b w:val="false"/>
          <w:bCs w:val="false"/>
          <w:color w:val="33404F"/>
          <w:sz w:val="18"/>
          <w:szCs w:val="18"/>
        </w:rPr>
        <w:t xml:space="preserve">Testing standards</w:t>
      </w:r>
      <w:r>
        <w:rPr>
          <w:rFonts w:ascii="Calibri" w:cs="Calibri" w:eastAsia="Calibri" w:hAnsi="Calibri"/>
          <w:color w:val="AAB4C0"/>
          <w:sz w:val="18"/>
          <w:szCs w:val="18"/>
        </w:rPr>
        <w:tab/>
      </w:r>
      <w:r>
        <w:rPr>
          <w:rFonts w:ascii="Calibri" w:cs="Calibri" w:eastAsia="Calibri" w:hAnsi="Calibri"/>
          <w:b w:val="false"/>
          <w:bCs w:val="false"/>
          <w:color w:val="6B7280"/>
          <w:sz w:val="18"/>
          <w:szCs w:val="18"/>
        </w:rPr>
        <w:t xml:space="preserve">51</w:t>
      </w:r>
    </w:p>
    <w:p>
      <w:pPr>
        <w:tabs>
          <w:tab w:val="right" w:pos="9360" w:leader="none"/>
        </w:tabs>
        <w:spacing w:after="30" w:before="150" w:line="240"/>
        <w:ind w:left="0" w:right="0"/>
      </w:pPr>
      <w:r>
        <w:rPr>
          <w:rFonts w:ascii="Calibri" w:cs="Calibri" w:eastAsia="Calibri" w:hAnsi="Calibri"/>
          <w:b/>
          <w:bCs/>
          <w:color w:val="0B2545"/>
          <w:sz w:val="20"/>
          <w:szCs w:val="20"/>
        </w:rPr>
        <w:t xml:space="preserve"/>
      </w:r>
      <w:r>
        <w:rPr>
          <w:rFonts w:ascii="Calibri" w:cs="Calibri" w:eastAsia="Calibri" w:hAnsi="Calibri"/>
          <w:b/>
          <w:bCs/>
          <w:color w:val="0B2545"/>
          <w:sz w:val="20"/>
          <w:szCs w:val="20"/>
        </w:rPr>
        <w:t xml:space="preserve">Appendix C — Evidence Index</w:t>
      </w:r>
      <w:r>
        <w:rPr>
          <w:rFonts w:ascii="Calibri" w:cs="Calibri" w:eastAsia="Calibri" w:hAnsi="Calibri"/>
          <w:color w:val="AAB4C0"/>
          <w:sz w:val="20"/>
          <w:szCs w:val="20"/>
        </w:rPr>
        <w:tab/>
      </w:r>
      <w:r>
        <w:rPr>
          <w:rFonts w:ascii="Calibri" w:cs="Calibri" w:eastAsia="Calibri" w:hAnsi="Calibri"/>
          <w:b/>
          <w:bCs/>
          <w:color w:val="0B2545"/>
          <w:sz w:val="20"/>
          <w:szCs w:val="20"/>
        </w:rPr>
        <w:t xml:space="preserve">53</w:t>
      </w:r>
    </w:p>
    <w:p>
      <w:pPr>
        <w:tabs>
          <w:tab w:val="right" w:pos="9360" w:leader="none"/>
        </w:tabs>
        <w:spacing w:after="30" w:before="150" w:line="240"/>
        <w:ind w:left="0" w:right="0"/>
      </w:pPr>
      <w:r>
        <w:rPr>
          <w:rFonts w:ascii="Calibri" w:cs="Calibri" w:eastAsia="Calibri" w:hAnsi="Calibri"/>
          <w:b/>
          <w:bCs/>
          <w:color w:val="0B2545"/>
          <w:sz w:val="20"/>
          <w:szCs w:val="20"/>
        </w:rPr>
        <w:t xml:space="preserve"/>
      </w:r>
      <w:r>
        <w:rPr>
          <w:rFonts w:ascii="Calibri" w:cs="Calibri" w:eastAsia="Calibri" w:hAnsi="Calibri"/>
          <w:b/>
          <w:bCs/>
          <w:color w:val="0B2545"/>
          <w:sz w:val="20"/>
          <w:szCs w:val="20"/>
        </w:rPr>
        <w:t xml:space="preserve">Appendix D — Assumptions Register</w:t>
      </w:r>
      <w:r>
        <w:rPr>
          <w:rFonts w:ascii="Calibri" w:cs="Calibri" w:eastAsia="Calibri" w:hAnsi="Calibri"/>
          <w:color w:val="AAB4C0"/>
          <w:sz w:val="20"/>
          <w:szCs w:val="20"/>
        </w:rPr>
        <w:tab/>
      </w:r>
      <w:r>
        <w:rPr>
          <w:rFonts w:ascii="Calibri" w:cs="Calibri" w:eastAsia="Calibri" w:hAnsi="Calibri"/>
          <w:b/>
          <w:bCs/>
          <w:color w:val="0B2545"/>
          <w:sz w:val="20"/>
          <w:szCs w:val="20"/>
        </w:rPr>
        <w:t xml:space="preserve">55</w:t>
      </w:r>
    </w:p>
    <w:p>
      <w:pPr>
        <w:tabs>
          <w:tab w:val="right" w:pos="9360" w:leader="none"/>
        </w:tabs>
        <w:spacing w:after="30" w:before="150" w:line="240"/>
        <w:ind w:left="0" w:right="0"/>
      </w:pPr>
      <w:r>
        <w:rPr>
          <w:rFonts w:ascii="Calibri" w:cs="Calibri" w:eastAsia="Calibri" w:hAnsi="Calibri"/>
          <w:b/>
          <w:bCs/>
          <w:color w:val="0B2545"/>
          <w:sz w:val="20"/>
          <w:szCs w:val="20"/>
        </w:rPr>
        <w:t xml:space="preserve"/>
      </w:r>
      <w:r>
        <w:rPr>
          <w:rFonts w:ascii="Calibri" w:cs="Calibri" w:eastAsia="Calibri" w:hAnsi="Calibri"/>
          <w:b/>
          <w:bCs/>
          <w:color w:val="0B2545"/>
          <w:sz w:val="20"/>
          <w:szCs w:val="20"/>
        </w:rPr>
        <w:t xml:space="preserve">Appendix E — Decision Log Template</w:t>
      </w:r>
      <w:r>
        <w:rPr>
          <w:rFonts w:ascii="Calibri" w:cs="Calibri" w:eastAsia="Calibri" w:hAnsi="Calibri"/>
          <w:color w:val="AAB4C0"/>
          <w:sz w:val="20"/>
          <w:szCs w:val="20"/>
        </w:rPr>
        <w:tab/>
      </w:r>
      <w:r>
        <w:rPr>
          <w:rFonts w:ascii="Calibri" w:cs="Calibri" w:eastAsia="Calibri" w:hAnsi="Calibri"/>
          <w:b/>
          <w:bCs/>
          <w:color w:val="0B2545"/>
          <w:sz w:val="20"/>
          <w:szCs w:val="20"/>
        </w:rPr>
        <w:t xml:space="preserve">56</w:t>
      </w:r>
    </w:p>
    <w:p>
      <w:r>
        <w:br w:type="page"/>
      </w:r>
    </w:p>
    <w:p>
      <w:pPr>
        <w:pBdr>
          <w:bottom w:val="single" w:color="0B2545" w:sz="10" w:space="8"/>
        </w:pBdr>
        <w:spacing w:after="240"/>
      </w:pPr>
      <w:r>
        <w:rPr>
          <w:rFonts w:ascii="Calibri Light" w:cs="Calibri Light" w:eastAsia="Calibri Light" w:hAnsi="Calibri Light"/>
          <w:b/>
          <w:bCs/>
          <w:color w:val="0B2545"/>
          <w:sz w:val="34"/>
          <w:szCs w:val="34"/>
        </w:rPr>
        <w:t xml:space="preserve">Figures and Tables</w:t>
      </w:r>
    </w:p>
    <w:p>
      <w:pPr>
        <w:pStyle w:val="Heading3"/>
        <w:keepNext/>
        <w:spacing w:after="100" w:before="220"/>
      </w:pPr>
      <w:r>
        <w:rPr>
          <w:rFonts w:ascii="Calibri" w:cs="Calibri" w:eastAsia="Calibri" w:hAnsi="Calibri"/>
          <w:b/>
          <w:bCs/>
          <w:color w:val="2E3A4B"/>
          <w:sz w:val="21"/>
          <w:szCs w:val="21"/>
        </w:rPr>
        <w:t xml:space="preserve">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1</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CerebroHive five-tier platform architecture</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2</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Implementation reality by subsystem (repository evidence)</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3</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24-week execution Gantt</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4</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Effort distribution across modules and disciplines</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5</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Team composition and ramp plan</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6</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Programme budget by category</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7</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Risk heat map</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8</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Product roadmap horizon</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9</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Target request path: intent → plan → act → audit</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Figure 10</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Sprint burndown projection</w:t>
            </w:r>
          </w:p>
        </w:tc>
      </w:tr>
    </w:tbl>
    <w:p>
      <w:pPr>
        <w:pStyle w:val="Heading3"/>
        <w:keepNext/>
        <w:spacing w:after="100" w:before="220"/>
      </w:pPr>
      <w:r>
        <w:rPr>
          <w:rFonts w:ascii="Calibri" w:cs="Calibri" w:eastAsia="Calibri" w:hAnsi="Calibri"/>
          <w:b/>
          <w:bCs/>
          <w:color w:val="2E3A4B"/>
          <w:sz w:val="21"/>
          <w:szCs w:val="21"/>
        </w:rPr>
        <w:t xml:space="preserve">Principal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3.1</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Repository topography — code volume by workspace</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3.2</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Subsystem verdict register</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3.3</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Polyglot service estate and deployment status</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3.6</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Enterprise readiness scorecard</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6.x</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Week-by-week execution plan, weeks 1–24</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7.1</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Hour estimates by module and work package</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8.1</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Target team structure and hiring sequence</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9.x</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Sprint backlog, sprints 1–12</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11.1</w:t>
            </w:r>
          </w:p>
        </w:tc>
        <w:tc>
          <w:tcPr>
            <w:tcW w:type="dxa" w:w="7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Risk register with owners and mitigations</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Table 12.1</w:t>
            </w:r>
          </w:p>
        </w:tc>
        <w:tc>
          <w:tcPr>
            <w:tcW w:type="dxa" w:w="7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8"/>
                <w:szCs w:val="18"/>
              </w:rPr>
              <w:t xml:space="preserve">24-week budget and infrastructure estimate</w:t>
            </w:r>
          </w:p>
        </w:tc>
      </w:tr>
    </w:tbl>
    <w:p>
      <w:pPr>
        <w:sectPr>
          <w:headerReference w:type="default" r:id="rId7"/>
          <w:headerReference w:type="first" r:id="rId8"/>
          <w:footerReference w:type="default" r:id="rId9"/>
          <w:footerReference w:type="first" r:id="rId10"/>
          <w:pgSz w:w="12240" w:h="15840" w:orient="portrait"/>
          <w:pgMar w:top="1440" w:right="1440" w:bottom="1296" w:left="1440" w:header="720" w:footer="620" w:gutter="0"/>
          <w:pgNumType w:start="1" w:fmt="lowerRoman"/>
          <w:titlePg/>
          <w:docGrid w:linePitch="360"/>
        </w:sectPr>
      </w:pP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  </w:t>
      </w:r>
      <w:r>
        <w:rPr>
          <w:rFonts w:ascii="Calibri Light" w:cs="Calibri Light" w:eastAsia="Calibri Light" w:hAnsi="Calibri Light"/>
          <w:b/>
          <w:bCs/>
          <w:color w:val="0B2545"/>
          <w:sz w:val="34"/>
          <w:szCs w:val="34"/>
        </w:rPr>
        <w:t xml:space="preserve">Executive Summary</w:t>
      </w:r>
    </w:p>
    <w:p>
      <w:pPr>
        <w:spacing w:after="140" w:before="0" w:line="276"/>
        <w:jc w:val="both"/>
      </w:pPr>
      <w:r>
        <w:rPr>
          <w:rFonts w:ascii="Calibri" w:cs="Calibri" w:eastAsia="Calibri" w:hAnsi="Calibri"/>
          <w:b/>
          <w:bCs/>
          <w:color w:val="1A1A1A"/>
          <w:sz w:val="20"/>
          <w:szCs w:val="20"/>
        </w:rPr>
        <w:t xml:space="preserve">CerebroHive has built an unusually complete architecture and an unusually incomplete product. </w:t>
      </w:r>
      <w:r>
        <w:rPr>
          <w:rFonts w:ascii="Calibri" w:cs="Calibri" w:eastAsia="Calibri" w:hAnsi="Calibri"/>
          <w:color w:val="1A1A1A"/>
          <w:sz w:val="20"/>
          <w:szCs w:val="20"/>
        </w:rPr>
        <w:t xml:space="preserve">That sentence is the entire situation. The monorepo contains 88 packages, 10 applications and 33 services across six programming languages, governed by a constitution, a five-tier capability architecture, 45 product specifications and a commercial strategy with seven priced editions. It also contains a production API that reads the caller's identity from an HTTP header and trusts it, a multi-agent planner that returns the same hard-coded three-node plan regardless of what you ask it, and a policy engine wired into every request that has zero policies loaded.</w:t>
      </w:r>
    </w:p>
    <w:p>
      <w:pPr>
        <w:spacing w:after="140" w:before="0" w:line="276"/>
        <w:jc w:val="both"/>
      </w:pPr>
      <w:r>
        <w:rPr>
          <w:rFonts w:ascii="Calibri" w:cs="Calibri" w:eastAsia="Calibri" w:hAnsi="Calibri"/>
          <w:color w:val="1A1A1A"/>
          <w:sz w:val="20"/>
          <w:szCs w:val="20"/>
        </w:rPr>
        <w:t xml:space="preserve">Both halves of that are true at the same time, and the second half is not a reason to discount the first. The architecture is genuinely good. The AI gateway has real circuit breakers, per-tenant rate limiting, provider failover and cost tracking. The authentication package has real Keycloak JWKS verification and a 28-permission RBAC model — it simply was never imported by the service that needed it. The Python planning service uses LangGraph with a real self-correcting fix loop. The observability stack has five concrete Prometheus alert rules and a six-panel Grafana dashboard. This is not a company that does not know how to build; it is a company that built breadth before it built depth, and now has to invert that.</w:t>
      </w:r>
    </w:p>
    <w:p>
      <w:pPr>
        <w:spacing w:after="140" w:before="0" w:line="276"/>
        <w:jc w:val="both"/>
      </w:pPr>
      <w:r>
        <w:rPr>
          <w:rFonts w:ascii="Calibri" w:cs="Calibri" w:eastAsia="Calibri" w:hAnsi="Calibri"/>
          <w:color w:val="1A1A1A"/>
          <w:sz w:val="20"/>
          <w:szCs w:val="20"/>
        </w:rPr>
        <w:t xml:space="preserve">This document sets out a 24-week, 120-working-day programme to invert it. The programme is deliberately narrow. It does not attempt to advance all 50 products. It advances one vertical slice of the platform — identity, runtime, memory, orchestration, observability — from architecture to production-grade, and it takes three business applications to a genuine general-availability standard on top of that slice. Everything else is explicitly deferred and named as deferred.</w:t>
      </w:r>
    </w:p>
    <w:p>
      <w:pPr>
        <w:pStyle w:val="Heading2"/>
        <w:keepNext/>
        <w:spacing w:after="130" w:before="300"/>
      </w:pPr>
      <w:r>
        <w:rPr>
          <w:rFonts w:ascii="Calibri" w:cs="Calibri" w:eastAsia="Calibri" w:hAnsi="Calibri"/>
          <w:b/>
          <w:bCs/>
          <w:color w:val="134074"/>
          <w:sz w:val="25"/>
          <w:szCs w:val="25"/>
        </w:rPr>
        <w:t xml:space="preserve">1.1  The situation 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4000"/>
        <w:gridCol w:w="4010"/>
      </w:tblGrid>
      <w:tr>
        <w:trPr>
          <w:tblHeader/>
        </w:trPr>
        <w:tc>
          <w:tcPr>
            <w:tcW w:type="dxa" w:w="13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Dimension</w:t>
            </w:r>
          </w:p>
        </w:tc>
        <w:tc>
          <w:tcPr>
            <w:tcW w:type="dxa" w:w="4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Where we are today</w:t>
            </w:r>
          </w:p>
        </w:tc>
        <w:tc>
          <w:tcPr>
            <w:tcW w:type="dxa" w:w="40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Where week 24 leaves us</w:t>
            </w:r>
          </w:p>
        </w:tc>
      </w:tr>
      <w:tr>
        <w:tc>
          <w:tcPr>
            <w:tcW w:type="dxa" w:w="13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Identity</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Tenant identity read from client-supplied headers; no auth library present in platform-api's dependency tree until this month's fix</w:t>
            </w:r>
          </w:p>
        </w:tc>
        <w:tc>
          <w:tcPr>
            <w:tcW w:type="dxa" w:w="40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Verified JWT on every public surface, workspace-to-tenant ownership enforced in the data layer, cross-tenant regression suite in CI</w:t>
            </w:r>
          </w:p>
        </w:tc>
      </w:tr>
      <w:tr>
        <w:tc>
          <w:tcPr>
            <w:tcW w:type="dxa" w:w="13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Agent runtime</w:t>
            </w:r>
          </w:p>
        </w:tc>
        <w:tc>
          <w:tcPr>
            <w:tcW w:type="dxa" w:w="4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Single-agent conversation path partially real; tool loop short-circuited; no conversation persistence</w:t>
            </w:r>
          </w:p>
        </w:tc>
        <w:tc>
          <w:tcPr>
            <w:tcW w:type="dxa" w:w="40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Real end-to-end agent execution with tools, persistence, retrieval-backed memory and multi-agent orchestration</w:t>
            </w:r>
          </w:p>
        </w:tc>
      </w:tr>
      <w:tr>
        <w:tc>
          <w:tcPr>
            <w:tcW w:type="dxa" w:w="13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Orchestration</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Two independent agent systems (HiveSwarm in Python/Go, Platform Runtime in TypeScript) with no defined relationship</w:t>
            </w:r>
          </w:p>
        </w:tc>
        <w:tc>
          <w:tcPr>
            <w:tcW w:type="dxa" w:w="40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One declared system of record, one planner, one execution provider; the other is either retired or formally scoped as a distinct product</w:t>
            </w:r>
          </w:p>
        </w:tc>
      </w:tr>
      <w:tr>
        <w:tc>
          <w:tcPr>
            <w:tcW w:type="dxa" w:w="13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Deployment</w:t>
            </w:r>
          </w:p>
        </w:tc>
        <w:tc>
          <w:tcPr>
            <w:tcW w:type="dxa" w:w="4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Two Helm template generations define the same 11 services with incompatible values keys; both render</w:t>
            </w:r>
          </w:p>
        </w:tc>
        <w:tc>
          <w:tcPr>
            <w:tcW w:type="dxa" w:w="40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One template generation, one values schema, verified render diff in CI, no duplicate Kubernetes object identities</w:t>
            </w:r>
          </w:p>
        </w:tc>
      </w:tr>
      <w:tr>
        <w:tc>
          <w:tcPr>
            <w:tcW w:type="dxa" w:w="13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 surface</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live in production with the repository's highest scaffold density (421 flagged files)</w:t>
            </w:r>
          </w:p>
        </w:tc>
        <w:tc>
          <w:tcPr>
            <w:tcW w:type="dxa" w:w="40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consumes the platform through one SDK; scaffold density reduced to a published, tracked figure</w:t>
            </w:r>
          </w:p>
        </w:tc>
      </w:tr>
      <w:tr>
        <w:tc>
          <w:tcPr>
            <w:tcW w:type="dxa" w:w="13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Commercial</w:t>
            </w:r>
          </w:p>
        </w:tc>
        <w:tc>
          <w:tcPr>
            <w:tcW w:type="dxa" w:w="4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Seven editions priced; no metering instrumentation to bill against them</w:t>
            </w:r>
          </w:p>
        </w:tc>
        <w:tc>
          <w:tcPr>
            <w:tcW w:type="dxa" w:w="40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 Credits metered end to end; usage attributable to a verified tenant; design-partner contracts in place</w:t>
            </w:r>
          </w:p>
        </w:tc>
      </w:tr>
      <w:tr>
        <w:tc>
          <w:tcPr>
            <w:tcW w:type="dxa" w:w="13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Assurance</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No cross-tenant tests; SOC 2 aspirational</w:t>
            </w:r>
          </w:p>
        </w:tc>
        <w:tc>
          <w:tcPr>
            <w:tcW w:type="dxa" w:w="40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Penetration test complete and remediated; SOC 2 evidence collection automated; eval gates blocking merges</w:t>
            </w:r>
          </w:p>
        </w:tc>
      </w:tr>
    </w:tbl>
    <w:p>
      <w:pPr>
        <w:pStyle w:val="Heading2"/>
        <w:keepNext/>
        <w:spacing w:after="130" w:before="300"/>
      </w:pPr>
      <w:r>
        <w:rPr>
          <w:rFonts w:ascii="Calibri" w:cs="Calibri" w:eastAsia="Calibri" w:hAnsi="Calibri"/>
          <w:b/>
          <w:bCs/>
          <w:color w:val="134074"/>
          <w:sz w:val="25"/>
          <w:szCs w:val="25"/>
        </w:rPr>
        <w:t xml:space="preserve">1.2  What this programme delivers</w:t>
      </w:r>
    </w:p>
    <w:p>
      <w:pPr>
        <w:spacing w:after="140" w:before="0" w:line="276"/>
        <w:jc w:val="both"/>
      </w:pPr>
      <w:r>
        <w:rPr>
          <w:rFonts w:ascii="Calibri" w:cs="Calibri" w:eastAsia="Calibri" w:hAnsi="Calibri"/>
          <w:color w:val="1A1A1A"/>
          <w:sz w:val="20"/>
          <w:szCs w:val="20"/>
        </w:rPr>
        <w:t xml:space="preserve">Six milestones, one every four weeks. Each has a binary definition of done — it either passes or it does not, and there is no partial credit.</w:t>
      </w:r>
    </w:p>
    <w:p>
      <w:pPr>
        <w:pStyle w:val="ListParagraph"/>
        <w:numPr>
          <w:ilvl w:val="0"/>
          <w:numId w:val="3"/>
        </w:numPr>
        <w:spacing w:after="70" w:line="268"/>
      </w:pPr>
      <w:r>
        <w:rPr>
          <w:rFonts w:ascii="Calibri" w:cs="Calibri" w:eastAsia="Calibri" w:hAnsi="Calibri"/>
          <w:b/>
          <w:bCs/>
          <w:color w:val="1A1A1A"/>
          <w:sz w:val="20"/>
          <w:szCs w:val="20"/>
        </w:rPr>
        <w:t xml:space="preserve">MS1 (week 4) — Trustworthy front door. </w:t>
      </w:r>
      <w:r>
        <w:rPr>
          <w:rFonts w:ascii="Calibri" w:cs="Calibri" w:eastAsia="Calibri" w:hAnsi="Calibri"/>
          <w:color w:val="1A1A1A"/>
          <w:sz w:val="20"/>
          <w:szCs w:val="20"/>
        </w:rPr>
        <w:t xml:space="preserve">No public endpoint accepts an unauthenticated request. Tenant identity comes from a verified token. One Helm template generation renders. A single agent completes a real model call end to end over HTTP with no mock in the path.</w:t>
      </w:r>
    </w:p>
    <w:p>
      <w:pPr>
        <w:pStyle w:val="ListParagraph"/>
        <w:numPr>
          <w:ilvl w:val="0"/>
          <w:numId w:val="3"/>
        </w:numPr>
        <w:spacing w:after="70" w:line="268"/>
      </w:pPr>
      <w:r>
        <w:rPr>
          <w:rFonts w:ascii="Calibri" w:cs="Calibri" w:eastAsia="Calibri" w:hAnsi="Calibri"/>
          <w:b/>
          <w:bCs/>
          <w:color w:val="1A1A1A"/>
          <w:sz w:val="20"/>
          <w:szCs w:val="20"/>
        </w:rPr>
        <w:t xml:space="preserve">MS2 (week 8) — Working agent. </w:t>
      </w:r>
      <w:r>
        <w:rPr>
          <w:rFonts w:ascii="Calibri" w:cs="Calibri" w:eastAsia="Calibri" w:hAnsi="Calibri"/>
          <w:color w:val="1A1A1A"/>
          <w:sz w:val="20"/>
          <w:szCs w:val="20"/>
        </w:rPr>
        <w:t xml:space="preserve">Tools execute and their results feed back to the model. Conversations persist across process restarts. RBAC is enforced, not merely available. Cross-tenant access is proven impossible by test, not by assertion.</w:t>
      </w:r>
    </w:p>
    <w:p>
      <w:pPr>
        <w:pStyle w:val="ListParagraph"/>
        <w:numPr>
          <w:ilvl w:val="0"/>
          <w:numId w:val="3"/>
        </w:numPr>
        <w:spacing w:after="70" w:line="268"/>
      </w:pPr>
      <w:r>
        <w:rPr>
          <w:rFonts w:ascii="Calibri" w:cs="Calibri" w:eastAsia="Calibri" w:hAnsi="Calibri"/>
          <w:b/>
          <w:bCs/>
          <w:color w:val="1A1A1A"/>
          <w:sz w:val="20"/>
          <w:szCs w:val="20"/>
        </w:rPr>
        <w:t xml:space="preserve">MS3 (week 12) — Remembering agent. </w:t>
      </w:r>
      <w:r>
        <w:rPr>
          <w:rFonts w:ascii="Calibri" w:cs="Calibri" w:eastAsia="Calibri" w:hAnsi="Calibri"/>
          <w:color w:val="1A1A1A"/>
          <w:sz w:val="20"/>
          <w:szCs w:val="20"/>
        </w:rPr>
        <w:t xml:space="preserve">Retrieval-backed memory answers correctly about facts stated beyond the raw context window. The HiveSwarm / Platform Runtime convergence decision is made and executed. CerebroSearch serves hybrid vector and keyword results.</w:t>
      </w:r>
    </w:p>
    <w:p>
      <w:pPr>
        <w:pStyle w:val="ListParagraph"/>
        <w:numPr>
          <w:ilvl w:val="0"/>
          <w:numId w:val="3"/>
        </w:numPr>
        <w:spacing w:after="70" w:line="268"/>
      </w:pPr>
      <w:r>
        <w:rPr>
          <w:rFonts w:ascii="Calibri" w:cs="Calibri" w:eastAsia="Calibri" w:hAnsi="Calibri"/>
          <w:b/>
          <w:bCs/>
          <w:color w:val="1A1A1A"/>
          <w:sz w:val="20"/>
          <w:szCs w:val="20"/>
        </w:rPr>
        <w:t xml:space="preserve">MS4 (week 16) — Coordinating agents. </w:t>
      </w:r>
      <w:r>
        <w:rPr>
          <w:rFonts w:ascii="Calibri" w:cs="Calibri" w:eastAsia="Calibri" w:hAnsi="Calibri"/>
          <w:color w:val="1A1A1A"/>
          <w:sz w:val="20"/>
          <w:szCs w:val="20"/>
        </w:rPr>
        <w:t xml:space="preserve">A natural-language intent produces a genuinely different plan each time and each node's output comes from a real model call. CerebroFlow reaches feature-complete. Load and chaos testing begins.</w:t>
      </w:r>
    </w:p>
    <w:p>
      <w:pPr>
        <w:pStyle w:val="ListParagraph"/>
        <w:numPr>
          <w:ilvl w:val="0"/>
          <w:numId w:val="3"/>
        </w:numPr>
        <w:spacing w:after="70" w:line="268"/>
      </w:pPr>
      <w:r>
        <w:rPr>
          <w:rFonts w:ascii="Calibri" w:cs="Calibri" w:eastAsia="Calibri" w:hAnsi="Calibri"/>
          <w:b/>
          <w:bCs/>
          <w:color w:val="1A1A1A"/>
          <w:sz w:val="20"/>
          <w:szCs w:val="20"/>
        </w:rPr>
        <w:t xml:space="preserve">MS5 (week 20) — Sellable platform. </w:t>
      </w:r>
      <w:r>
        <w:rPr>
          <w:rFonts w:ascii="Calibri" w:cs="Calibri" w:eastAsia="Calibri" w:hAnsi="Calibri"/>
          <w:color w:val="1A1A1A"/>
          <w:sz w:val="20"/>
          <w:szCs w:val="20"/>
        </w:rPr>
        <w:t xml:space="preserve">The public SDK is frozen and Studio consumes only that surface. Penetration testing is complete and findings remediated. Hive Credits metering is accurate to within 2% of provider invoices.</w:t>
      </w:r>
    </w:p>
    <w:p>
      <w:pPr>
        <w:pStyle w:val="ListParagraph"/>
        <w:numPr>
          <w:ilvl w:val="0"/>
          <w:numId w:val="3"/>
        </w:numPr>
        <w:spacing w:after="70" w:line="268"/>
      </w:pPr>
      <w:r>
        <w:rPr>
          <w:rFonts w:ascii="Calibri" w:cs="Calibri" w:eastAsia="Calibri" w:hAnsi="Calibri"/>
          <w:b/>
          <w:bCs/>
          <w:color w:val="1A1A1A"/>
          <w:sz w:val="20"/>
          <w:szCs w:val="20"/>
        </w:rPr>
        <w:t xml:space="preserve">MS6 (week 24) — Controlled general availability. </w:t>
      </w:r>
      <w:r>
        <w:rPr>
          <w:rFonts w:ascii="Calibri" w:cs="Calibri" w:eastAsia="Calibri" w:hAnsi="Calibri"/>
          <w:color w:val="1A1A1A"/>
          <w:sz w:val="20"/>
          <w:szCs w:val="20"/>
        </w:rPr>
        <w:t xml:space="preserve">Three design-partner accounts in production. SOC 2 Type I evidence package assembled. Published SLOs with 30 days of measured attainment behind them.</w:t>
      </w:r>
    </w:p>
    <w:p>
      <w:pPr>
        <w:pStyle w:val="Heading2"/>
        <w:keepNext/>
        <w:spacing w:after="130" w:before="300"/>
      </w:pPr>
      <w:r>
        <w:rPr>
          <w:rFonts w:ascii="Calibri" w:cs="Calibri" w:eastAsia="Calibri" w:hAnsi="Calibri"/>
          <w:b/>
          <w:bCs/>
          <w:color w:val="134074"/>
          <w:sz w:val="25"/>
          <w:szCs w:val="25"/>
        </w:rPr>
        <w:t xml:space="preserve">1.3  Investment and expected return</w:t>
      </w:r>
    </w:p>
    <w:p>
      <w:pPr>
        <w:spacing w:after="140" w:before="0" w:line="276"/>
        <w:jc w:val="both"/>
      </w:pPr>
      <w:r>
        <w:rPr>
          <w:rFonts w:ascii="Calibri" w:cs="Calibri" w:eastAsia="Calibri" w:hAnsi="Calibri"/>
          <w:color w:val="1A1A1A"/>
          <w:sz w:val="20"/>
          <w:szCs w:val="20"/>
        </w:rPr>
        <w:t xml:space="preserve">The programme costs an estimated $5.83 million over 24 weeks, of which 67% is engineering payroll for a team ramping from 13 to 26 full-time equivalents. Infrastructure, inference and tooling together account for $1.04 million; security assurance and SOC 2 readiness account for $285,000; contingency is held at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Line</w:t>
            </w:r>
          </w:p>
        </w:tc>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24-week cost</w:t>
            </w:r>
          </w:p>
        </w:tc>
        <w:tc>
          <w:tcPr>
            <w:tcW w:type="dxa" w:w="40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7"/>
                <w:szCs w:val="17"/>
              </w:rPr>
              <w:t xml:space="preserve">Basis</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Engineering payroll (blended)</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$3,880,000</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17,440 hours at a blended $222/hour fully loaded, plus programme and product roles</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AI and LLM inference</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$468,000</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Development, evaluation harness runs and three design-partner workloads</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Cloud compute and storage</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$396,000</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Three environments, GPU allocation for embeddings, pgvector and object storage</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Observability and tooling</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$172,000</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OTEL collector footprint, Grafana/Loki/Thanos, CI minutes, licences</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Security assurance and SOC 2</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$285,000</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External penetration test, two remediation cycles, Type I readiness engagement</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Contingency (12%)</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$624,000</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7"/>
                <w:szCs w:val="17"/>
              </w:rPr>
              <w:t xml:space="preserve">Held centrally against the risk register, released by milestone</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7"/>
                <w:szCs w:val="17"/>
              </w:rPr>
              <w:t xml:space="preserve">Total</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7"/>
                <w:szCs w:val="17"/>
              </w:rPr>
              <w:t xml:space="preserve">$5,825,000</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7"/>
                <w:szCs w:val="17"/>
              </w:rPr>
              <w:t xml:space="preserve"/>
            </w:r>
          </w:p>
        </w:tc>
      </w:tr>
    </w:tbl>
    <w:p>
      <w:pPr>
        <w:spacing w:after="140" w:before="0" w:line="276"/>
        <w:jc w:val="both"/>
      </w:pPr>
      <w:r>
        <w:rPr>
          <w:rFonts w:ascii="Calibri" w:cs="Calibri" w:eastAsia="Calibri" w:hAnsi="Calibri"/>
          <w:b/>
          <w:bCs/>
          <w:color w:val="1A1A1A"/>
          <w:sz w:val="20"/>
          <w:szCs w:val="20"/>
        </w:rPr>
        <w:t xml:space="preserve">Return. </w:t>
      </w:r>
      <w:r>
        <w:rPr>
          <w:rFonts w:ascii="Calibri" w:cs="Calibri" w:eastAsia="Calibri" w:hAnsi="Calibri"/>
          <w:color w:val="1A1A1A"/>
          <w:sz w:val="20"/>
          <w:szCs w:val="20"/>
        </w:rPr>
        <w:t xml:space="preserve">Week 24 is the first point at which CerebroHive can defensibly sign an enterprise contract. Until identity is verifiable and tenants are provably isolated, every enterprise deal carries a diligence risk that no discount can offset — a single failed security review costs more in credibility than the entire security workstream costs to execute. The commercial model in </w:t>
      </w:r>
      <w:r>
        <w:rPr>
          <w:rFonts w:ascii="Consolas" w:cs="Consolas" w:eastAsia="Consolas" w:hAnsi="Consolas"/>
          <w:color w:val="1F3864"/>
          <w:sz w:val="17"/>
          <w:szCs w:val="17"/>
        </w:rPr>
        <w:t xml:space="preserve">COMMERCIAL_STRATEGY.md</w:t>
      </w:r>
      <w:r>
        <w:rPr>
          <w:rFonts w:ascii="Calibri" w:cs="Calibri" w:eastAsia="Calibri" w:hAnsi="Calibri"/>
          <w:color w:val="1A1A1A"/>
          <w:sz w:val="20"/>
          <w:szCs w:val="20"/>
        </w:rPr>
        <w:t xml:space="preserve"> prices the Enterprise edition on a platform base plus metered Hive Credits; neither half of that model is billable today because usage cannot be attributed to a verified tenant. This programme makes the existing pricing model executable. On a conservative reading — three design partners converting at Business edition economics with modest credit consumption — the programme underwrites its own cost within the four quarters that follow it, and it removes the categorical blocker on every deal above that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7F0A"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C77F0A"/>
                <w:sz w:val="19"/>
                <w:szCs w:val="19"/>
              </w:rPr>
              <w:t xml:space="preserve">The honest framing</w:t>
            </w:r>
          </w:p>
          <w:p>
            <w:pPr>
              <w:spacing w:after="60" w:line="264"/>
              <w:jc w:val="both"/>
            </w:pPr>
            <w:r>
              <w:rPr>
                <w:rFonts w:ascii="Calibri" w:cs="Calibri" w:eastAsia="Calibri" w:hAnsi="Calibri"/>
                <w:color w:val="1A1A1A"/>
                <w:sz w:val="19"/>
                <w:szCs w:val="19"/>
              </w:rPr>
              <w:t xml:space="preserve">This is not a growth programme. It is a debt-retirement and foundation programme with a commercial deadline attached. Anyone evaluating it should judge it on whether the week-24 state is genuinely sellable, not on how many of the 50 named products moved. The answer to "how many products advanced" is: five. That is the correct number.</w:t>
            </w:r>
          </w:p>
        </w:tc>
      </w:tr>
    </w:tbl>
    <w:p>
      <w:pPr>
        <w:pStyle w:val="Heading2"/>
        <w:keepNext/>
        <w:spacing w:after="130" w:before="300"/>
      </w:pPr>
      <w:r>
        <w:rPr>
          <w:rFonts w:ascii="Calibri" w:cs="Calibri" w:eastAsia="Calibri" w:hAnsi="Calibri"/>
          <w:b/>
          <w:bCs/>
          <w:color w:val="134074"/>
          <w:sz w:val="25"/>
          <w:szCs w:val="25"/>
        </w:rPr>
        <w:t xml:space="preserve">1.4  The six decisions we are asking for</w:t>
      </w:r>
    </w:p>
    <w:p>
      <w:pPr>
        <w:spacing w:after="140" w:before="0" w:line="276"/>
        <w:jc w:val="both"/>
      </w:pPr>
      <w:r>
        <w:rPr>
          <w:rFonts w:ascii="Calibri" w:cs="Calibri" w:eastAsia="Calibri" w:hAnsi="Calibri"/>
          <w:color w:val="1A1A1A"/>
          <w:sz w:val="20"/>
          <w:szCs w:val="20"/>
        </w:rPr>
        <w:t xml:space="preserve">Execution is blocked on decisions, not on effort. Each of the following needs an owner and a date; four of the six are needed inside the first three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40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t>
            </w:r>
          </w:p>
        </w:tc>
        <w:tc>
          <w:tcPr>
            <w:tcW w:type="dxa" w:w="3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Decision</w:t>
            </w:r>
          </w:p>
        </w:tc>
        <w:tc>
          <w:tcPr>
            <w:tcW w:type="dxa" w:w="1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Needed by</w:t>
            </w:r>
          </w:p>
        </w:tc>
        <w:tc>
          <w:tcPr>
            <w:tcW w:type="dxa" w:w="40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Consequence of delay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D1</w:t>
            </w:r>
          </w:p>
        </w:tc>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Confirm whether api.cerebrohive.com and gateway.cerebrohive.com currently require a token in the live cluster</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1</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severity of the P0 finding is unresolved; incident response cannot be scoped</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D2</w:t>
            </w:r>
          </w:p>
        </w:tc>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Choose one Helm template generation and delete the other</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2</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Every infrastructure change lands twice with unpredictable precedence</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D3</w:t>
            </w:r>
          </w:p>
        </w:tc>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Declare the system of record: HiveSwarm, Platform Runtime, or a defined split</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4</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Two teams build two planners; memory and tooling are duplicated</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D4</w:t>
            </w:r>
          </w:p>
        </w:tc>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Approve the service consolidation from 33 services to a target estate</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6</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Operational burden scales with service count, not with delivered capability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D5</w:t>
            </w:r>
          </w:p>
        </w:tc>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Approve the hiring plan and its budget envelope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3</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ramp in Figure 5 slips week for week; MS4 onward becomes unachievable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D6</w:t>
            </w:r>
          </w:p>
        </w:tc>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Select and contract three design partners</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5</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GTM track loses its feedback loop and beta readiness has no evidence base</w:t>
            </w:r>
          </w:p>
        </w:tc>
      </w:tr>
    </w:tbl>
    <w:p>
      <w:pPr>
        <w:pStyle w:val="Heading2"/>
        <w:keepNext/>
        <w:spacing w:after="130" w:before="300"/>
      </w:pPr>
      <w:r>
        <w:rPr>
          <w:rFonts w:ascii="Calibri" w:cs="Calibri" w:eastAsia="Calibri" w:hAnsi="Calibri"/>
          <w:b/>
          <w:bCs/>
          <w:color w:val="134074"/>
          <w:sz w:val="25"/>
          <w:szCs w:val="25"/>
        </w:rPr>
        <w:t xml:space="preserve">1.5  What we are explicitly not doing</w:t>
      </w:r>
    </w:p>
    <w:p>
      <w:pPr>
        <w:spacing w:after="140" w:before="0" w:line="276"/>
        <w:jc w:val="both"/>
      </w:pPr>
      <w:r>
        <w:rPr>
          <w:rFonts w:ascii="Calibri" w:cs="Calibri" w:eastAsia="Calibri" w:hAnsi="Calibri"/>
          <w:color w:val="1A1A1A"/>
          <w:sz w:val="20"/>
          <w:szCs w:val="20"/>
        </w:rPr>
        <w:t xml:space="preserve">Programmes of this kind fail by addition. The following are named here so that a request to add them is visibly a change of scope rather than a clarification of it.</w:t>
      </w:r>
    </w:p>
    <w:p>
      <w:pPr>
        <w:pStyle w:val="ListParagraph"/>
        <w:numPr>
          <w:ilvl w:val="0"/>
          <w:numId w:val="2"/>
        </w:numPr>
        <w:spacing w:after="70" w:line="268"/>
      </w:pPr>
      <w:r>
        <w:rPr>
          <w:rFonts w:ascii="Calibri" w:cs="Calibri" w:eastAsia="Calibri" w:hAnsi="Calibri"/>
          <w:color w:val="1A1A1A"/>
          <w:sz w:val="20"/>
          <w:szCs w:val="20"/>
        </w:rPr>
        <w:t xml:space="preserve">No new products. The 45 product specifications remain specifications. Five products receive engineering investment; the other 45 receive none.</w:t>
      </w:r>
    </w:p>
    <w:p>
      <w:pPr>
        <w:pStyle w:val="ListParagraph"/>
        <w:numPr>
          <w:ilvl w:val="0"/>
          <w:numId w:val="2"/>
        </w:numPr>
        <w:spacing w:after="70" w:line="268"/>
      </w:pPr>
      <w:r>
        <w:rPr>
          <w:rFonts w:ascii="Calibri" w:cs="Calibri" w:eastAsia="Calibri" w:hAnsi="Calibri"/>
          <w:color w:val="1A1A1A"/>
          <w:sz w:val="20"/>
          <w:szCs w:val="20"/>
        </w:rPr>
        <w:t xml:space="preserve">No new *-core packages. Sixty-plus domain packages averaging roughly 350 lines already exist. The programme completes existing packages; it does not create peers for them.</w:t>
      </w:r>
    </w:p>
    <w:p>
      <w:pPr>
        <w:pStyle w:val="ListParagraph"/>
        <w:numPr>
          <w:ilvl w:val="0"/>
          <w:numId w:val="2"/>
        </w:numPr>
        <w:spacing w:after="70" w:line="268"/>
      </w:pPr>
      <w:r>
        <w:rPr>
          <w:rFonts w:ascii="Calibri" w:cs="Calibri" w:eastAsia="Calibri" w:hAnsi="Calibri"/>
          <w:color w:val="1A1A1A"/>
          <w:sz w:val="20"/>
          <w:szCs w:val="20"/>
        </w:rPr>
        <w:t xml:space="preserve">No vertical or industry SKUs. CerebroHealth, CerebroFinance and the rest belong to horizon three at the earliest.</w:t>
      </w:r>
    </w:p>
    <w:p>
      <w:pPr>
        <w:pStyle w:val="ListParagraph"/>
        <w:numPr>
          <w:ilvl w:val="0"/>
          <w:numId w:val="2"/>
        </w:numPr>
        <w:spacing w:after="70" w:line="268"/>
      </w:pPr>
      <w:r>
        <w:rPr>
          <w:rFonts w:ascii="Calibri" w:cs="Calibri" w:eastAsia="Calibri" w:hAnsi="Calibri"/>
          <w:color w:val="1A1A1A"/>
          <w:sz w:val="20"/>
          <w:szCs w:val="20"/>
        </w:rPr>
        <w:t xml:space="preserve">No marketplace. HiveExchange requires a stable SDK, a billing engine and a partner programme, in that order. The SDK lands at MS5; the rest follows this programme.</w:t>
      </w:r>
    </w:p>
    <w:p>
      <w:pPr>
        <w:pStyle w:val="ListParagraph"/>
        <w:numPr>
          <w:ilvl w:val="0"/>
          <w:numId w:val="2"/>
        </w:numPr>
        <w:spacing w:after="70" w:line="268"/>
      </w:pPr>
      <w:r>
        <w:rPr>
          <w:rFonts w:ascii="Calibri" w:cs="Calibri" w:eastAsia="Calibri" w:hAnsi="Calibri"/>
          <w:color w:val="1A1A1A"/>
          <w:sz w:val="20"/>
          <w:szCs w:val="20"/>
        </w:rPr>
        <w:t xml:space="preserve">No on-premises or air-gapped deployment. The Government edition is a horizon-two conversation and carries its own compliance programme.</w:t>
      </w:r>
    </w:p>
    <w:p>
      <w:pPr>
        <w:pStyle w:val="ListParagraph"/>
        <w:numPr>
          <w:ilvl w:val="0"/>
          <w:numId w:val="2"/>
        </w:numPr>
        <w:spacing w:after="70" w:line="268"/>
      </w:pPr>
      <w:r>
        <w:rPr>
          <w:rFonts w:ascii="Calibri" w:cs="Calibri" w:eastAsia="Calibri" w:hAnsi="Calibri"/>
          <w:color w:val="1A1A1A"/>
          <w:sz w:val="20"/>
          <w:szCs w:val="20"/>
        </w:rPr>
        <w:t xml:space="preserve">No model training. CerebroHive routes to frontier providers. Fine-tuning is a research activity, not a week-1-to-24 activity.</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2  </w:t>
      </w:r>
      <w:r>
        <w:rPr>
          <w:rFonts w:ascii="Calibri Light" w:cs="Calibri Light" w:eastAsia="Calibri Light" w:hAnsi="Calibri Light"/>
          <w:b/>
          <w:bCs/>
          <w:color w:val="0B2545"/>
          <w:sz w:val="34"/>
          <w:szCs w:val="34"/>
        </w:rPr>
        <w:t xml:space="preserve">Vision and Product Strategy</w:t>
      </w:r>
    </w:p>
    <w:p>
      <w:pPr>
        <w:spacing w:after="140" w:before="0" w:line="276"/>
        <w:jc w:val="both"/>
      </w:pPr>
      <w:r>
        <w:rPr>
          <w:rFonts w:ascii="Calibri" w:cs="Calibri" w:eastAsia="Calibri" w:hAnsi="Calibri"/>
          <w:b/>
          <w:bCs/>
          <w:color w:val="1A1A1A"/>
          <w:sz w:val="20"/>
          <w:szCs w:val="20"/>
        </w:rPr>
        <w:t xml:space="preserve">CerebroHive exists to solve enterprise fragmentation. </w:t>
      </w:r>
      <w:r>
        <w:rPr>
          <w:rFonts w:ascii="Calibri" w:cs="Calibri" w:eastAsia="Calibri" w:hAnsi="Calibri"/>
          <w:color w:val="1A1A1A"/>
          <w:sz w:val="20"/>
          <w:szCs w:val="20"/>
        </w:rPr>
        <w:t xml:space="preserve">Organisations hold their data in disjointed systems, their automations in isolated tools and their expertise in individual heads. Each new AI product added to that estate makes the fragmentation worse, because each brings its own identity model, its own memory, its own audit trail and its own idea of what the organisation knows. CerebroHive's proposition is that intelligence should be an infrastructure layer — as fundamental to the enterprise as compute and networking — rather than a feature bolted onto thirty separate applications.</w:t>
      </w:r>
    </w:p>
    <w:p>
      <w:pPr>
        <w:pStyle w:val="Heading2"/>
        <w:keepNext/>
        <w:spacing w:after="130" w:before="300"/>
      </w:pPr>
      <w:r>
        <w:rPr>
          <w:rFonts w:ascii="Calibri" w:cs="Calibri" w:eastAsia="Calibri" w:hAnsi="Calibri"/>
          <w:b/>
          <w:bCs/>
          <w:color w:val="134074"/>
          <w:sz w:val="25"/>
          <w:szCs w:val="25"/>
        </w:rPr>
        <w:t xml:space="preserve">2.1  The Enterprise Intelligence Mesh</w:t>
      </w:r>
    </w:p>
    <w:p>
      <w:pPr>
        <w:spacing w:after="140" w:before="0" w:line="276"/>
        <w:jc w:val="both"/>
      </w:pPr>
      <w:r>
        <w:rPr>
          <w:rFonts w:ascii="Calibri" w:cs="Calibri" w:eastAsia="Calibri" w:hAnsi="Calibri"/>
          <w:color w:val="1A1A1A"/>
          <w:sz w:val="20"/>
          <w:szCs w:val="20"/>
        </w:rPr>
        <w:t xml:space="preserve">The product is an AI-native operating system that connects people, data, models, agents, workflows and infrastructure into a single intelligence layer. The architectural expression of that is a strict five-tier model in which every capability has exactly one owner and dependencies flow in one direction only.</w:t>
      </w:r>
    </w:p>
    <w:p>
      <w:pPr>
        <w:spacing w:after="0" w:before="180"/>
        <w:jc w:val="center"/>
      </w:pPr>
      <w:r>
        <w:drawing>
          <wp:inline distT="0" distB="0" distL="0" distR="0">
            <wp:extent cx="58483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419600"/>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1 — The five-tier platform architecture. A product at tier N may depend on tier N−1 and below, never upward. Tier 0 has zero upstream dependencies and boots first.</w:t>
      </w:r>
    </w:p>
    <w:p>
      <w:pPr>
        <w:spacing w:after="140" w:before="0" w:line="276"/>
        <w:jc w:val="both"/>
      </w:pPr>
      <w:r>
        <w:rPr>
          <w:rFonts w:ascii="Calibri" w:cs="Calibri" w:eastAsia="Calibri" w:hAnsi="Calibri"/>
          <w:color w:val="1A1A1A"/>
          <w:sz w:val="20"/>
          <w:szCs w:val="20"/>
        </w:rPr>
        <w:t xml:space="preserve">The rule that makes this more than a diagram is the prohibition on upward dependency. It is what allows the platform to have a deterministic cold-start sequence — identity, then shield, then network, storage and compute, then the platform services, then the AI runtime, then applications — with a target full-platform boot of under 45 minutes. It is also what makes graceful degradation specifiable rather than emergent: when the vector service fails, search falls back to keyword-only ranking; when the memory service fails, agents run session-only; when knowledge fails, vector search continues and graph traversal is disabled. Each of those fallbacks is a declared behaviour, not an accident.</w:t>
      </w:r>
    </w:p>
    <w:p>
      <w:pPr>
        <w:pStyle w:val="Heading2"/>
        <w:keepNext/>
        <w:spacing w:after="130" w:before="300"/>
      </w:pPr>
      <w:r>
        <w:rPr>
          <w:rFonts w:ascii="Calibri" w:cs="Calibri" w:eastAsia="Calibri" w:hAnsi="Calibri"/>
          <w:b/>
          <w:bCs/>
          <w:color w:val="134074"/>
          <w:sz w:val="25"/>
          <w:szCs w:val="25"/>
        </w:rPr>
        <w:t xml:space="preserve">2.2  Why the timing works</w:t>
      </w:r>
    </w:p>
    <w:p>
      <w:pPr>
        <w:spacing w:after="140" w:before="0" w:line="276"/>
        <w:jc w:val="both"/>
      </w:pPr>
      <w:r>
        <w:rPr>
          <w:rFonts w:ascii="Calibri" w:cs="Calibri" w:eastAsia="Calibri" w:hAnsi="Calibri"/>
          <w:color w:val="1A1A1A"/>
          <w:sz w:val="20"/>
          <w:szCs w:val="20"/>
        </w:rPr>
        <w:t xml:space="preserve">Three conditions have converged. Frontier model capability has crossed the threshold where multi-step tool-using agents are commercially useful rather than demonstrably fragile. Enterprise buyers have moved past pilot fatigue and now purchase against governance, auditability and cost attribution rather than against demo quality. And the first generation of AI point solutions has left large organisations with exactly the fragmentation problem CerebroHive is designed to absorb — which means the incumbent is not a competitor, it is the customer's own sprawl.</w:t>
      </w:r>
    </w:p>
    <w:p>
      <w:pPr>
        <w:spacing w:after="140" w:before="0" w:line="276"/>
        <w:jc w:val="both"/>
      </w:pPr>
      <w:r>
        <w:rPr>
          <w:rFonts w:ascii="Calibri" w:cs="Calibri" w:eastAsia="Calibri" w:hAnsi="Calibri"/>
          <w:color w:val="1A1A1A"/>
          <w:sz w:val="20"/>
          <w:szCs w:val="20"/>
        </w:rPr>
        <w:t xml:space="preserve">The corollary is uncomfortable and worth stating plainly: buyers who evaluate on governance and auditability will discover an unauthenticated API in the first hour of technical diligence. The market timing is favourable precisely along the axis where the current implementation is weakest. That is the strategic reason the security workstream is sequenced first rather than the compliance reason.</w:t>
      </w:r>
    </w:p>
    <w:p>
      <w:pPr>
        <w:pStyle w:val="Heading2"/>
        <w:keepNext/>
        <w:spacing w:after="130" w:before="300"/>
      </w:pPr>
      <w:r>
        <w:rPr>
          <w:rFonts w:ascii="Calibri" w:cs="Calibri" w:eastAsia="Calibri" w:hAnsi="Calibri"/>
          <w:b/>
          <w:bCs/>
          <w:color w:val="134074"/>
          <w:sz w:val="25"/>
          <w:szCs w:val="25"/>
        </w:rPr>
        <w:t xml:space="preserve">2.3  Portfolio and sequencing</w:t>
      </w:r>
    </w:p>
    <w:p>
      <w:pPr>
        <w:spacing w:after="140" w:before="0" w:line="276"/>
        <w:jc w:val="both"/>
      </w:pPr>
      <w:r>
        <w:rPr>
          <w:rFonts w:ascii="Calibri" w:cs="Calibri" w:eastAsia="Calibri" w:hAnsi="Calibri"/>
          <w:color w:val="1A1A1A"/>
          <w:sz w:val="20"/>
          <w:szCs w:val="20"/>
        </w:rPr>
        <w:t xml:space="preserve">The portfolio divides into Cerebro applications, which face the business, and the Hive platform, which faces developers and operators. The constitution defines a strict engineering dependency flow — HiveForge, then HiveOps, then HiveAPI, then CerebroStudio, then CerebroFlow, then CerebroAgent, then CerebroERP, then industry solutions — and this programme respects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500"/>
        <w:gridCol w:w="2960"/>
      </w:tblGrid>
      <w:tr>
        <w:trPr>
          <w:tblHeader/>
        </w:trPr>
        <w:tc>
          <w:tcPr>
            <w:tcW w:type="dxa" w:w="1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Product</w:t>
            </w:r>
          </w:p>
        </w:tc>
        <w:tc>
          <w:tcPr>
            <w:tcW w:type="dxa" w:w="2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Role</w:t>
            </w:r>
          </w:p>
        </w:tc>
        <w:tc>
          <w:tcPr>
            <w:tcW w:type="dxa" w:w="2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Status entering the programme</w:t>
            </w:r>
          </w:p>
        </w:tc>
        <w:tc>
          <w:tcPr>
            <w:tcW w:type="dxa" w:w="2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Programme treatment</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HiveIdentity</w:t>
            </w:r>
          </w:p>
        </w:tc>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0 — identity for humans and agents</w:t>
            </w:r>
          </w:p>
        </w:tc>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Library complete, unwired</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Wired into every public surface (WS1)</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HiveShield</w:t>
            </w:r>
          </w:p>
        </w:tc>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0 — AI-specific security, DLP</w:t>
            </w:r>
          </w:p>
        </w:tc>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Ingress WAF real; DLP absent</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Policy enforcement activated (WS1/WS3)</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HiveGateway</w:t>
            </w:r>
          </w:p>
        </w:tc>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2 — traffic, auth, rate limiting</w:t>
            </w:r>
          </w:p>
        </w:tc>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Rust gateway real but bypassed by ingress</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Route decision, then single enforced path</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HiveAgents / HivePlanner</w:t>
            </w:r>
          </w:p>
        </w:tc>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3 — agent runtime and planning</w:t>
            </w:r>
          </w:p>
        </w:tc>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Split across two implementations</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Converged; one real planner (WS2/WS3)</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HiveMemory / HiveVector</w:t>
            </w:r>
          </w:p>
        </w:tc>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3 — memory and retrieval</w:t>
            </w:r>
          </w:p>
        </w:tc>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Fully modelled, unpopulated</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Repositories and retrieval built (WS2)</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CerebroStudio</w:t>
            </w:r>
          </w:p>
        </w:tc>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4 — unified command centre</w:t>
            </w:r>
          </w:p>
        </w:tc>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Live, highest scaffold density</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Audited, re-platformed onto the SDK (WS4)</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CerebroFlow</w:t>
            </w:r>
          </w:p>
        </w:tc>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4 — automation and pipelines</w:t>
            </w:r>
          </w:p>
        </w:tc>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Partial</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Taken to GA (WS4)</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CerebroSearch</w:t>
            </w:r>
          </w:p>
        </w:tc>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4 — semantic search</w:t>
            </w:r>
          </w:p>
        </w:tc>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Modelled</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Hybrid vector + BM25 delivered (WS4)</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All other products</w:t>
            </w:r>
          </w:p>
        </w:tc>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Tiers 3–5</w:t>
            </w:r>
          </w:p>
        </w:tc>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Specified</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No engineering investment this programme</w:t>
            </w:r>
          </w:p>
        </w:tc>
      </w:tr>
    </w:tbl>
    <w:p>
      <w:pPr>
        <w:pStyle w:val="Heading2"/>
        <w:keepNext/>
        <w:spacing w:after="130" w:before="300"/>
      </w:pPr>
      <w:r>
        <w:rPr>
          <w:rFonts w:ascii="Calibri" w:cs="Calibri" w:eastAsia="Calibri" w:hAnsi="Calibri"/>
          <w:b/>
          <w:bCs/>
          <w:color w:val="134074"/>
          <w:sz w:val="25"/>
          <w:szCs w:val="25"/>
        </w:rPr>
        <w:t xml:space="preserve">2.4  Strategic moats</w:t>
      </w:r>
    </w:p>
    <w:p>
      <w:pPr>
        <w:spacing w:after="140" w:before="0" w:line="276"/>
        <w:jc w:val="both"/>
      </w:pPr>
      <w:r>
        <w:rPr>
          <w:rFonts w:ascii="Calibri" w:cs="Calibri" w:eastAsia="Calibri" w:hAnsi="Calibri"/>
          <w:color w:val="1A1A1A"/>
          <w:sz w:val="20"/>
          <w:szCs w:val="20"/>
        </w:rPr>
        <w:t xml:space="preserve">Four of the ten moats named in the constitution are defensible in the medium term; the rest are aspirations that become moats only after the platform is real. Being clear about which is which is what makes the strategy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Moat</w:t>
            </w:r>
          </w:p>
        </w:tc>
        <w:tc>
          <w:tcPr>
            <w:tcW w:type="dxa" w:w="68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Assessment</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Unified knowledge graph and ontology</w:t>
            </w:r>
          </w:p>
        </w:tc>
        <w:tc>
          <w:tcPr>
            <w:tcW w:type="dxa" w:w="6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Genuine and durable. </w:t>
            </w:r>
          </w:p>
          <w:p>
            <w:pPr>
              <w:spacing w:after="0" w:line="240"/>
              <w:jc w:val="left"/>
            </w:pPr>
            <w:r>
              <w:rPr>
                <w:rFonts w:ascii="Calibri" w:cs="Calibri" w:eastAsia="Calibri" w:hAnsi="Calibri"/>
                <w:color w:val="1A1A1A"/>
                <w:sz w:val="16"/>
                <w:szCs w:val="16"/>
              </w:rPr>
              <w:t xml:space="preserve">Once an enterprise's entities, relationships and access boundaries are modelled inside CerebroHive, migrating that graph elsewhere is a multi-quarter project. This is the strongest moat in the portfolio and it is currently the least built.</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Multi-agent orchestration at scale</w:t>
            </w:r>
          </w:p>
        </w:tc>
        <w:tc>
          <w:tcPr>
            <w:tcW w:type="dxa" w:w="6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Genuine but contested. </w:t>
            </w:r>
          </w:p>
          <w:p>
            <w:pPr>
              <w:spacing w:after="0" w:line="240"/>
              <w:jc w:val="left"/>
            </w:pPr>
            <w:r>
              <w:rPr>
                <w:rFonts w:ascii="Calibri" w:cs="Calibri" w:eastAsia="Calibri" w:hAnsi="Calibri"/>
                <w:color w:val="1A1A1A"/>
                <w:sz w:val="16"/>
                <w:szCs w:val="16"/>
              </w:rPr>
              <w:t xml:space="preserve">The LangGraph planner in services/planner-service is more sophisticated than most commercial equivalents. The moat is real; the risk is that it is duplicated internally rather than deepened.</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Governance and compliance depth</w:t>
            </w:r>
          </w:p>
        </w:tc>
        <w:tc>
          <w:tcPr>
            <w:tcW w:type="dxa" w:w="6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Genuine and increasingly decisive. </w:t>
            </w:r>
          </w:p>
          <w:p>
            <w:pPr>
              <w:spacing w:after="0" w:line="240"/>
              <w:jc w:val="left"/>
            </w:pPr>
            <w:r>
              <w:rPr>
                <w:rFonts w:ascii="Calibri" w:cs="Calibri" w:eastAsia="Calibri" w:hAnsi="Calibri"/>
                <w:color w:val="1A1A1A"/>
                <w:sz w:val="16"/>
                <w:szCs w:val="16"/>
              </w:rPr>
              <w:t xml:space="preserve">Immutable audit, control-to-evidence mapping and per-action lineage are what enterprise buyers actually cannot build themselves under time pressure.</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Cloud-agnostic, modular deployment</w:t>
            </w:r>
          </w:p>
        </w:tc>
        <w:tc>
          <w:tcPr>
            <w:tcW w:type="dxa" w:w="6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Genuine but expensive. </w:t>
            </w:r>
          </w:p>
          <w:p>
            <w:pPr>
              <w:spacing w:after="0" w:line="240"/>
              <w:jc w:val="left"/>
            </w:pPr>
            <w:r>
              <w:rPr>
                <w:rFonts w:ascii="Calibri" w:cs="Calibri" w:eastAsia="Calibri" w:hAnsi="Calibri"/>
                <w:color w:val="1A1A1A"/>
                <w:sz w:val="16"/>
                <w:szCs w:val="16"/>
              </w:rPr>
              <w:t xml:space="preserve">It is a real differentiator against hyperscaler-native offerings, and it is the direct cause of the polyglot operational burden in Section 3.6. It should be a deliberate choice, not a default.</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Specialised models rather than one monolith</w:t>
            </w:r>
          </w:p>
        </w:tc>
        <w:tc>
          <w:tcPr>
            <w:tcW w:type="dxa" w:w="6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Not yet a moat. </w:t>
            </w:r>
          </w:p>
          <w:p>
            <w:pPr>
              <w:spacing w:after="0" w:line="240"/>
              <w:jc w:val="left"/>
            </w:pPr>
            <w:r>
              <w:rPr>
                <w:rFonts w:ascii="Calibri" w:cs="Calibri" w:eastAsia="Calibri" w:hAnsi="Calibri"/>
                <w:color w:val="1A1A1A"/>
                <w:sz w:val="16"/>
                <w:szCs w:val="16"/>
              </w:rPr>
              <w:t xml:space="preserve">Routing between frontier providers is a capability, not a barrier. It becomes a moat only when routing decisions are informed by proprietary evaluation data — which requires the eval harness in WS5.</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Marketplace ecosystem</w:t>
            </w:r>
          </w:p>
        </w:tc>
        <w:tc>
          <w:tcPr>
            <w:tcW w:type="dxa" w:w="6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Not yet a moat. </w:t>
            </w:r>
          </w:p>
          <w:p>
            <w:pPr>
              <w:spacing w:after="0" w:line="240"/>
              <w:jc w:val="left"/>
            </w:pPr>
            <w:r>
              <w:rPr>
                <w:rFonts w:ascii="Calibri" w:cs="Calibri" w:eastAsia="Calibri" w:hAnsi="Calibri"/>
                <w:color w:val="1A1A1A"/>
                <w:sz w:val="16"/>
                <w:szCs w:val="16"/>
              </w:rPr>
              <w:t xml:space="preserve">Marketplaces are moats at liquidity, not at launch. Correctly deferred beyond this programme.</w:t>
            </w:r>
          </w:p>
        </w:tc>
      </w:tr>
    </w:tbl>
    <w:p>
      <w:pPr>
        <w:pStyle w:val="Heading2"/>
        <w:keepNext/>
        <w:spacing w:after="130" w:before="300"/>
      </w:pPr>
      <w:r>
        <w:rPr>
          <w:rFonts w:ascii="Calibri" w:cs="Calibri" w:eastAsia="Calibri" w:hAnsi="Calibri"/>
          <w:b/>
          <w:bCs/>
          <w:color w:val="134074"/>
          <w:sz w:val="25"/>
          <w:szCs w:val="25"/>
        </w:rPr>
        <w:t xml:space="preserve">2.5  Commercial model</w:t>
      </w:r>
    </w:p>
    <w:p>
      <w:pPr>
        <w:spacing w:after="140" w:before="0" w:line="276"/>
        <w:jc w:val="both"/>
      </w:pPr>
      <w:r>
        <w:rPr>
          <w:rFonts w:ascii="Calibri" w:cs="Calibri" w:eastAsia="Calibri" w:hAnsi="Calibri"/>
          <w:b/>
          <w:bCs/>
          <w:color w:val="1A1A1A"/>
          <w:sz w:val="20"/>
          <w:szCs w:val="20"/>
        </w:rPr>
        <w:t xml:space="preserve">The pricing philosophy rejects per-seat licensing, and it is right to. </w:t>
      </w:r>
      <w:r>
        <w:rPr>
          <w:rFonts w:ascii="Calibri" w:cs="Calibri" w:eastAsia="Calibri" w:hAnsi="Calibri"/>
          <w:color w:val="1A1A1A"/>
          <w:sz w:val="20"/>
          <w:szCs w:val="20"/>
        </w:rPr>
        <w:t xml:space="preserve">If agents do the work of people, charging per seat penalises the customer for adopting the product's core value. The model is instead a platform base plus metered consumption: a flat annual fee per edition granting access to the software, governance tooling and support; Hive Credits burned against inference tokens, agent compute minutes, vector storage and completed workflow tasks; and seat licences charged only for authors and administrators, with consumers included at no cost.</w:t>
      </w:r>
    </w:p>
    <w:p>
      <w:pPr>
        <w:spacing w:after="140" w:before="0" w:line="276"/>
        <w:jc w:val="both"/>
      </w:pPr>
      <w:r>
        <w:rPr>
          <w:rFonts w:ascii="Calibri" w:cs="Calibri" w:eastAsia="Calibri" w:hAnsi="Calibri"/>
          <w:color w:val="1A1A1A"/>
          <w:sz w:val="20"/>
          <w:szCs w:val="20"/>
        </w:rPr>
        <w:t xml:space="preserve">This model is coherent, defensible and currently unbillable. Metering requires that consumption be attributable to a verified tenant, and tenant identity today comes from a header the caller sets. Section 12 treats metering instrumentation as a first-class deliverable of this programme rather than as a billing afterthought, for exactly that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200"/>
        <w:gridCol w:w="3360"/>
      </w:tblGrid>
      <w:tr>
        <w:trPr>
          <w:tblHeader/>
        </w:trPr>
        <w:tc>
          <w:tcPr>
            <w:tcW w:type="dxa" w:w="1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Edition</w:t>
            </w:r>
          </w:p>
        </w:tc>
        <w:tc>
          <w:tcPr>
            <w:tcW w:type="dxa" w:w="23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Target buyer</w:t>
            </w:r>
          </w:p>
        </w:tc>
        <w:tc>
          <w:tcPr>
            <w:tcW w:type="dxa" w:w="2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Deployment</w:t>
            </w:r>
          </w:p>
        </w:tc>
        <w:tc>
          <w:tcPr>
            <w:tcW w:type="dxa" w:w="33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Programme relevance</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Starter</w:t>
            </w:r>
          </w:p>
        </w:tc>
        <w:tc>
          <w:tcPr>
            <w:tcW w:type="dxa" w:w="2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Startups and small teams</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Shared cloud, self-serve</w:t>
            </w:r>
          </w:p>
        </w:tc>
        <w:tc>
          <w:tcPr>
            <w:tcW w:type="dxa" w:w="3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Not addressed; requires self-serve signup</w:t>
            </w:r>
          </w:p>
        </w:tc>
      </w:tr>
      <w:tr>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Professional</w:t>
            </w:r>
          </w:p>
        </w:tc>
        <w:tc>
          <w:tcPr>
            <w:tcW w:type="dxa" w:w="2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Mid-market</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Shared cloud</w:t>
            </w:r>
          </w:p>
        </w:tc>
        <w:tc>
          <w:tcPr>
            <w:tcW w:type="dxa" w:w="3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Reachable at MS6 given metering</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Business</w:t>
            </w:r>
          </w:p>
        </w:tc>
        <w:tc>
          <w:tcPr>
            <w:tcW w:type="dxa" w:w="2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Enterprise departments</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Dedicated tenant</w:t>
            </w:r>
          </w:p>
        </w:tc>
        <w:tc>
          <w:tcPr>
            <w:tcW w:type="dxa" w:w="3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Primary target of this programme</w:t>
            </w:r>
          </w:p>
        </w:tc>
      </w:tr>
      <w:tr>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Enterprise</w:t>
            </w:r>
          </w:p>
        </w:tc>
        <w:tc>
          <w:tcPr>
            <w:tcW w:type="dxa" w:w="2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Fortune 500</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Private cloud / VPC</w:t>
            </w:r>
          </w:p>
        </w:tc>
        <w:tc>
          <w:tcPr>
            <w:tcW w:type="dxa" w:w="3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Reachable in the two quarters after MS6</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Enterprise Plus</w:t>
            </w:r>
          </w:p>
        </w:tc>
        <w:tc>
          <w:tcPr>
            <w:tcW w:type="dxa" w:w="2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Regulated or very large scale</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Multi-cloud, federated</w:t>
            </w:r>
          </w:p>
        </w:tc>
        <w:tc>
          <w:tcPr>
            <w:tcW w:type="dxa" w:w="3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Horizon two</w:t>
            </w:r>
          </w:p>
        </w:tc>
      </w:tr>
      <w:tr>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Government / Defence</w:t>
            </w:r>
          </w:p>
        </w:tc>
        <w:tc>
          <w:tcPr>
            <w:tcW w:type="dxa" w:w="2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Federal, DoD</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Air-gapped, IL5/IL6</w:t>
            </w:r>
          </w:p>
        </w:tc>
        <w:tc>
          <w:tcPr>
            <w:tcW w:type="dxa" w:w="3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Horizon two; separate compliance programme</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OEM / Embedded</w:t>
            </w:r>
          </w:p>
        </w:tc>
        <w:tc>
          <w:tcPr>
            <w:tcW w:type="dxa" w:w="2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ISVs</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API-driven</w:t>
            </w:r>
          </w:p>
        </w:tc>
        <w:tc>
          <w:tcPr>
            <w:tcW w:type="dxa" w:w="3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Requires the frozen SDK from MS5</w:t>
            </w:r>
          </w:p>
        </w:tc>
      </w:tr>
    </w:tbl>
    <w:p>
      <w:pPr>
        <w:pStyle w:val="Heading2"/>
        <w:keepNext/>
        <w:spacing w:after="130" w:before="300"/>
      </w:pPr>
      <w:r>
        <w:rPr>
          <w:rFonts w:ascii="Calibri" w:cs="Calibri" w:eastAsia="Calibri" w:hAnsi="Calibri"/>
          <w:b/>
          <w:bCs/>
          <w:color w:val="134074"/>
          <w:sz w:val="25"/>
          <w:szCs w:val="25"/>
        </w:rPr>
        <w:t xml:space="preserve">2.6  Maturity model as a sales instrument</w:t>
      </w:r>
    </w:p>
    <w:p>
      <w:pPr>
        <w:spacing w:after="140" w:before="0" w:line="276"/>
        <w:jc w:val="both"/>
      </w:pPr>
      <w:r>
        <w:rPr>
          <w:rFonts w:ascii="Calibri" w:cs="Calibri" w:eastAsia="Calibri" w:hAnsi="Calibri"/>
          <w:color w:val="1A1A1A"/>
          <w:sz w:val="20"/>
          <w:szCs w:val="20"/>
        </w:rPr>
        <w:t xml:space="preserve">The seven-level capability maturity model — assistant, copilot, autonomous agent, multi-agent team, department automation, intelligence mesh, autonomous enterprise — is the most commercially useful artefact in the constitution, because it lets a buyer locate themselves and see the next step rather than being asked to buy a decade of vision at once.</w:t>
      </w:r>
    </w:p>
    <w:p>
      <w:pPr>
        <w:spacing w:after="140" w:before="0" w:line="276"/>
        <w:jc w:val="both"/>
      </w:pPr>
      <w:r>
        <w:rPr>
          <w:rFonts w:ascii="Calibri" w:cs="Calibri" w:eastAsia="Calibri" w:hAnsi="Calibri"/>
          <w:color w:val="1A1A1A"/>
          <w:sz w:val="20"/>
          <w:szCs w:val="20"/>
        </w:rPr>
        <w:t xml:space="preserve">It also imposes an honesty discipline internally. At the start of this programme CerebroHive can credibly deliver level 1 and, in the HiveSwarm path, parts of level 3. It cannot credibly deliver level 4 today, because multi-agent coordination runs against a planner that returns a fixed plan. At MS4 the platform delivers level 4 for real. Sales positioning should track that line and not lead it — a level-6 pitch against a level-1 implementation is the fastest way to lose a reference account permanently.</w:t>
      </w:r>
    </w:p>
    <w:p>
      <w:pPr>
        <w:spacing w:after="0" w:before="180"/>
        <w:jc w:val="center"/>
      </w:pPr>
      <w:r>
        <w:drawing>
          <wp:inline distT="0" distB="0" distL="0" distR="0">
            <wp:extent cx="59436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124200"/>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8 — Product roadmap horizon. This document covers horizon one in full detail and removes the principal technical risks from horizon two.</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3  </w:t>
      </w:r>
      <w:r>
        <w:rPr>
          <w:rFonts w:ascii="Calibri Light" w:cs="Calibri Light" w:eastAsia="Calibri Light" w:hAnsi="Calibri Light"/>
          <w:b/>
          <w:bCs/>
          <w:color w:val="0B2545"/>
          <w:sz w:val="34"/>
          <w:szCs w:val="34"/>
        </w:rPr>
        <w:t xml:space="preserve">Current Architecture Assessment</w:t>
      </w:r>
    </w:p>
    <w:p>
      <w:pPr>
        <w:spacing w:after="140" w:before="0" w:line="276"/>
        <w:jc w:val="both"/>
      </w:pPr>
      <w:r>
        <w:rPr>
          <w:rFonts w:ascii="Calibri" w:cs="Calibri" w:eastAsia="Calibri" w:hAnsi="Calibri"/>
          <w:b/>
          <w:bCs/>
          <w:color w:val="1A1A1A"/>
          <w:sz w:val="20"/>
          <w:szCs w:val="20"/>
        </w:rPr>
        <w:t xml:space="preserve">This section is written to be uncomfortable to read and expensive to ignore. </w:t>
      </w:r>
      <w:r>
        <w:rPr>
          <w:rFonts w:ascii="Calibri" w:cs="Calibri" w:eastAsia="Calibri" w:hAnsi="Calibri"/>
          <w:color w:val="1A1A1A"/>
          <w:sz w:val="20"/>
          <w:szCs w:val="20"/>
        </w:rPr>
        <w:t xml:space="preserve">Every finding below is traceable to a named file or an audit report in the repository. Where something is confirmed, it says confirmed and gives the evidence. Where something is inferred from structure without reading business logic line by line, it says so. Where something genuinely cannot be determined from the repository alone — because it depends on the live cluster — it is listed as unresolved rather than guessed at.</w:t>
      </w:r>
    </w:p>
    <w:p>
      <w:pPr>
        <w:pStyle w:val="Heading2"/>
        <w:keepNext/>
        <w:spacing w:after="130" w:before="300"/>
      </w:pPr>
      <w:r>
        <w:rPr>
          <w:rFonts w:ascii="Calibri" w:cs="Calibri" w:eastAsia="Calibri" w:hAnsi="Calibri"/>
          <w:b/>
          <w:bCs/>
          <w:color w:val="134074"/>
          <w:sz w:val="25"/>
          <w:szCs w:val="25"/>
        </w:rPr>
        <w:t xml:space="preserve">3.1  Method and evidence base</w:t>
      </w:r>
    </w:p>
    <w:p>
      <w:pPr>
        <w:spacing w:after="140" w:before="0" w:line="276"/>
        <w:jc w:val="both"/>
      </w:pPr>
      <w:r>
        <w:rPr>
          <w:rFonts w:ascii="Calibri" w:cs="Calibri" w:eastAsia="Calibri" w:hAnsi="Calibri"/>
          <w:color w:val="1A1A1A"/>
          <w:sz w:val="20"/>
          <w:szCs w:val="20"/>
        </w:rPr>
        <w:t xml:space="preserve">Three independent methods were used, and findings are reported at the confidence level the weakest supporting method allows.</w:t>
      </w:r>
    </w:p>
    <w:p>
      <w:pPr>
        <w:pStyle w:val="ListParagraph"/>
        <w:numPr>
          <w:ilvl w:val="0"/>
          <w:numId w:val="2"/>
        </w:numPr>
        <w:spacing w:after="70" w:line="268"/>
      </w:pPr>
      <w:r>
        <w:rPr>
          <w:rFonts w:ascii="Calibri" w:cs="Calibri" w:eastAsia="Calibri" w:hAnsi="Calibri"/>
          <w:b/>
          <w:bCs/>
          <w:color w:val="1A1A1A"/>
          <w:sz w:val="20"/>
          <w:szCs w:val="20"/>
        </w:rPr>
        <w:t xml:space="preserve">Source reading. </w:t>
      </w:r>
      <w:r>
        <w:rPr>
          <w:rFonts w:ascii="Calibri" w:cs="Calibri" w:eastAsia="Calibri" w:hAnsi="Calibri"/>
          <w:color w:val="1A1A1A"/>
          <w:sz w:val="20"/>
          <w:szCs w:val="20"/>
        </w:rPr>
        <w:t xml:space="preserve">Business logic read directly. Highest confidence. Used for the AI gateway, the auth package, platform-api's middleware and routes, the swarm execution engine and planner, the Rust gateway and the Go tool gateway.</w:t>
      </w:r>
    </w:p>
    <w:p>
      <w:pPr>
        <w:pStyle w:val="ListParagraph"/>
        <w:numPr>
          <w:ilvl w:val="0"/>
          <w:numId w:val="2"/>
        </w:numPr>
        <w:spacing w:after="70" w:line="268"/>
      </w:pPr>
      <w:r>
        <w:rPr>
          <w:rFonts w:ascii="Calibri" w:cs="Calibri" w:eastAsia="Calibri" w:hAnsi="Calibri"/>
          <w:b/>
          <w:bCs/>
          <w:color w:val="1A1A1A"/>
          <w:sz w:val="20"/>
          <w:szCs w:val="20"/>
        </w:rPr>
        <w:t xml:space="preserve">Structural confirmation. </w:t>
      </w:r>
      <w:r>
        <w:rPr>
          <w:rFonts w:ascii="Calibri" w:cs="Calibri" w:eastAsia="Calibri" w:hAnsi="Calibri"/>
          <w:color w:val="1A1A1A"/>
          <w:sz w:val="20"/>
          <w:szCs w:val="20"/>
        </w:rPr>
        <w:t xml:space="preserve">Framework and file layout confirmed real — a Spring Boot controller/service/repository tree, for instance — without reading the logic inside. Used for the three Kotlin services and the C++ ML service.</w:t>
      </w:r>
    </w:p>
    <w:p>
      <w:pPr>
        <w:pStyle w:val="ListParagraph"/>
        <w:numPr>
          <w:ilvl w:val="0"/>
          <w:numId w:val="2"/>
        </w:numPr>
        <w:spacing w:after="70" w:line="268"/>
      </w:pPr>
      <w:r>
        <w:rPr>
          <w:rFonts w:ascii="Calibri" w:cs="Calibri" w:eastAsia="Calibri" w:hAnsi="Calibri"/>
          <w:b/>
          <w:bCs/>
          <w:color w:val="1A1A1A"/>
          <w:sz w:val="20"/>
          <w:szCs w:val="20"/>
        </w:rPr>
        <w:t xml:space="preserve">Inventory and static analysis. </w:t>
      </w:r>
      <w:r>
        <w:rPr>
          <w:rFonts w:ascii="Calibri" w:cs="Calibri" w:eastAsia="Calibri" w:hAnsi="Calibri"/>
          <w:color w:val="1A1A1A"/>
          <w:sz w:val="20"/>
          <w:szCs w:val="20"/>
        </w:rPr>
        <w:t xml:space="preserve">File counts, dependency manifests and regex scanning for scaffold markers (TODO, FIXME, Mock*, Stub, placeholder, NotImplemented). Lowest confidence; flags candidates rather than proving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E6E9E"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3E6E9E"/>
                <w:sz w:val="19"/>
                <w:szCs w:val="19"/>
              </w:rPr>
              <w:t xml:space="preserve">A caveat on scaffold counts</w:t>
            </w:r>
          </w:p>
          <w:p>
            <w:pPr>
              <w:spacing w:after="60" w:line="264"/>
              <w:jc w:val="both"/>
            </w:pPr>
            <w:r>
              <w:rPr>
                <w:rFonts w:ascii="Calibri" w:cs="Calibri" w:eastAsia="Calibri" w:hAnsi="Calibri"/>
                <w:color w:val="1A1A1A"/>
                <w:sz w:val="19"/>
                <w:szCs w:val="19"/>
              </w:rPr>
              <w:t xml:space="preserve">A scaffold hit is a regex match, not a verdict. Prisma's generated client accounts for most of packages/db's hits, and platform-api's hits include legitimate test doubles from deliberate work. The count is a search heuristic that tells you where to look, not a measure of quality. It is used that way throughout this section.</w:t>
            </w:r>
          </w:p>
        </w:tc>
      </w:tr>
    </w:tbl>
    <w:p>
      <w:pPr>
        <w:pStyle w:val="Heading2"/>
        <w:keepNext/>
        <w:spacing w:after="130" w:before="300"/>
      </w:pPr>
      <w:r>
        <w:rPr>
          <w:rFonts w:ascii="Calibri" w:cs="Calibri" w:eastAsia="Calibri" w:hAnsi="Calibri"/>
          <w:b/>
          <w:bCs/>
          <w:color w:val="134074"/>
          <w:sz w:val="25"/>
          <w:szCs w:val="25"/>
        </w:rPr>
        <w:t xml:space="preserve">3.2  Repository topography</w:t>
      </w:r>
    </w:p>
    <w:p>
      <w:pPr>
        <w:spacing w:after="140" w:before="0" w:line="276"/>
        <w:jc w:val="both"/>
      </w:pPr>
      <w:r>
        <w:rPr>
          <w:rFonts w:ascii="Calibri" w:cs="Calibri" w:eastAsia="Calibri" w:hAnsi="Calibri"/>
          <w:color w:val="1A1A1A"/>
          <w:sz w:val="20"/>
          <w:szCs w:val="20"/>
        </w:rPr>
        <w:t xml:space="preserve">The monorepo is a pnpm and Turborepo workspace on Node 22, with a Next.js web tier, Fastify and NestJS services, and additional services in Python, Go, Kotlin, Rust and C++. Code volume tells the story more clearly than the package count does.</w:t>
      </w:r>
    </w:p>
    <w:p>
      <w:pPr>
        <w:pStyle w:val="Heading3"/>
        <w:keepNext/>
        <w:spacing w:after="100" w:before="220"/>
      </w:pPr>
      <w:r>
        <w:rPr>
          <w:rFonts w:ascii="Calibri" w:cs="Calibri" w:eastAsia="Calibri" w:hAnsi="Calibri"/>
          <w:b/>
          <w:bCs/>
          <w:color w:val="2E3A4B"/>
          <w:sz w:val="21"/>
          <w:szCs w:val="21"/>
        </w:rPr>
        <w:t xml:space="preserve">Table 3.1 — Code volume by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Workspace</w:t>
            </w:r>
          </w:p>
        </w:tc>
        <w:tc>
          <w:tcPr>
            <w:tcW w:type="dxa" w:w="1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Units</w:t>
            </w:r>
          </w:p>
        </w:tc>
        <w:tc>
          <w:tcPr>
            <w:tcW w:type="dxa" w:w="63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Observation</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packages/</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88 packages</w:t>
            </w:r>
          </w:p>
        </w:tc>
        <w:tc>
          <w:tcPr>
            <w:tcW w:type="dxa" w:w="6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Two packages exceed 2,000 lines of hand-written source (runtime-core at ~2,770 and swarm-sdk at ~2,056). Roughly sixty average 300–450 lines. packages/db's 51,000 lines are almost entirely generated Prisma client.</w:t>
            </w:r>
          </w:p>
        </w:tc>
      </w:tr>
      <w:tr>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apps/</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 applications</w:t>
            </w:r>
          </w:p>
        </w:tc>
        <w:tc>
          <w:tcPr>
            <w:tcW w:type="dxa" w:w="6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(1,163 files, live in production), forge, platform, platform-api, plus archive, flow, insight, ops, pulse, search at varying maturity.</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services/</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33 services</w:t>
            </w:r>
          </w:p>
        </w:tc>
        <w:tc>
          <w:tcPr>
            <w:tcW w:type="dxa" w:w="6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Sixteen contain zero TypeScript source. </w:t>
            </w:r>
          </w:p>
          <w:p>
            <w:pPr>
              <w:spacing w:after="0" w:line="240"/>
              <w:jc w:val="left"/>
            </w:pPr>
            <w:r>
              <w:rPr>
                <w:rFonts w:ascii="Calibri" w:cs="Calibri" w:eastAsia="Calibri" w:hAnsi="Calibri"/>
                <w:color w:val="1A1A1A"/>
                <w:sz w:val="16"/>
                <w:szCs w:val="16"/>
              </w:rPr>
              <w:t xml:space="preserve">Of the seventeen with code, four exceed 1,000 lines (forge-api ~2,489, platform-api ~2,158, contentops ~1,009, temporal-worker ~694). Non-TypeScript services — Python, Go, Kotlin, Rust, C++ — are not reflected in these line counts and several are substantial.</w:t>
            </w:r>
          </w:p>
        </w:tc>
      </w:tr>
      <w:tr>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infra/</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23 domains</w:t>
            </w:r>
          </w:p>
        </w:tc>
        <w:tc>
          <w:tcPr>
            <w:tcW w:type="dxa" w:w="6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Terraform, Helm, ArgoCD, Prometheus, Thanos, Velero, KEDA, chaos, k6, OPA policy, flagd. Unusually complete for the stage.</w:t>
            </w:r>
          </w:p>
        </w:tc>
      </w:tr>
      <w:tr>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docs/ and specs</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45 product specs, 12 doc domains</w:t>
            </w:r>
          </w:p>
        </w:tc>
        <w:tc>
          <w:tcPr>
            <w:tcW w:type="dxa" w:w="6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strategic and specification layer is the most complete part of the repository by a wide margin.</w:t>
            </w:r>
          </w:p>
        </w:tc>
      </w:tr>
      <w:tr>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CI</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14 workflows</w:t>
            </w:r>
          </w:p>
        </w:tc>
        <w:tc>
          <w:tcPr>
            <w:tcW w:type="dxa" w:w="6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Includes a policy gate, an LLMOps evaluation gate, CodeQL, Lighthouse, load testing, a release train and self-healing workflows.</w:t>
            </w:r>
          </w:p>
        </w:tc>
      </w:tr>
    </w:tbl>
    <w:p>
      <w:pPr>
        <w:spacing w:after="140" w:before="0" w:line="276"/>
        <w:jc w:val="both"/>
      </w:pPr>
      <w:r>
        <w:rPr>
          <w:rFonts w:ascii="Calibri" w:cs="Calibri" w:eastAsia="Calibri" w:hAnsi="Calibri"/>
          <w:b/>
          <w:bCs/>
          <w:color w:val="1A1A1A"/>
          <w:sz w:val="20"/>
          <w:szCs w:val="20"/>
        </w:rPr>
        <w:t xml:space="preserve">The headline ratio. </w:t>
      </w:r>
      <w:r>
        <w:rPr>
          <w:rFonts w:ascii="Calibri" w:cs="Calibri" w:eastAsia="Calibri" w:hAnsi="Calibri"/>
          <w:color w:val="1A1A1A"/>
          <w:sz w:val="20"/>
          <w:szCs w:val="20"/>
        </w:rPr>
        <w:t xml:space="preserve">Eighty-eight packages and thirty-three services against roughly a dozen subsystems with more than a thousand lines of hand-written logic. The architecture has been laid out at full scale and populated at pilot scale. This is not inherently wrong — laying out the tier boundaries early is why the dependency graph is clean — but it does mean that package count, service count and product count are all misleading proxies for capability, and should not be used as progress metrics by anyone, internally or externally.</w:t>
      </w:r>
    </w:p>
    <w:p>
      <w:pPr>
        <w:pStyle w:val="Heading2"/>
        <w:keepNext/>
        <w:spacing w:after="130" w:before="300"/>
      </w:pPr>
      <w:r>
        <w:rPr>
          <w:rFonts w:ascii="Calibri" w:cs="Calibri" w:eastAsia="Calibri" w:hAnsi="Calibri"/>
          <w:b/>
          <w:bCs/>
          <w:color w:val="134074"/>
          <w:sz w:val="25"/>
          <w:szCs w:val="25"/>
        </w:rPr>
        <w:t xml:space="preserve">3.3  What is genuinely production-grade</w:t>
      </w:r>
    </w:p>
    <w:p>
      <w:pPr>
        <w:spacing w:after="140" w:before="0" w:line="276"/>
        <w:jc w:val="both"/>
      </w:pPr>
      <w:r>
        <w:rPr>
          <w:rFonts w:ascii="Calibri" w:cs="Calibri" w:eastAsia="Calibri" w:hAnsi="Calibri"/>
          <w:color w:val="1A1A1A"/>
          <w:sz w:val="20"/>
          <w:szCs w:val="20"/>
        </w:rPr>
        <w:t xml:space="preserve">Six subsystems are real, well-engineered and worth defending. Each was confirmed by reading source.</w:t>
      </w:r>
    </w:p>
    <w:p>
      <w:pPr>
        <w:pStyle w:val="ListParagraph"/>
        <w:numPr>
          <w:ilvl w:val="0"/>
          <w:numId w:val="2"/>
        </w:numPr>
        <w:spacing w:after="70" w:line="268"/>
      </w:pPr>
      <w:r>
        <w:rPr>
          <w:rFonts w:ascii="Consolas" w:cs="Consolas" w:eastAsia="Consolas" w:hAnsi="Consolas"/>
          <w:color w:val="1F3864"/>
          <w:sz w:val="17"/>
          <w:szCs w:val="17"/>
        </w:rPr>
        <w:t xml:space="preserve">packages/ai-gateway</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the strongest code in the repository. </w:t>
      </w:r>
      <w:r>
        <w:rPr>
          <w:rFonts w:ascii="Calibri" w:cs="Calibri" w:eastAsia="Calibri" w:hAnsi="Calibri"/>
          <w:color w:val="1A1A1A"/>
          <w:sz w:val="20"/>
          <w:szCs w:val="20"/>
        </w:rPr>
        <w:t xml:space="preserve">Real Anthropic and OpenAI SDK calls; a per-provider circuit breaker with configurable error threshold and reset timeout; a per-organisation-and-provider rate limiter; provider failover ordered by priority; a response cache; cost tracking; and a retryable-versus-fatal error distinction. It also already calls telemetry hooks and already supports streaming.</w:t>
      </w:r>
    </w:p>
    <w:p>
      <w:pPr>
        <w:pStyle w:val="ListParagraph"/>
        <w:numPr>
          <w:ilvl w:val="0"/>
          <w:numId w:val="2"/>
        </w:numPr>
        <w:spacing w:after="70" w:line="268"/>
      </w:pPr>
      <w:r>
        <w:rPr>
          <w:rFonts w:ascii="Consolas" w:cs="Consolas" w:eastAsia="Consolas" w:hAnsi="Consolas"/>
          <w:color w:val="1F3864"/>
          <w:sz w:val="17"/>
          <w:szCs w:val="17"/>
        </w:rPr>
        <w:t xml:space="preserve">packages/auth</w:t>
      </w:r>
      <w:r>
        <w:rPr>
          <w:rFonts w:ascii="Calibri" w:cs="Calibri" w:eastAsia="Calibri" w:hAnsi="Calibri"/>
          <w:color w:val="1A1A1A"/>
          <w:sz w:val="20"/>
          <w:szCs w:val="20"/>
        </w:rPr>
        <w:t xml:space="preserve"> — real Keycloak JWKS verification using </w:t>
      </w:r>
      <w:r>
        <w:rPr>
          <w:rFonts w:ascii="Consolas" w:cs="Consolas" w:eastAsia="Consolas" w:hAnsi="Consolas"/>
          <w:color w:val="1F3864"/>
          <w:sz w:val="17"/>
          <w:szCs w:val="17"/>
        </w:rPr>
        <w:t xml:space="preserve">jose</w:t>
      </w:r>
      <w:r>
        <w:rPr>
          <w:rFonts w:ascii="Calibri" w:cs="Calibri" w:eastAsia="Calibri" w:hAnsi="Calibri"/>
          <w:color w:val="1A1A1A"/>
          <w:sz w:val="20"/>
          <w:szCs w:val="20"/>
        </w:rPr>
        <w:t xml:space="preserve">; a full RBAC permission system with five organisation roles and roughly 28 fine-grained permissions; and a reference middleware showing the intended require-auth, require-role, require-permission and require-org-access pattern. </w:t>
      </w:r>
      <w:r>
        <w:rPr>
          <w:rFonts w:ascii="Calibri" w:cs="Calibri" w:eastAsia="Calibri" w:hAnsi="Calibri"/>
          <w:b/>
          <w:bCs/>
          <w:color w:val="1A1A1A"/>
          <w:sz w:val="20"/>
          <w:szCs w:val="20"/>
        </w:rPr>
        <w:t xml:space="preserve">It was unused not because it was incomplete, but because the service that needed it never declared it as a dependency.</w:t>
      </w:r>
    </w:p>
    <w:p>
      <w:pPr>
        <w:pStyle w:val="ListParagraph"/>
        <w:numPr>
          <w:ilvl w:val="0"/>
          <w:numId w:val="2"/>
        </w:numPr>
        <w:spacing w:after="70" w:line="268"/>
      </w:pPr>
      <w:r>
        <w:rPr>
          <w:rFonts w:ascii="Consolas" w:cs="Consolas" w:eastAsia="Consolas" w:hAnsi="Consolas"/>
          <w:color w:val="1F3864"/>
          <w:sz w:val="17"/>
          <w:szCs w:val="17"/>
        </w:rPr>
        <w:t xml:space="preserve">services/forge-api</w:t>
      </w:r>
      <w:r>
        <w:rPr>
          <w:rFonts w:ascii="Calibri" w:cs="Calibri" w:eastAsia="Calibri" w:hAnsi="Calibri"/>
          <w:color w:val="1A1A1A"/>
          <w:sz w:val="20"/>
          <w:szCs w:val="20"/>
        </w:rPr>
        <w:t xml:space="preserve"> — uses the auth package correctly. Its NestJS guard extracts the bearer token, verifies it, throws on failure and populates a rich request context. This is the reference implementation the rest of the estate should have copied.</w:t>
      </w:r>
    </w:p>
    <w:p>
      <w:pPr>
        <w:pStyle w:val="ListParagraph"/>
        <w:numPr>
          <w:ilvl w:val="0"/>
          <w:numId w:val="2"/>
        </w:numPr>
        <w:spacing w:after="70" w:line="268"/>
      </w:pPr>
      <w:r>
        <w:rPr>
          <w:rFonts w:ascii="Consolas" w:cs="Consolas" w:eastAsia="Consolas" w:hAnsi="Consolas"/>
          <w:color w:val="1F3864"/>
          <w:sz w:val="17"/>
          <w:szCs w:val="17"/>
        </w:rPr>
        <w:t xml:space="preserve">services/planner-service</w:t>
      </w:r>
      <w:r>
        <w:rPr>
          <w:rFonts w:ascii="Calibri" w:cs="Calibri" w:eastAsia="Calibri" w:hAnsi="Calibri"/>
          <w:color w:val="1A1A1A"/>
          <w:sz w:val="20"/>
          <w:szCs w:val="20"/>
        </w:rPr>
        <w:t xml:space="preserve"> — Python and LangGraph, with a real self-correction loop capped at two fix retries and cycle detection before plan execution. More sophisticated than anything in the TypeScript runtime.</w:t>
      </w:r>
    </w:p>
    <w:p>
      <w:pPr>
        <w:pStyle w:val="ListParagraph"/>
        <w:numPr>
          <w:ilvl w:val="0"/>
          <w:numId w:val="2"/>
        </w:numPr>
        <w:spacing w:after="70" w:line="268"/>
      </w:pPr>
      <w:r>
        <w:rPr>
          <w:rFonts w:ascii="Calibri" w:cs="Calibri" w:eastAsia="Calibri" w:hAnsi="Calibri"/>
          <w:color w:val="1A1A1A"/>
          <w:sz w:val="20"/>
          <w:szCs w:val="20"/>
        </w:rPr>
        <w:t xml:space="preserve">Observability — a Prometheus rule set with five concrete alerts including service-down, error-rate, p99 latency, swarm queue backlog and LLM token budget; a ServiceMonitor scraping every labelled pod every thirty seconds; and a six-panel Grafana dashboard against Prometheus and Loki. OTEL exporters are wired at the platform level with log level correctly gated per environment.</w:t>
      </w:r>
    </w:p>
    <w:p>
      <w:pPr>
        <w:pStyle w:val="ListParagraph"/>
        <w:numPr>
          <w:ilvl w:val="0"/>
          <w:numId w:val="2"/>
        </w:numPr>
        <w:spacing w:after="70" w:line="268"/>
      </w:pPr>
      <w:r>
        <w:rPr>
          <w:rFonts w:ascii="Calibri" w:cs="Calibri" w:eastAsia="Calibri" w:hAnsi="Calibri"/>
          <w:color w:val="1A1A1A"/>
          <w:sz w:val="20"/>
          <w:szCs w:val="20"/>
        </w:rPr>
        <w:t xml:space="preserve">Network policy — default-deny ingress with explicit allows for the ingress namespace, intra-platform pod traffic, DNS, outbound 443 for provider APIs, and Prometheus scraping. A legitimate zero-trust baseline at the network layer.</w:t>
      </w:r>
    </w:p>
    <w:p>
      <w:pPr>
        <w:spacing w:after="0" w:before="180"/>
        <w:jc w:val="center"/>
      </w:pPr>
      <w:r>
        <w:drawing>
          <wp:inline distT="0" distB="0" distL="0" distR="0">
            <wp:extent cx="58483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590925"/>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2 — Implementation reality by subsystem. Percentages are engineering judgement against production intent, anchored to the evidence in the audit series.</w:t>
      </w:r>
    </w:p>
    <w:p>
      <w:pPr>
        <w:pStyle w:val="Heading2"/>
        <w:keepNext/>
        <w:spacing w:after="130" w:before="300"/>
      </w:pPr>
      <w:r>
        <w:rPr>
          <w:rFonts w:ascii="Calibri" w:cs="Calibri" w:eastAsia="Calibri" w:hAnsi="Calibri"/>
          <w:b/>
          <w:bCs/>
          <w:color w:val="134074"/>
          <w:sz w:val="25"/>
          <w:szCs w:val="25"/>
        </w:rPr>
        <w:t xml:space="preserve">3.4  What is modelled but not wired</w:t>
      </w:r>
    </w:p>
    <w:p>
      <w:pPr>
        <w:spacing w:after="140" w:before="0" w:line="276"/>
        <w:jc w:val="both"/>
      </w:pPr>
      <w:r>
        <w:rPr>
          <w:rFonts w:ascii="Calibri" w:cs="Calibri" w:eastAsia="Calibri" w:hAnsi="Calibri"/>
          <w:b/>
          <w:bCs/>
          <w:color w:val="1A1A1A"/>
          <w:sz w:val="20"/>
          <w:szCs w:val="20"/>
        </w:rPr>
        <w:t xml:space="preserve">This is the most valuable category in the repository, and the one most likely to be misread as missing work. </w:t>
      </w:r>
      <w:r>
        <w:rPr>
          <w:rFonts w:ascii="Calibri" w:cs="Calibri" w:eastAsia="Calibri" w:hAnsi="Calibri"/>
          <w:color w:val="1A1A1A"/>
          <w:sz w:val="20"/>
          <w:szCs w:val="20"/>
        </w:rPr>
        <w:t xml:space="preserve">The Prisma schema already defines </w:t>
      </w:r>
      <w:r>
        <w:rPr>
          <w:rFonts w:ascii="Consolas" w:cs="Consolas" w:eastAsia="Consolas" w:hAnsi="Consolas"/>
          <w:color w:val="1F3864"/>
          <w:sz w:val="17"/>
          <w:szCs w:val="17"/>
        </w:rPr>
        <w:t xml:space="preserve">AgentConversation</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AgentMessage</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AgentExecution</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Memory</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MemorySnapshot</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Document</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DocumentVersion</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Chunk</w:t>
      </w:r>
      <w:r>
        <w:rPr>
          <w:rFonts w:ascii="Calibri" w:cs="Calibri" w:eastAsia="Calibri" w:hAnsi="Calibri"/>
          <w:color w:val="1A1A1A"/>
          <w:sz w:val="20"/>
          <w:szCs w:val="20"/>
        </w:rPr>
        <w:t xml:space="preserve">, </w:t>
      </w:r>
      <w:r>
        <w:rPr>
          <w:rFonts w:ascii="Consolas" w:cs="Consolas" w:eastAsia="Consolas" w:hAnsi="Consolas"/>
          <w:color w:val="1F3864"/>
          <w:sz w:val="17"/>
          <w:szCs w:val="17"/>
        </w:rPr>
        <w:t xml:space="preserve">Embedding</w:t>
      </w:r>
      <w:r>
        <w:rPr>
          <w:rFonts w:ascii="Calibri" w:cs="Calibri" w:eastAsia="Calibri" w:hAnsi="Calibri"/>
          <w:color w:val="1A1A1A"/>
          <w:sz w:val="20"/>
          <w:szCs w:val="20"/>
        </w:rPr>
        <w:t xml:space="preserve"> with a pgvector </w:t>
      </w:r>
      <w:r>
        <w:rPr>
          <w:rFonts w:ascii="Consolas" w:cs="Consolas" w:eastAsia="Consolas" w:hAnsi="Consolas"/>
          <w:color w:val="1F3864"/>
          <w:sz w:val="17"/>
          <w:szCs w:val="17"/>
        </w:rPr>
        <w:t xml:space="preserve">vector(1536)</w:t>
      </w:r>
      <w:r>
        <w:rPr>
          <w:rFonts w:ascii="Calibri" w:cs="Calibri" w:eastAsia="Calibri" w:hAnsi="Calibri"/>
          <w:color w:val="1A1A1A"/>
          <w:sz w:val="20"/>
          <w:szCs w:val="20"/>
        </w:rPr>
        <w:t xml:space="preserve"> column, and </w:t>
      </w:r>
      <w:r>
        <w:rPr>
          <w:rFonts w:ascii="Consolas" w:cs="Consolas" w:eastAsia="Consolas" w:hAnsi="Consolas"/>
          <w:color w:val="1F3864"/>
          <w:sz w:val="17"/>
          <w:szCs w:val="17"/>
        </w:rPr>
        <w:t xml:space="preserve">VectorIndex</w:t>
      </w:r>
      <w:r>
        <w:rPr>
          <w:rFonts w:ascii="Calibri" w:cs="Calibri" w:eastAsia="Calibri" w:hAnsi="Calibri"/>
          <w:color w:val="1A1A1A"/>
          <w:sz w:val="20"/>
          <w:szCs w:val="20"/>
        </w:rPr>
        <w:t xml:space="preserve">. The migration is applied; the tables exist. The entire retrieval-augmented generation data layer is designed and live and contains nothing.</w:t>
      </w:r>
    </w:p>
    <w:p>
      <w:pPr>
        <w:spacing w:after="140" w:before="0" w:line="276"/>
        <w:jc w:val="both"/>
      </w:pPr>
      <w:r>
        <w:rPr>
          <w:rFonts w:ascii="Calibri" w:cs="Calibri" w:eastAsia="Calibri" w:hAnsi="Calibri"/>
          <w:color w:val="1A1A1A"/>
          <w:sz w:val="20"/>
          <w:szCs w:val="20"/>
        </w:rPr>
        <w:t xml:space="preserve">The implication for planning is significant and favourable. Conversation persistence and memory are not schema-design projects — they are repository-and-wiring projects, which are faster, lower-risk and far easier to estimate. The corresponding packages are also already reserved and already declared as dependencies in the right places. The correct instruction to the team is emphatic: build the repositories, do not re-model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62B2B"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A62B2B"/>
                <w:sz w:val="19"/>
                <w:szCs w:val="19"/>
              </w:rPr>
              <w:t xml:space="preserve">Warning carried forward from the backlog</w:t>
            </w:r>
          </w:p>
          <w:p>
            <w:pPr>
              <w:spacing w:after="60" w:line="264"/>
              <w:jc w:val="both"/>
            </w:pPr>
            <w:r>
              <w:rPr>
                <w:rFonts w:ascii="Calibri" w:cs="Calibri" w:eastAsia="Calibri" w:hAnsi="Calibri"/>
                <w:color w:val="1A1A1A"/>
                <w:sz w:val="19"/>
                <w:szCs w:val="19"/>
              </w:rPr>
              <w:t xml:space="preserve">The </w:t>
            </w:r>
            <w:r>
              <w:rPr>
                <w:rFonts w:ascii="Consolas" w:cs="Consolas" w:eastAsia="Consolas" w:hAnsi="Consolas"/>
                <w:color w:val="1F3864"/>
                <w:sz w:val="17"/>
                <w:szCs w:val="17"/>
              </w:rPr>
              <w:t xml:space="preserve">stage2_sessions</w:t>
            </w:r>
            <w:r>
              <w:rPr>
                <w:rFonts w:ascii="Calibri" w:cs="Calibri" w:eastAsia="Calibri" w:hAnsi="Calibri"/>
                <w:color w:val="1A1A1A"/>
                <w:sz w:val="19"/>
                <w:szCs w:val="19"/>
              </w:rPr>
              <w:t xml:space="preserve"> migration created </w:t>
            </w:r>
            <w:r>
              <w:rPr>
                <w:rFonts w:ascii="Consolas" w:cs="Consolas" w:eastAsia="Consolas" w:hAnsi="Consolas"/>
                <w:color w:val="1F3864"/>
                <w:sz w:val="17"/>
                <w:szCs w:val="17"/>
              </w:rPr>
              <w:t xml:space="preserve">AssessmentSession</w:t>
            </w:r>
            <w:r>
              <w:rPr>
                <w:rFonts w:ascii="Calibri" w:cs="Calibri" w:eastAsia="Calibri" w:hAnsi="Calibri"/>
                <w:color w:val="1A1A1A"/>
                <w:sz w:val="19"/>
                <w:szCs w:val="19"/>
              </w:rPr>
              <w:t xml:space="preserve"> and </w:t>
            </w:r>
            <w:r>
              <w:rPr>
                <w:rFonts w:ascii="Consolas" w:cs="Consolas" w:eastAsia="Consolas" w:hAnsi="Consolas"/>
                <w:color w:val="1F3864"/>
                <w:sz w:val="17"/>
                <w:szCs w:val="17"/>
              </w:rPr>
              <w:t xml:space="preserve">SessionTelemetryBatch</w:t>
            </w:r>
            <w:r>
              <w:rPr>
                <w:rFonts w:ascii="Calibri" w:cs="Calibri" w:eastAsia="Calibri" w:hAnsi="Calibri"/>
                <w:color w:val="1A1A1A"/>
                <w:sz w:val="19"/>
                <w:szCs w:val="19"/>
              </w:rPr>
              <w:t xml:space="preserve"> tables. These belong to a talent-assessment feature area, not to agent conversations. Do not confuse them with </w:t>
            </w:r>
            <w:r>
              <w:rPr>
                <w:rFonts w:ascii="Consolas" w:cs="Consolas" w:eastAsia="Consolas" w:hAnsi="Consolas"/>
                <w:color w:val="1F3864"/>
                <w:sz w:val="17"/>
                <w:szCs w:val="17"/>
              </w:rPr>
              <w:t xml:space="preserve">AgentConversation</w:t>
            </w:r>
            <w:r>
              <w:rPr>
                <w:rFonts w:ascii="Calibri" w:cs="Calibri" w:eastAsia="Calibri" w:hAnsi="Calibri"/>
                <w:color w:val="1A1A1A"/>
                <w:sz w:val="19"/>
                <w:szCs w:val="19"/>
              </w:rPr>
              <w:t xml:space="preserve"> and do not reuse them.</w:t>
            </w:r>
          </w:p>
        </w:tc>
      </w:tr>
    </w:tbl>
    <w:p>
      <w:pPr>
        <w:pStyle w:val="Heading2"/>
        <w:keepNext/>
        <w:spacing w:after="130" w:before="300"/>
      </w:pPr>
      <w:r>
        <w:rPr>
          <w:rFonts w:ascii="Calibri" w:cs="Calibri" w:eastAsia="Calibri" w:hAnsi="Calibri"/>
          <w:b/>
          <w:bCs/>
          <w:color w:val="134074"/>
          <w:sz w:val="25"/>
          <w:szCs w:val="25"/>
        </w:rPr>
        <w:t xml:space="preserve">3.5  What is scaffolding, confirmed</w:t>
      </w:r>
    </w:p>
    <w:p>
      <w:pPr>
        <w:spacing w:after="140" w:before="0" w:line="276"/>
        <w:jc w:val="both"/>
      </w:pPr>
      <w:r>
        <w:rPr>
          <w:rFonts w:ascii="Calibri" w:cs="Calibri" w:eastAsia="Calibri" w:hAnsi="Calibri"/>
          <w:color w:val="1A1A1A"/>
          <w:sz w:val="20"/>
          <w:szCs w:val="20"/>
        </w:rPr>
        <w:t xml:space="preserve">Four items below are not inferred from regex — the code documents its own incompleteness in comments or in obviously placeholder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Component</w:t>
            </w:r>
          </w:p>
        </w:tc>
        <w:tc>
          <w:tcPr>
            <w:tcW w:type="dxa" w:w="3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Confirmed state</w:t>
            </w:r>
          </w:p>
        </w:tc>
        <w:tc>
          <w:tcPr>
            <w:tcW w:type="dxa" w:w="35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Consequence</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services/swarm-runtime/Planner.ts</w:t>
            </w:r>
          </w:p>
        </w:tc>
        <w:tc>
          <w:tcPr>
            <w:tcW w:type="dxa" w:w="3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compile() returns the same fixed three-node DAG for "Analyze Q3 spending" regardless of the input intent. Not exported from the package barrel.</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Dead code that reads as a competing planner implementation. Resolves the open question in the architecture map: it is a mock, not a rival.</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ExecutionEngine</w:t>
            </w:r>
          </w:p>
          <w:p>
            <w:pPr>
              <w:spacing w:after="0" w:line="240"/>
              <w:jc w:val="left"/>
            </w:pPr>
            <w:r>
              <w:rPr>
                <w:rFonts w:ascii="Calibri" w:cs="Calibri" w:eastAsia="Calibri" w:hAnsi="Calibri"/>
                <w:color w:val="1A1A1A"/>
                <w:sz w:val="16"/>
                <w:szCs w:val="16"/>
              </w:rPr>
              <w:t xml:space="preserve">'s worker provider</w:t>
            </w:r>
          </w:p>
        </w:tc>
        <w:tc>
          <w:tcPr>
            <w:tcW w:type="dxa" w:w="3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only wired execution provider simulates work with a hard-coded 800ms timeout and fails on a magic string. Retry policy explicitly not implemented — the code's own comment says so. Artifact storage commented as mock.</w:t>
            </w:r>
          </w:p>
        </w:tc>
        <w:tc>
          <w:tcPr>
            <w:tcW w:type="dxa" w:w="3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DAG scheduler itself is genuinely good — topological dispatch, priority queue, worker-pool capacity, cancellation, failure cascade. Only the thing it dispatches to is fake.</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PolicyEngine</w:t>
            </w:r>
          </w:p>
          <w:p>
            <w:pPr>
              <w:spacing w:after="0" w:line="240"/>
              <w:jc w:val="left"/>
            </w:pPr>
            <w:r>
              <w:rPr>
                <w:rFonts w:ascii="Calibri" w:cs="Calibri" w:eastAsia="Calibri" w:hAnsi="Calibri"/>
                <w:color w:val="1A1A1A"/>
                <w:sz w:val="16"/>
                <w:szCs w:val="16"/>
              </w:rPr>
              <w:t xml:space="preserve"> in platform-api</w:t>
            </w:r>
          </w:p>
        </w:tc>
        <w:tc>
          <w:tcPr>
            <w:tcW w:type="dxa" w:w="3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Constructed and wired into the request path with zero registered policies.</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Silently enforces nothing. </w:t>
            </w:r>
          </w:p>
          <w:p>
            <w:pPr>
              <w:spacing w:after="0" w:line="240"/>
              <w:jc w:val="left"/>
            </w:pPr>
            <w:r>
              <w:rPr>
                <w:rFonts w:ascii="Calibri" w:cs="Calibri" w:eastAsia="Calibri" w:hAnsi="Calibri"/>
                <w:color w:val="1A1A1A"/>
                <w:sz w:val="16"/>
                <w:szCs w:val="16"/>
              </w:rPr>
              <w:t xml:space="preserve">This is worse than absent, because the architecture diagram and the request path both suggest enforcement exists.</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packages/ai-gateway</w:t>
            </w:r>
          </w:p>
          <w:p>
            <w:pPr>
              <w:spacing w:after="0" w:line="240"/>
              <w:jc w:val="left"/>
            </w:pPr>
            <w:r>
              <w:rPr>
                <w:rFonts w:ascii="Calibri" w:cs="Calibri" w:eastAsia="Calibri" w:hAnsi="Calibri"/>
                <w:color w:val="1A1A1A"/>
                <w:sz w:val="16"/>
                <w:szCs w:val="16"/>
              </w:rPr>
              <w:t xml:space="preserve"> container</w:t>
            </w:r>
          </w:p>
        </w:tc>
        <w:tc>
          <w:tcPr>
            <w:tcW w:type="dxa" w:w="3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src/index.ts</w:t>
            </w:r>
          </w:p>
          <w:p>
            <w:pPr>
              <w:spacing w:after="0" w:line="240"/>
              <w:jc w:val="left"/>
            </w:pPr>
            <w:r>
              <w:rPr>
                <w:rFonts w:ascii="Calibri" w:cs="Calibri" w:eastAsia="Calibri" w:hAnsi="Calibri"/>
                <w:color w:val="1A1A1A"/>
                <w:sz w:val="16"/>
                <w:szCs w:val="16"/>
              </w:rPr>
              <w:t xml:space="preserve"> — the file the Dockerfile actually runs — is a pure barrel export. No file in the package calls .listen() or constructs an HTTP server.</w:t>
            </w:r>
          </w:p>
        </w:tc>
        <w:tc>
          <w:tcPr>
            <w:tcW w:type="dxa" w:w="3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standalone Kubernetes deployment executes some import statements and exits. Its own ingress at gateway.cerebrohive.com cannot be serving anything.</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services/gateway</w:t>
            </w:r>
          </w:p>
          <w:p>
            <w:pPr>
              <w:spacing w:after="0" w:line="240"/>
              <w:jc w:val="left"/>
            </w:pPr>
            <w:r>
              <w:rPr>
                <w:rFonts w:ascii="Calibri" w:cs="Calibri" w:eastAsia="Calibri" w:hAnsi="Calibri"/>
                <w:color w:val="1A1A1A"/>
                <w:sz w:val="16"/>
                <w:szCs w:val="16"/>
              </w:rPr>
              <w:t xml:space="preserve"> root proxy route</w:t>
            </w:r>
          </w:p>
        </w:tc>
        <w:tc>
          <w:tcPr>
            <w:tcW w:type="dxa" w:w="3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Hard-coded empty base URL instead of the captured value. Carried over unfixed from an earlier audit.</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Rust gateway's root proxy is broken, though production ingress appears to bypass the gateway entirely.</w:t>
            </w:r>
          </w:p>
        </w:tc>
      </w:tr>
    </w:tbl>
    <w:p>
      <w:pPr>
        <w:spacing w:after="140" w:before="0" w:line="276"/>
        <w:jc w:val="both"/>
      </w:pPr>
      <w:r>
        <w:rPr>
          <w:rFonts w:ascii="Calibri" w:cs="Calibri" w:eastAsia="Calibri" w:hAnsi="Calibri"/>
          <w:b/>
          <w:bCs/>
          <w:color w:val="1A1A1A"/>
          <w:sz w:val="20"/>
          <w:szCs w:val="20"/>
        </w:rPr>
        <w:t xml:space="preserve">Scaffold density, for triage only. </w:t>
      </w:r>
      <w:r>
        <w:rPr>
          <w:rFonts w:ascii="Calibri" w:cs="Calibri" w:eastAsia="Calibri" w:hAnsi="Calibri"/>
          <w:color w:val="1A1A1A"/>
          <w:sz w:val="20"/>
          <w:szCs w:val="20"/>
        </w:rPr>
        <w:t xml:space="preserve">apps/studio carries 421 flagged files out of 1,163 — the highest in the repository, and it is live in production, which raises the stakes on the audit rather than lowering them. apps/platform is next at 33, then platform-api at 22. Sixty-plus </w:t>
      </w:r>
      <w:r>
        <w:rPr>
          <w:rFonts w:ascii="Consolas" w:cs="Consolas" w:eastAsia="Consolas" w:hAnsi="Consolas"/>
          <w:color w:val="1F3864"/>
          <w:sz w:val="17"/>
          <w:szCs w:val="17"/>
        </w:rPr>
        <w:t xml:space="preserve">*-core</w:t>
      </w:r>
      <w:r>
        <w:rPr>
          <w:rFonts w:ascii="Calibri" w:cs="Calibri" w:eastAsia="Calibri" w:hAnsi="Calibri"/>
          <w:color w:val="1A1A1A"/>
          <w:sz w:val="20"/>
          <w:szCs w:val="20"/>
        </w:rPr>
        <w:t xml:space="preserve"> packages carry between one and ten hits each against roughly 350 lines apiece, which is the signature of a scaffolded domain package rather than an incomplete one.</w:t>
      </w:r>
    </w:p>
    <w:p>
      <w:pPr>
        <w:pStyle w:val="Heading2"/>
        <w:keepNext/>
        <w:spacing w:after="130" w:before="300"/>
      </w:pPr>
      <w:r>
        <w:rPr>
          <w:rFonts w:ascii="Calibri" w:cs="Calibri" w:eastAsia="Calibri" w:hAnsi="Calibri"/>
          <w:b/>
          <w:bCs/>
          <w:color w:val="134074"/>
          <w:sz w:val="25"/>
          <w:szCs w:val="25"/>
        </w:rPr>
        <w:t xml:space="preserve">3.6  The polyglot service estate</w:t>
      </w:r>
    </w:p>
    <w:p>
      <w:pPr>
        <w:spacing w:after="140" w:before="0" w:line="276"/>
        <w:jc w:val="both"/>
      </w:pPr>
      <w:r>
        <w:rPr>
          <w:rFonts w:ascii="Calibri" w:cs="Calibri" w:eastAsia="Calibri" w:hAnsi="Calibri"/>
          <w:color w:val="1A1A1A"/>
          <w:sz w:val="20"/>
          <w:szCs w:val="20"/>
        </w:rPr>
        <w:t xml:space="preserve">The most consequential discovery in the audit series is that a scanner limited to TypeScript materially undercounted the system. There is a real, coherent, well-engineered multi-agent product spanning Python, Go and TypeScript, internally named HiveSwarm, running alongside the TypeScript platform runtime.</w:t>
      </w:r>
    </w:p>
    <w:p>
      <w:pPr>
        <w:pStyle w:val="Heading3"/>
        <w:keepNext/>
        <w:spacing w:after="100" w:before="220"/>
      </w:pPr>
      <w:r>
        <w:rPr>
          <w:rFonts w:ascii="Calibri" w:cs="Calibri" w:eastAsia="Calibri" w:hAnsi="Calibri"/>
          <w:b/>
          <w:bCs/>
          <w:color w:val="2E3A4B"/>
          <w:sz w:val="21"/>
          <w:szCs w:val="21"/>
        </w:rPr>
        <w:t xml:space="preserve">Table 3.3 — Service estate and deployment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rPr>
          <w:tblHeader/>
        </w:trPr>
        <w:tc>
          <w:tcPr>
            <w:tcW w:type="dxa" w:w="2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Service</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Language</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Deployed?</w:t>
            </w:r>
          </w:p>
        </w:tc>
        <w:tc>
          <w:tcPr>
            <w:tcW w:type="dxa" w:w="34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Status</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services/gateway</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Rust / Axum</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CI-built, Helm-absent</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mostly working; one placeholder bug; production ingress appears to bypass it</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packages/ai-gateway</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TypeScript</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library; the deployed container has no server to run</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apps/platform-api</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TypeScript / Fastify</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direct ingress at api.cerebrohive.com</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services/forge-api</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TypeScript / NestJS</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correct auth; internal only</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services/agent-runner</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Python / LangChain</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mature multi-agent orchestrator (HiveSwarm)</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services/planner-service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Python / LangGraph</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sophisticated goal-to-DAG planner (HiveSwarm)</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services/swarm-api</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Go + NATS + Redis</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and substantial; other HiveSwarm services depend on it</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services/tool-gateway</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Go / Gin</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well built; serves HiveSwarm, not platform-api</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services/router-service</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Go</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CI-built, Helm-absent</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weighted agent-selection scorer; undeployed</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services/memory-service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Python</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Deployed; source unread</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services/swarm-runtime</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TypeScript</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Deployed; contains the confirmed mock planner</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services/platform-svc, academy-svc, crm-svc</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Kotlin / Spring Boot</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CI-built, Helm-absent</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Spring services; logic unread</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services/ml-svc</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 / gRPC</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CI-built, Helm-absent</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embeddings, lead scoring, recommendations, pgvector</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services/evaluation-service, learning-service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Python</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CI-built, Helm-absent</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undeployed</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services/temporal-worker</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TypeScript</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Not in the CI build matrix</w:t>
            </w:r>
          </w:p>
        </w:tc>
        <w:tc>
          <w:tcPr>
            <w:tcW w:type="dxa" w:w="3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Temporal worker with no confirmed consumer or deploy path</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apps/studio, apps/forge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TypeScript / Next.js</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 + staging</w:t>
            </w:r>
          </w:p>
        </w:tc>
        <w:tc>
          <w:tcPr>
            <w:tcW w:type="dxa" w:w="3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Live; studio carries the highest scaffold density in the repository</w:t>
            </w:r>
          </w:p>
        </w:tc>
      </w:tr>
    </w:tbl>
    <w:p>
      <w:pPr>
        <w:spacing w:after="140" w:before="0" w:line="276"/>
        <w:jc w:val="both"/>
      </w:pPr>
      <w:r>
        <w:rPr>
          <w:rFonts w:ascii="Calibri" w:cs="Calibri" w:eastAsia="Calibri" w:hAnsi="Calibri"/>
          <w:b/>
          <w:bCs/>
          <w:color w:val="1A1A1A"/>
          <w:sz w:val="20"/>
          <w:szCs w:val="20"/>
        </w:rPr>
        <w:t xml:space="preserve">Eight services are built by CI and absent from the Helm chart. </w:t>
      </w:r>
      <w:r>
        <w:rPr>
          <w:rFonts w:ascii="Calibri" w:cs="Calibri" w:eastAsia="Calibri" w:hAnsi="Calibri"/>
          <w:color w:val="1A1A1A"/>
          <w:sz w:val="20"/>
          <w:szCs w:val="20"/>
        </w:rPr>
        <w:t xml:space="preserve">The repository contains no evidence either way as to whether they deploy through some mechanism outside it, or simply are not deployed anywhere. That includes the Rust gateway that the architecture positions as the edge, and all three Kotlin business services. This is a governance gap as much as a technical one — the repository does not know what is running.</w:t>
      </w:r>
    </w:p>
    <w:p>
      <w:pPr>
        <w:pStyle w:val="Heading2"/>
        <w:keepNext/>
        <w:spacing w:after="130" w:before="300"/>
      </w:pPr>
      <w:r>
        <w:rPr>
          <w:rFonts w:ascii="Calibri" w:cs="Calibri" w:eastAsia="Calibri" w:hAnsi="Calibri"/>
          <w:b/>
          <w:bCs/>
          <w:color w:val="134074"/>
          <w:sz w:val="25"/>
          <w:szCs w:val="25"/>
        </w:rPr>
        <w:t xml:space="preserve">3.7  Critical finding 1 — authentication and 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62B2B"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A62B2B"/>
                <w:sz w:val="19"/>
                <w:szCs w:val="19"/>
              </w:rPr>
              <w:t xml:space="preserve">P0 — confirmed at repository level, unresolved against the live cluster</w:t>
            </w:r>
          </w:p>
          <w:p>
            <w:pPr>
              <w:spacing w:after="60" w:line="264"/>
              <w:jc w:val="both"/>
            </w:pPr>
            <w:r>
              <w:rPr>
                <w:rFonts w:ascii="Calibri" w:cs="Calibri" w:eastAsia="Calibri" w:hAnsi="Calibri"/>
                <w:color w:val="1A1A1A"/>
                <w:sz w:val="19"/>
                <w:szCs w:val="19"/>
              </w:rPr>
              <w:t xml:space="preserve">The middleware that populates the request context — the single function every route trusts as ground truth for who is asking — read </w:t>
            </w:r>
            <w:r>
              <w:rPr>
                <w:rFonts w:ascii="Consolas" w:cs="Consolas" w:eastAsia="Consolas" w:hAnsi="Consolas"/>
                <w:color w:val="1F3864"/>
                <w:sz w:val="17"/>
                <w:szCs w:val="17"/>
              </w:rPr>
              <w:t xml:space="preserve">tenantId</w:t>
            </w:r>
            <w:r>
              <w:rPr>
                <w:rFonts w:ascii="Calibri" w:cs="Calibri" w:eastAsia="Calibri" w:hAnsi="Calibri"/>
                <w:color w:val="1A1A1A"/>
                <w:sz w:val="19"/>
                <w:szCs w:val="19"/>
              </w:rPr>
              <w:t xml:space="preserve">, </w:t>
            </w:r>
            <w:r>
              <w:rPr>
                <w:rFonts w:ascii="Consolas" w:cs="Consolas" w:eastAsia="Consolas" w:hAnsi="Consolas"/>
                <w:color w:val="1F3864"/>
                <w:sz w:val="17"/>
                <w:szCs w:val="17"/>
              </w:rPr>
              <w:t xml:space="preserve">workspaceId</w:t>
            </w:r>
            <w:r>
              <w:rPr>
                <w:rFonts w:ascii="Calibri" w:cs="Calibri" w:eastAsia="Calibri" w:hAnsi="Calibri"/>
                <w:color w:val="1A1A1A"/>
                <w:sz w:val="19"/>
                <w:szCs w:val="19"/>
              </w:rPr>
              <w:t xml:space="preserve"> and </w:t>
            </w:r>
            <w:r>
              <w:rPr>
                <w:rFonts w:ascii="Consolas" w:cs="Consolas" w:eastAsia="Consolas" w:hAnsi="Consolas"/>
                <w:color w:val="1F3864"/>
                <w:sz w:val="17"/>
                <w:szCs w:val="17"/>
              </w:rPr>
              <w:t xml:space="preserve">userId</w:t>
            </w:r>
            <w:r>
              <w:rPr>
                <w:rFonts w:ascii="Calibri" w:cs="Calibri" w:eastAsia="Calibri" w:hAnsi="Calibri"/>
                <w:color w:val="1A1A1A"/>
                <w:sz w:val="19"/>
                <w:szCs w:val="19"/>
              </w:rPr>
              <w:t xml:space="preserve"> directly and exclusively from client-supplied headers, with an in-source comment stating that this is demonstration code standing in for real authentication.</w:t>
            </w:r>
          </w:p>
          <w:p>
            <w:pPr>
              <w:spacing w:after="60" w:line="264"/>
              <w:jc w:val="both"/>
            </w:pPr>
            <w:r>
              <w:rPr>
                <w:rFonts w:ascii="Calibri" w:cs="Calibri" w:eastAsia="Calibri" w:hAnsi="Calibri"/>
                <w:color w:val="1A1A1A"/>
                <w:sz w:val="19"/>
                <w:szCs w:val="19"/>
              </w:rPr>
              <w:t xml:space="preserve">Every downstream tenant-isolation check was therefore validating the fake context against itself. Checks of the form </w:t>
            </w:r>
            <w:r>
              <w:rPr>
                <w:rFonts w:ascii="Consolas" w:cs="Consolas" w:eastAsia="Consolas" w:hAnsi="Consolas"/>
                <w:color w:val="1F3864"/>
                <w:sz w:val="17"/>
                <w:szCs w:val="17"/>
              </w:rPr>
              <w:t xml:space="preserve">agent.workspaceId !== workspaceId</w:t>
            </w:r>
            <w:r>
              <w:rPr>
                <w:rFonts w:ascii="Calibri" w:cs="Calibri" w:eastAsia="Calibri" w:hAnsi="Calibri"/>
                <w:color w:val="1A1A1A"/>
                <w:sz w:val="19"/>
                <w:szCs w:val="19"/>
              </w:rPr>
              <w:t xml:space="preserve"> are correct logic over an untrustworthy input. Setting a different workspace header passes every one of them. No privilege escalation is required; it is the default read path.</w:t>
            </w:r>
          </w:p>
        </w:tc>
      </w:tr>
    </w:tbl>
    <w:p>
      <w:pPr>
        <w:spacing w:after="140" w:before="0" w:line="276"/>
        <w:jc w:val="both"/>
      </w:pPr>
      <w:r>
        <w:rPr>
          <w:rFonts w:ascii="Calibri" w:cs="Calibri" w:eastAsia="Calibri" w:hAnsi="Calibri"/>
          <w:b/>
          <w:bCs/>
          <w:color w:val="1A1A1A"/>
          <w:sz w:val="20"/>
          <w:szCs w:val="20"/>
        </w:rPr>
        <w:t xml:space="preserve">Why this is worse than simply missing authentication. </w:t>
      </w:r>
      <w:r>
        <w:rPr>
          <w:rFonts w:ascii="Calibri" w:cs="Calibri" w:eastAsia="Calibri" w:hAnsi="Calibri"/>
          <w:color w:val="1A1A1A"/>
          <w:sz w:val="20"/>
          <w:szCs w:val="20"/>
        </w:rPr>
        <w:t xml:space="preserve">A service with no authorisation layer is obviously unsafe and gets treated accordingly. A service with a look-alike authorisation layer that provides no protection is worse, because reviewers, architects and diagrams all report that isolation exists. The shared ingress that fronts studio, forge, platform-api and ai-gateway has real WAF with the OWASP core rule set, real rate limiting, real TLS and real security headers — and no authentication annotation of any kind. None of the real controls is authentication.</w:t>
      </w:r>
    </w:p>
    <w:p>
      <w:pPr>
        <w:pStyle w:val="Heading3"/>
        <w:keepNext/>
        <w:spacing w:after="100" w:before="220"/>
      </w:pPr>
      <w:r>
        <w:rPr>
          <w:rFonts w:ascii="Calibri" w:cs="Calibri" w:eastAsia="Calibri" w:hAnsi="Calibri"/>
          <w:b/>
          <w:bCs/>
          <w:color w:val="2E3A4B"/>
          <w:sz w:val="21"/>
          <w:szCs w:val="21"/>
        </w:rPr>
        <w:t xml:space="preserve">Remediation already implemented</w:t>
      </w:r>
    </w:p>
    <w:p>
      <w:pPr>
        <w:spacing w:after="140" w:before="0" w:line="276"/>
        <w:jc w:val="both"/>
      </w:pPr>
      <w:r>
        <w:rPr>
          <w:rFonts w:ascii="Calibri" w:cs="Calibri" w:eastAsia="Calibri" w:hAnsi="Calibri"/>
          <w:b/>
          <w:bCs/>
          <w:color w:val="1A1A1A"/>
          <w:sz w:val="20"/>
          <w:szCs w:val="20"/>
        </w:rPr>
        <w:t xml:space="preserve">Code only, not yet deployed or verified in the cluster. </w:t>
      </w:r>
      <w:r>
        <w:rPr>
          <w:rFonts w:ascii="Calibri" w:cs="Calibri" w:eastAsia="Calibri" w:hAnsi="Calibri"/>
          <w:color w:val="1A1A1A"/>
          <w:sz w:val="20"/>
          <w:szCs w:val="20"/>
        </w:rPr>
        <w:t xml:space="preserve">The auth package turned out to contain everything the recommended stack asked for; this was a wiring gap, not a missing-capability gap. The changes made:</w:t>
      </w:r>
    </w:p>
    <w:p>
      <w:pPr>
        <w:pStyle w:val="ListParagraph"/>
        <w:numPr>
          <w:ilvl w:val="0"/>
          <w:numId w:val="2"/>
        </w:numPr>
        <w:spacing w:after="70" w:line="268"/>
      </w:pPr>
      <w:r>
        <w:rPr>
          <w:rFonts w:ascii="Calibri" w:cs="Calibri" w:eastAsia="Calibri" w:hAnsi="Calibri"/>
          <w:color w:val="1A1A1A"/>
          <w:sz w:val="20"/>
          <w:szCs w:val="20"/>
        </w:rPr>
        <w:t xml:space="preserve">platform-api now declares </w:t>
      </w:r>
      <w:r>
        <w:rPr>
          <w:rFonts w:ascii="Consolas" w:cs="Consolas" w:eastAsia="Consolas" w:hAnsi="Consolas"/>
          <w:color w:val="1F3864"/>
          <w:sz w:val="17"/>
          <w:szCs w:val="17"/>
        </w:rPr>
        <w:t xml:space="preserve">@cerebro/auth</w:t>
      </w:r>
      <w:r>
        <w:rPr>
          <w:rFonts w:ascii="Calibri" w:cs="Calibri" w:eastAsia="Calibri" w:hAnsi="Calibri"/>
          <w:color w:val="1A1A1A"/>
          <w:sz w:val="20"/>
          <w:szCs w:val="20"/>
        </w:rPr>
        <w:t xml:space="preserve"> as a dependency.</w:t>
      </w:r>
    </w:p>
    <w:p>
      <w:pPr>
        <w:pStyle w:val="ListParagraph"/>
        <w:numPr>
          <w:ilvl w:val="0"/>
          <w:numId w:val="2"/>
        </w:numPr>
        <w:spacing w:after="70" w:line="268"/>
      </w:pPr>
      <w:r>
        <w:rPr>
          <w:rFonts w:ascii="Calibri" w:cs="Calibri" w:eastAsia="Calibri" w:hAnsi="Calibri"/>
          <w:color w:val="1A1A1A"/>
          <w:sz w:val="20"/>
          <w:szCs w:val="20"/>
        </w:rPr>
        <w:t xml:space="preserve">A new Fastify preHandler mirrors forge-api's guard: extracts the bearer token, verifies it, returns 401 on missing, invalid or expired tokens, and on success overwrites tenant, user, role and permission context from the verified token claims.</w:t>
      </w:r>
    </w:p>
    <w:p>
      <w:pPr>
        <w:pStyle w:val="ListParagraph"/>
        <w:numPr>
          <w:ilvl w:val="0"/>
          <w:numId w:val="2"/>
        </w:numPr>
        <w:spacing w:after="70" w:line="268"/>
      </w:pPr>
      <w:r>
        <w:rPr>
          <w:rFonts w:ascii="Calibri" w:cs="Calibri" w:eastAsia="Calibri" w:hAnsi="Calibri"/>
          <w:color w:val="1A1A1A"/>
          <w:sz w:val="20"/>
          <w:szCs w:val="20"/>
        </w:rPr>
        <w:t xml:space="preserve">The header-based mock was stripped from the request-context middleware; trace and correlation IDs still come from headers, which is fine because they are not a security boundary.</w:t>
      </w:r>
    </w:p>
    <w:p>
      <w:pPr>
        <w:pStyle w:val="ListParagraph"/>
        <w:numPr>
          <w:ilvl w:val="0"/>
          <w:numId w:val="2"/>
        </w:numPr>
        <w:spacing w:after="70" w:line="268"/>
      </w:pPr>
      <w:r>
        <w:rPr>
          <w:rFonts w:ascii="Calibri" w:cs="Calibri" w:eastAsia="Calibri" w:hAnsi="Calibri"/>
          <w:color w:val="1A1A1A"/>
          <w:sz w:val="20"/>
          <w:szCs w:val="20"/>
        </w:rPr>
        <w:t xml:space="preserve">Route registration was restructured so the auth hook applies to a properly encapsulated child context. This is mechanical, not cosmetic: Fastify root hooks cascade to everything, so health checks would have started requiring a token and Kubernetes would never have marked the pod ready.</w:t>
      </w:r>
    </w:p>
    <w:p>
      <w:pPr>
        <w:pStyle w:val="ListParagraph"/>
        <w:numPr>
          <w:ilvl w:val="0"/>
          <w:numId w:val="2"/>
        </w:numPr>
        <w:spacing w:after="70" w:line="268"/>
      </w:pPr>
      <w:r>
        <w:rPr>
          <w:rFonts w:ascii="Calibri" w:cs="Calibri" w:eastAsia="Calibri" w:hAnsi="Calibri"/>
          <w:color w:val="1A1A1A"/>
          <w:sz w:val="20"/>
          <w:szCs w:val="20"/>
        </w:rPr>
        <w:t xml:space="preserve">A hard-coded port that ignored the injected </w:t>
      </w:r>
      <w:r>
        <w:rPr>
          <w:rFonts w:ascii="Consolas" w:cs="Consolas" w:eastAsia="Consolas" w:hAnsi="Consolas"/>
          <w:color w:val="1F3864"/>
          <w:sz w:val="17"/>
          <w:szCs w:val="17"/>
        </w:rPr>
        <w:t xml:space="preserve">PORT</w:t>
      </w:r>
      <w:r>
        <w:rPr>
          <w:rFonts w:ascii="Calibri" w:cs="Calibri" w:eastAsia="Calibri" w:hAnsi="Calibri"/>
          <w:color w:val="1A1A1A"/>
          <w:sz w:val="20"/>
          <w:szCs w:val="20"/>
        </w:rPr>
        <w:t xml:space="preserve"> environment variable was fixed. The Helm chart injects 4000; the process listened on 3000. Readiness probes against 4000 would never have passed, independent of authentication.</w:t>
      </w:r>
    </w:p>
    <w:p>
      <w:pPr>
        <w:pStyle w:val="Heading3"/>
        <w:keepNext/>
        <w:spacing w:after="100" w:before="220"/>
      </w:pPr>
      <w:r>
        <w:rPr>
          <w:rFonts w:ascii="Calibri" w:cs="Calibri" w:eastAsia="Calibri" w:hAnsi="Calibri"/>
          <w:b/>
          <w:bCs/>
          <w:color w:val="2E3A4B"/>
          <w:sz w:val="21"/>
          <w:szCs w:val="21"/>
        </w:rPr>
        <w:t xml:space="preserve">What remains open — stated rather than quietly closed</w:t>
      </w:r>
    </w:p>
    <w:p>
      <w:pPr>
        <w:pStyle w:val="ListParagraph"/>
        <w:numPr>
          <w:ilvl w:val="0"/>
          <w:numId w:val="2"/>
        </w:numPr>
        <w:spacing w:after="70" w:line="268"/>
      </w:pPr>
      <w:r>
        <w:rPr>
          <w:rFonts w:ascii="Calibri" w:cs="Calibri" w:eastAsia="Calibri" w:hAnsi="Calibri"/>
          <w:b/>
          <w:bCs/>
          <w:color w:val="1A1A1A"/>
          <w:sz w:val="20"/>
          <w:szCs w:val="20"/>
        </w:rPr>
        <w:t xml:space="preserve">Workspace ownership. </w:t>
      </w:r>
      <w:r>
        <w:rPr>
          <w:rFonts w:ascii="Calibri" w:cs="Calibri" w:eastAsia="Calibri" w:hAnsi="Calibri"/>
          <w:color w:val="1A1A1A"/>
          <w:sz w:val="20"/>
          <w:szCs w:val="20"/>
        </w:rPr>
        <w:t xml:space="preserve">The token proves organisation membership, not which workspace inside that organisation. Workspace ID is still read from a header, so nothing yet confirms the authenticated tenant owns the workspace named. Closing this needs a workspace-to-tenant ownership lookup in the data layer. Scheduled at week 3.</w:t>
      </w:r>
    </w:p>
    <w:p>
      <w:pPr>
        <w:pStyle w:val="ListParagraph"/>
        <w:numPr>
          <w:ilvl w:val="0"/>
          <w:numId w:val="2"/>
        </w:numPr>
        <w:spacing w:after="70" w:line="268"/>
      </w:pPr>
      <w:r>
        <w:rPr>
          <w:rFonts w:ascii="Calibri" w:cs="Calibri" w:eastAsia="Calibri" w:hAnsi="Calibri"/>
          <w:b/>
          <w:bCs/>
          <w:color w:val="1A1A1A"/>
          <w:sz w:val="20"/>
          <w:szCs w:val="20"/>
        </w:rPr>
        <w:t xml:space="preserve">The AI gateway. </w:t>
      </w:r>
      <w:r>
        <w:rPr>
          <w:rFonts w:ascii="Calibri" w:cs="Calibri" w:eastAsia="Calibri" w:hAnsi="Calibri"/>
          <w:color w:val="1A1A1A"/>
          <w:sz w:val="20"/>
          <w:szCs w:val="20"/>
        </w:rPr>
        <w:t xml:space="preserve">"Add JWT middleware to ai-gateway" is not a well-defined task, because there is no server to add it to. That is a build-a-service decision, not a port-a-pattern decision.</w:t>
      </w:r>
    </w:p>
    <w:p>
      <w:pPr>
        <w:pStyle w:val="ListParagraph"/>
        <w:numPr>
          <w:ilvl w:val="0"/>
          <w:numId w:val="2"/>
        </w:numPr>
        <w:spacing w:after="70" w:line="268"/>
      </w:pPr>
      <w:r>
        <w:rPr>
          <w:rFonts w:ascii="Calibri" w:cs="Calibri" w:eastAsia="Calibri" w:hAnsi="Calibri"/>
          <w:b/>
          <w:bCs/>
          <w:color w:val="1A1A1A"/>
          <w:sz w:val="20"/>
          <w:szCs w:val="20"/>
        </w:rPr>
        <w:t xml:space="preserve">RBAC enforcement. </w:t>
      </w:r>
      <w:r>
        <w:rPr>
          <w:rFonts w:ascii="Calibri" w:cs="Calibri" w:eastAsia="Calibri" w:hAnsi="Calibri"/>
          <w:color w:val="1A1A1A"/>
          <w:sz w:val="20"/>
          <w:szCs w:val="20"/>
        </w:rPr>
        <w:t xml:space="preserve">The permission machinery exists and is not called from any route. Authentication without authorisation is half the control.</w:t>
      </w:r>
    </w:p>
    <w:p>
      <w:pPr>
        <w:pStyle w:val="ListParagraph"/>
        <w:numPr>
          <w:ilvl w:val="0"/>
          <w:numId w:val="2"/>
        </w:numPr>
        <w:spacing w:after="70" w:line="268"/>
      </w:pPr>
      <w:r>
        <w:rPr>
          <w:rFonts w:ascii="Calibri" w:cs="Calibri" w:eastAsia="Calibri" w:hAnsi="Calibri"/>
          <w:b/>
          <w:bCs/>
          <w:color w:val="1A1A1A"/>
          <w:sz w:val="20"/>
          <w:szCs w:val="20"/>
        </w:rPr>
        <w:t xml:space="preserve">Audit logging. </w:t>
      </w:r>
      <w:r>
        <w:rPr>
          <w:rFonts w:ascii="Calibri" w:cs="Calibri" w:eastAsia="Calibri" w:hAnsi="Calibri"/>
          <w:color w:val="1A1A1A"/>
          <w:sz w:val="20"/>
          <w:szCs w:val="20"/>
        </w:rPr>
        <w:t xml:space="preserve">An audit logger is constructed and passed into the application service; whether it is invoked anywhere, and what identity it records, has not been verified.</w:t>
      </w:r>
    </w:p>
    <w:p>
      <w:pPr>
        <w:pStyle w:val="ListParagraph"/>
        <w:numPr>
          <w:ilvl w:val="0"/>
          <w:numId w:val="2"/>
        </w:numPr>
        <w:spacing w:after="70" w:line="268"/>
      </w:pPr>
      <w:r>
        <w:rPr>
          <w:rFonts w:ascii="Calibri" w:cs="Calibri" w:eastAsia="Calibri" w:hAnsi="Calibri"/>
          <w:b/>
          <w:bCs/>
          <w:color w:val="1A1A1A"/>
          <w:sz w:val="20"/>
          <w:szCs w:val="20"/>
        </w:rPr>
        <w:t xml:space="preserve">Tests. </w:t>
      </w:r>
      <w:r>
        <w:rPr>
          <w:rFonts w:ascii="Calibri" w:cs="Calibri" w:eastAsia="Calibri" w:hAnsi="Calibri"/>
          <w:color w:val="1A1A1A"/>
          <w:sz w:val="20"/>
          <w:szCs w:val="20"/>
        </w:rPr>
        <w:t xml:space="preserve">No coverage of the authenticated, unauthenticated, invalid-token and cross-tenant scenarios. Until those exist as a permanent regression suite, the fix is a point-in-time claim.</w:t>
      </w:r>
    </w:p>
    <w:p>
      <w:pPr>
        <w:pStyle w:val="Heading2"/>
        <w:keepNext/>
        <w:spacing w:after="130" w:before="300"/>
      </w:pPr>
      <w:r>
        <w:rPr>
          <w:rFonts w:ascii="Calibri" w:cs="Calibri" w:eastAsia="Calibri" w:hAnsi="Calibri"/>
          <w:b/>
          <w:bCs/>
          <w:color w:val="134074"/>
          <w:sz w:val="25"/>
          <w:szCs w:val="25"/>
        </w:rPr>
        <w:t xml:space="preserve">3.8  Critical finding 2 — the Helm chart defines every service twice</w:t>
      </w:r>
    </w:p>
    <w:p>
      <w:pPr>
        <w:spacing w:after="140" w:before="0" w:line="276"/>
        <w:jc w:val="both"/>
      </w:pPr>
      <w:r>
        <w:rPr>
          <w:rFonts w:ascii="Calibri" w:cs="Calibri" w:eastAsia="Calibri" w:hAnsi="Calibri"/>
          <w:color w:val="1A1A1A"/>
          <w:sz w:val="20"/>
          <w:szCs w:val="20"/>
        </w:rPr>
        <w:t xml:space="preserve">The chart contains two template generations that both render into the same release, defining the same Kubernetes objects with the same names in the same namespace, keyed off two different values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
            </w:r>
          </w:p>
        </w:tc>
        <w:tc>
          <w:tcPr>
            <w:tcW w:type="dxa" w:w="373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Generation 1</w:t>
            </w:r>
          </w:p>
        </w:tc>
        <w:tc>
          <w:tcPr>
            <w:tcW w:type="dxa" w:w="373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Generation 2</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Files</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service.yaml, deployment.yaml, rollout.yaml</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deployments.yaml (a reusable macro despite the filename)</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Values key style</w:t>
            </w:r>
          </w:p>
        </w:tc>
        <w:tc>
          <w:tcPr>
            <w:tcW w:type="dxa" w:w="373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snake_case (ai_gateway)</w:t>
            </w:r>
          </w:p>
        </w:tc>
        <w:tc>
          <w:tcPr>
            <w:tcW w:type="dxa" w:w="373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camelCase (aiGateway) — matches values.yaml's actual structure</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Services covered</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5</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All 11 deployed services</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Gating</w:t>
            </w:r>
          </w:p>
        </w:tc>
        <w:tc>
          <w:tcPr>
            <w:tcW w:type="dxa" w:w="373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Gated on rollouts.enabled being false</w:t>
            </w:r>
          </w:p>
        </w:tc>
        <w:tc>
          <w:tcPr>
            <w:tcW w:type="dxa" w:w="373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Ungated. Always renders.</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PORT injection</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Yes, and containerPort and probes match it</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No PORT env var at all</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Maturity</w:t>
            </w:r>
          </w:p>
        </w:tc>
        <w:tc>
          <w:tcPr>
            <w:tcW w:type="dxa" w:w="373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Higher — db-migrate initContainer, second secret mount, topology spread, pod anti-affinity</w:t>
            </w:r>
          </w:p>
        </w:tc>
        <w:tc>
          <w:tcPr>
            <w:tcW w:type="dxa" w:w="373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Lower, but broader coverage</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Renders Ingress</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Shared ingress.yaml</w:t>
            </w:r>
          </w:p>
        </w:tc>
        <w:tc>
          <w:tcPr>
            <w:tcW w:type="dxa" w:w="373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Its own per-service ingress at the same hostname</w:t>
            </w:r>
          </w:p>
        </w:tc>
      </w:tr>
    </w:tbl>
    <w:p>
      <w:pPr>
        <w:spacing w:after="140" w:before="0" w:line="276"/>
        <w:jc w:val="both"/>
      </w:pPr>
      <w:r>
        <w:rPr>
          <w:rFonts w:ascii="Calibri" w:cs="Calibri" w:eastAsia="Calibri" w:hAnsi="Calibri"/>
          <w:b/>
          <w:bCs/>
          <w:color w:val="1A1A1A"/>
          <w:sz w:val="20"/>
          <w:szCs w:val="20"/>
        </w:rPr>
        <w:t xml:space="preserve">The production consequence. </w:t>
      </w:r>
      <w:r>
        <w:rPr>
          <w:rFonts w:ascii="Calibri" w:cs="Calibri" w:eastAsia="Calibri" w:hAnsi="Calibri"/>
          <w:color w:val="1A1A1A"/>
          <w:sz w:val="20"/>
          <w:szCs w:val="20"/>
        </w:rPr>
        <w:t xml:space="preserve">Production sets </w:t>
      </w:r>
      <w:r>
        <w:rPr>
          <w:rFonts w:ascii="Consolas" w:cs="Consolas" w:eastAsia="Consolas" w:hAnsi="Consolas"/>
          <w:color w:val="1F3864"/>
          <w:sz w:val="17"/>
          <w:szCs w:val="17"/>
        </w:rPr>
        <w:t xml:space="preserve">rollouts.enabled: true</w:t>
      </w:r>
      <w:r>
        <w:rPr>
          <w:rFonts w:ascii="Calibri" w:cs="Calibri" w:eastAsia="Calibri" w:hAnsi="Calibri"/>
          <w:color w:val="1A1A1A"/>
          <w:sz w:val="20"/>
          <w:szCs w:val="20"/>
        </w:rPr>
        <w:t xml:space="preserve">, which switches off generation 1's Deployment. Nothing switches off generation 2. So in production specifically there is a real possibility of an Argo Rollout and a plain Deployment both trying to own pods with the same labels, and of two Ingress objects claiming the same hostname. Which one wins depends on Helm's rendering order and on how the cluster reconciles identical object identities — determinable only by rendering the chart against the live values, not from the repository.</w:t>
      </w:r>
    </w:p>
    <w:p>
      <w:pPr>
        <w:spacing w:after="140" w:before="0" w:line="276"/>
        <w:jc w:val="both"/>
      </w:pPr>
      <w:r>
        <w:rPr>
          <w:rFonts w:ascii="Calibri" w:cs="Calibri" w:eastAsia="Calibri" w:hAnsi="Calibri"/>
          <w:b/>
          <w:bCs/>
          <w:color w:val="1A1A1A"/>
          <w:sz w:val="20"/>
          <w:szCs w:val="20"/>
        </w:rPr>
        <w:t xml:space="preserve">A second-order consequence worth its own mention. </w:t>
      </w:r>
      <w:r>
        <w:rPr>
          <w:rFonts w:ascii="Calibri" w:cs="Calibri" w:eastAsia="Calibri" w:hAnsi="Calibri"/>
          <w:color w:val="1A1A1A"/>
          <w:sz w:val="20"/>
          <w:szCs w:val="20"/>
        </w:rPr>
        <w:t xml:space="preserve">The AI provider secret is mounted only by generation 1, and only for ai-gateway and forge-api. platform-api never receives it under either generation. Since platform-api is the process that actually constructs the gateway in-process, and the gateway factory only enables a provider when the corresponding API key is present in the environment, this is a plausible functional failure independent of everything else: the service that needs the keys may not be receiving them.</w:t>
      </w:r>
    </w:p>
    <w:p>
      <w:pPr>
        <w:pStyle w:val="Heading2"/>
        <w:keepNext/>
        <w:spacing w:after="130" w:before="300"/>
      </w:pPr>
      <w:r>
        <w:rPr>
          <w:rFonts w:ascii="Calibri" w:cs="Calibri" w:eastAsia="Calibri" w:hAnsi="Calibri"/>
          <w:b/>
          <w:bCs/>
          <w:color w:val="134074"/>
          <w:sz w:val="25"/>
          <w:szCs w:val="25"/>
        </w:rPr>
        <w:t xml:space="preserve">3.9  Critical finding 3 — two agent runtimes, no declared relationship</w:t>
      </w:r>
    </w:p>
    <w:p>
      <w:pPr>
        <w:spacing w:after="140" w:before="0" w:line="276"/>
        <w:jc w:val="both"/>
      </w:pPr>
      <w:r>
        <w:rPr>
          <w:rFonts w:ascii="Calibri" w:cs="Calibri" w:eastAsia="Calibri" w:hAnsi="Calibri"/>
          <w:color w:val="1A1A1A"/>
          <w:sz w:val="20"/>
          <w:szCs w:val="20"/>
        </w:rPr>
        <w:t xml:space="preserve">HiveSwarm — Python agent-runner, Python LangGraph planner, Go swarm API, Go router, Go tool gateway — is a real multi-agent orchestration product. The platform runtime — platform-api plus the agent-builder capability plus the TypeScript ai-gateway — is a real single-agent conversation product. Both are deployed. Neither appears in the other's route table. The tool gateway serves HiveSwarm, not platform-api. platform-api does not proxy to the AI gateway over the network; it imports it in-process.</w:t>
      </w:r>
    </w:p>
    <w:p>
      <w:pPr>
        <w:spacing w:after="140" w:before="0" w:line="276"/>
        <w:jc w:val="both"/>
      </w:pPr>
      <w:r>
        <w:rPr>
          <w:rFonts w:ascii="Calibri" w:cs="Calibri" w:eastAsia="Calibri" w:hAnsi="Calibri"/>
          <w:color w:val="1A1A1A"/>
          <w:sz w:val="20"/>
          <w:szCs w:val="20"/>
        </w:rPr>
        <w:t xml:space="preserve">These are probably different products rather than competing implementations — multi-agent orchestrated automation on one side, conversational agents on the other. That is a reasonable hypothesis and it is not a decision. Until someone declares which is the system of record, both will grow their own planner, their own memory, their own tool catalogue and their own identity model, and the cost of merging them will compound every sprint. Decision D3 in Section 1.4 exists for this, and it is dated week 4 because the memory work in M10.5 is the last point at which the two can still diverge cheaply.</w:t>
      </w:r>
    </w:p>
    <w:p>
      <w:pPr>
        <w:pStyle w:val="Heading2"/>
        <w:keepNext/>
        <w:spacing w:after="130" w:before="300"/>
      </w:pPr>
      <w:r>
        <w:rPr>
          <w:rFonts w:ascii="Calibri" w:cs="Calibri" w:eastAsia="Calibri" w:hAnsi="Calibri"/>
          <w:b/>
          <w:bCs/>
          <w:color w:val="134074"/>
          <w:sz w:val="25"/>
          <w:szCs w:val="25"/>
        </w:rPr>
        <w:t xml:space="preserve">3.10  Critical finding 4 — resilience is real in places and absent in the places that matter</w:t>
      </w:r>
    </w:p>
    <w:p>
      <w:pPr>
        <w:pStyle w:val="ListParagraph"/>
        <w:numPr>
          <w:ilvl w:val="0"/>
          <w:numId w:val="2"/>
        </w:numPr>
        <w:spacing w:after="70" w:line="268"/>
      </w:pPr>
      <w:r>
        <w:rPr>
          <w:rFonts w:ascii="Calibri" w:cs="Calibri" w:eastAsia="Calibri" w:hAnsi="Calibri"/>
          <w:b/>
          <w:bCs/>
          <w:color w:val="1A1A1A"/>
          <w:sz w:val="20"/>
          <w:szCs w:val="20"/>
        </w:rPr>
        <w:t xml:space="preserve">Confirmed real: </w:t>
      </w:r>
      <w:r>
        <w:rPr>
          <w:rFonts w:ascii="Calibri" w:cs="Calibri" w:eastAsia="Calibri" w:hAnsi="Calibri"/>
          <w:color w:val="1A1A1A"/>
          <w:sz w:val="20"/>
          <w:szCs w:val="20"/>
        </w:rPr>
        <w:t xml:space="preserve">the AI gateway's circuit breaker, rate limiter, failover ordering and retryable-error classification; the Go tool gateway's Redis retry backoff and graceful shutdown; the LangGraph planner's capped self-correction loop and cycle detection; the Go router's hard cost, latency and proficiency ceilings; the Rust gateway's JWT and rate-limiting middleware.</w:t>
      </w:r>
    </w:p>
    <w:p>
      <w:pPr>
        <w:pStyle w:val="ListParagraph"/>
        <w:numPr>
          <w:ilvl w:val="0"/>
          <w:numId w:val="2"/>
        </w:numPr>
        <w:spacing w:after="70" w:line="268"/>
      </w:pPr>
      <w:r>
        <w:rPr>
          <w:rFonts w:ascii="Calibri" w:cs="Calibri" w:eastAsia="Calibri" w:hAnsi="Calibri"/>
          <w:b/>
          <w:bCs/>
          <w:color w:val="1A1A1A"/>
          <w:sz w:val="20"/>
          <w:szCs w:val="20"/>
        </w:rPr>
        <w:t xml:space="preserve">Confirmed absent: </w:t>
      </w:r>
      <w:r>
        <w:rPr>
          <w:rFonts w:ascii="Calibri" w:cs="Calibri" w:eastAsia="Calibri" w:hAnsi="Calibri"/>
          <w:color w:val="1A1A1A"/>
          <w:sz w:val="20"/>
          <w:szCs w:val="20"/>
        </w:rPr>
        <w:t xml:space="preserve">retry policy in the swarm execution engine, which the code itself annotates as failing immediately for simplicity; policy enforcement in platform-api, which runs with an empty policy set; artifact storage in the swarm engine, commented as mock at the call site.</w:t>
      </w:r>
    </w:p>
    <w:p>
      <w:pPr>
        <w:pStyle w:val="ListParagraph"/>
        <w:numPr>
          <w:ilvl w:val="0"/>
          <w:numId w:val="2"/>
        </w:numPr>
        <w:spacing w:after="70" w:line="268"/>
      </w:pPr>
      <w:r>
        <w:rPr>
          <w:rFonts w:ascii="Calibri" w:cs="Calibri" w:eastAsia="Calibri" w:hAnsi="Calibri"/>
          <w:b/>
          <w:bCs/>
          <w:color w:val="1A1A1A"/>
          <w:sz w:val="20"/>
          <w:szCs w:val="20"/>
        </w:rPr>
        <w:t xml:space="preserve">Unverified: </w:t>
      </w:r>
      <w:r>
        <w:rPr>
          <w:rFonts w:ascii="Calibri" w:cs="Calibri" w:eastAsia="Calibri" w:hAnsi="Calibri"/>
          <w:color w:val="1A1A1A"/>
          <w:sz w:val="20"/>
          <w:szCs w:val="20"/>
        </w:rPr>
        <w:t xml:space="preserve">whether each of the eleven deployed services actually emits OTEL spans in its own source, and whether the </w:t>
      </w:r>
      <w:r>
        <w:rPr>
          <w:rFonts w:ascii="Consolas" w:cs="Consolas" w:eastAsia="Consolas" w:hAnsi="Consolas"/>
          <w:color w:val="1F3864"/>
          <w:sz w:val="17"/>
          <w:szCs w:val="17"/>
        </w:rPr>
        <w:t xml:space="preserve">/metrics</w:t>
      </w:r>
      <w:r>
        <w:rPr>
          <w:rFonts w:ascii="Calibri" w:cs="Calibri" w:eastAsia="Calibri" w:hAnsi="Calibri"/>
          <w:color w:val="1A1A1A"/>
          <w:sz w:val="20"/>
          <w:szCs w:val="20"/>
        </w:rPr>
        <w:t xml:space="preserve"> endpoint the ServiceMonitor expects exists on each of them. The ConfigMap sets the exporter target; it does not prove any service calls the SDK.</w:t>
      </w:r>
    </w:p>
    <w:p>
      <w:pPr>
        <w:pStyle w:val="Heading2"/>
        <w:keepNext/>
        <w:spacing w:after="130" w:before="300"/>
      </w:pPr>
      <w:r>
        <w:rPr>
          <w:rFonts w:ascii="Calibri" w:cs="Calibri" w:eastAsia="Calibri" w:hAnsi="Calibri"/>
          <w:b/>
          <w:bCs/>
          <w:color w:val="134074"/>
          <w:sz w:val="25"/>
          <w:szCs w:val="25"/>
        </w:rPr>
        <w:t xml:space="preserve">3.11  Web and product surface readiness</w:t>
      </w:r>
    </w:p>
    <w:p>
      <w:pPr>
        <w:spacing w:after="140" w:before="0" w:line="276"/>
        <w:jc w:val="both"/>
      </w:pPr>
      <w:r>
        <w:rPr>
          <w:rFonts w:ascii="Calibri" w:cs="Calibri" w:eastAsia="Calibri" w:hAnsi="Calibri"/>
          <w:color w:val="1A1A1A"/>
          <w:sz w:val="20"/>
          <w:szCs w:val="20"/>
        </w:rPr>
        <w:t xml:space="preserve">The public-facing surface has its own audit with a composite score of 67 out of 100. It is included because it is what a prospective customer sees before they ever reach the platform.</w:t>
      </w:r>
    </w:p>
    <w:p>
      <w:pPr>
        <w:pStyle w:val="Heading3"/>
        <w:keepNext/>
        <w:spacing w:after="100" w:before="220"/>
      </w:pPr>
      <w:r>
        <w:rPr>
          <w:rFonts w:ascii="Calibri" w:cs="Calibri" w:eastAsia="Calibri" w:hAnsi="Calibri"/>
          <w:b/>
          <w:bCs/>
          <w:color w:val="2E3A4B"/>
          <w:sz w:val="21"/>
          <w:szCs w:val="21"/>
        </w:rPr>
        <w:t xml:space="preserve">Table 3.6 — Enterprise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Dimension</w:t>
            </w:r>
          </w:p>
        </w:tc>
        <w:tc>
          <w:tcPr>
            <w:tcW w:type="dxa" w:w="1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Score</w:t>
            </w:r>
          </w:p>
        </w:tc>
        <w:tc>
          <w:tcPr>
            <w:tcW w:type="dxa" w:w="4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Verdict</w:t>
            </w:r>
          </w:p>
        </w:tc>
      </w:tr>
      <w:tr>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Navigation coverage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100%</w:t>
            </w:r>
          </w:p>
        </w:tc>
        <w:tc>
          <w:tcPr>
            <w:tcW w:type="dxa" w:w="4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Fully mapped</w:t>
            </w:r>
          </w:p>
        </w:tc>
      </w:tr>
      <w:tr>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Route integrity</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99%</w:t>
            </w:r>
          </w:p>
        </w:tc>
        <w:tc>
          <w:tcPr>
            <w:tcW w:type="dxa" w:w="4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Eleven broken internal links, ten placeholder hrefs</w:t>
            </w:r>
          </w:p>
        </w:tc>
      </w:tr>
      <w:tr>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Accessibility</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92%</w:t>
            </w:r>
          </w:p>
        </w:tc>
        <w:tc>
          <w:tcPr>
            <w:tcW w:type="dxa" w:w="4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WCAG AA, with missing alt text and aria labels outstanding</w:t>
            </w:r>
          </w:p>
        </w:tc>
      </w:tr>
      <w:tr>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Performance</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100%</w:t>
            </w:r>
          </w:p>
        </w:tc>
        <w:tc>
          <w:tcPr>
            <w:tcW w:type="dxa" w:w="4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Verified</w:t>
            </w:r>
          </w:p>
        </w:tc>
      </w:tr>
      <w:tr>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Downloads and assets</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100%</w:t>
            </w:r>
          </w:p>
        </w:tc>
        <w:tc>
          <w:tcPr>
            <w:tcW w:type="dxa" w:w="4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Verified</w:t>
            </w:r>
          </w:p>
        </w:tc>
      </w:tr>
      <w:tr>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SEO readiness</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38%</w:t>
            </w:r>
          </w:p>
        </w:tc>
        <w:tc>
          <w:tcPr>
            <w:tcW w:type="dxa" w:w="4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62% of pages lack generated metadata</w:t>
            </w:r>
          </w:p>
        </w:tc>
      </w:tr>
      <w:tr>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Analytics coverage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8%</w:t>
            </w:r>
          </w:p>
        </w:tc>
        <w:tc>
          <w:tcPr>
            <w:tcW w:type="dxa" w:w="4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Effectively untracked. </w:t>
            </w:r>
          </w:p>
          <w:p>
            <w:pPr>
              <w:spacing w:after="0" w:line="240"/>
              <w:jc w:val="left"/>
            </w:pPr>
            <w:r>
              <w:rPr>
                <w:rFonts w:ascii="Calibri" w:cs="Calibri" w:eastAsia="Calibri" w:hAnsi="Calibri"/>
                <w:color w:val="1A1A1A"/>
                <w:sz w:val="16"/>
                <w:szCs w:val="16"/>
              </w:rPr>
              <w:t xml:space="preserve">Calls to action are not instrumented, so funnel performance is unknowable.</w:t>
            </w:r>
          </w:p>
        </w:tc>
      </w:tr>
      <w:tr>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system parity</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0%</w:t>
            </w:r>
          </w:p>
        </w:tc>
        <w:tc>
          <w:tcPr>
            <w:tcW w:type="dxa" w:w="4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Legacy CSS tokens still present alongside the token system</w:t>
            </w:r>
          </w:p>
        </w:tc>
      </w:tr>
    </w:tbl>
    <w:p>
      <w:pPr>
        <w:spacing w:after="140" w:before="0" w:line="276"/>
        <w:jc w:val="both"/>
      </w:pPr>
      <w:r>
        <w:rPr>
          <w:rFonts w:ascii="Calibri" w:cs="Calibri" w:eastAsia="Calibri" w:hAnsi="Calibri"/>
          <w:color w:val="1A1A1A"/>
          <w:sz w:val="20"/>
          <w:szCs w:val="20"/>
        </w:rPr>
        <w:t xml:space="preserve">Analytics coverage at 8% deserves particular attention from anyone evaluating go-to-market claims: it means no assertion about conversion, funnel or campaign performance on the current site can be supported by data. Section 15 treats instrumentation as a prerequisite for the launch plan rather than as a reporting nicety.</w:t>
      </w:r>
    </w:p>
    <w:p>
      <w:pPr>
        <w:pStyle w:val="Heading2"/>
        <w:keepNext/>
        <w:spacing w:after="130" w:before="300"/>
      </w:pPr>
      <w:r>
        <w:rPr>
          <w:rFonts w:ascii="Calibri" w:cs="Calibri" w:eastAsia="Calibri" w:hAnsi="Calibri"/>
          <w:b/>
          <w:bCs/>
          <w:color w:val="134074"/>
          <w:sz w:val="25"/>
          <w:szCs w:val="25"/>
        </w:rPr>
        <w:t xml:space="preserve">3.12  Summary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Verdict</w:t>
            </w:r>
          </w:p>
        </w:tc>
        <w:tc>
          <w:tcPr>
            <w:tcW w:type="dxa" w:w="71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Subsystems</w:t>
            </w:r>
          </w:p>
        </w:tc>
      </w:tr>
      <w:tr>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Defend and build on</w:t>
            </w:r>
          </w:p>
          <w:p>
            <w:pPr>
              <w:spacing w:after="0" w:line="240"/>
              <w:jc w:val="left"/>
            </w:pPr>
            <w:r>
              <w:rPr>
                <w:rFonts w:ascii="Calibri" w:cs="Calibri" w:eastAsia="Calibri" w:hAnsi="Calibri"/>
                <w:color w:val="1A1A1A"/>
                <w:sz w:val="16"/>
                <w:szCs w:val="16"/>
              </w:rPr>
              <w:t xml:space="preserve"/>
            </w:r>
          </w:p>
        </w:tc>
        <w:tc>
          <w:tcPr>
            <w:tcW w:type="dxa" w:w="7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AI gateway · auth package · forge-api · LangGraph planner · observability stack · network policy · Prisma data model · prompt library · infrastructure-as-code breadth</w:t>
            </w:r>
          </w:p>
        </w:tc>
      </w:tr>
      <w:tr>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Wire, do not redesign</w:t>
            </w:r>
          </w:p>
          <w:p>
            <w:pPr>
              <w:spacing w:after="0" w:line="240"/>
              <w:jc w:val="left"/>
            </w:pPr>
            <w:r>
              <w:rPr>
                <w:rFonts w:ascii="Calibri" w:cs="Calibri" w:eastAsia="Calibri" w:hAnsi="Calibri"/>
                <w:color w:val="1A1A1A"/>
                <w:sz w:val="16"/>
                <w:szCs w:val="16"/>
              </w:rPr>
              <w:t xml:space="preserve"/>
            </w:r>
          </w:p>
        </w:tc>
        <w:tc>
          <w:tcPr>
            <w:tcW w:type="dxa" w:w="7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Conversation and message persistence · memory and snapshots · the document-chunk-embedding-index chain · policy registration · RBAC enforcement · audit invocation</w:t>
            </w:r>
          </w:p>
        </w:tc>
      </w:tr>
      <w:tr>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Replace outright</w:t>
            </w:r>
          </w:p>
          <w:p>
            <w:pPr>
              <w:spacing w:after="0" w:line="240"/>
              <w:jc w:val="left"/>
            </w:pPr>
            <w:r>
              <w:rPr>
                <w:rFonts w:ascii="Calibri" w:cs="Calibri" w:eastAsia="Calibri" w:hAnsi="Calibri"/>
                <w:color w:val="1A1A1A"/>
                <w:sz w:val="16"/>
                <w:szCs w:val="16"/>
              </w:rPr>
              <w:t xml:space="preserve"/>
            </w:r>
          </w:p>
        </w:tc>
        <w:tc>
          <w:tcPr>
            <w:tcW w:type="dxa" w:w="7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TypeScript swarm planner · the simulated worker provider · the AI gateway container entrypoint · the Rust gateway's root proxy route</w:t>
            </w:r>
          </w:p>
        </w:tc>
      </w:tr>
      <w:tr>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Decide, then act</w:t>
            </w:r>
          </w:p>
          <w:p>
            <w:pPr>
              <w:spacing w:after="0" w:line="240"/>
              <w:jc w:val="left"/>
            </w:pPr>
            <w:r>
              <w:rPr>
                <w:rFonts w:ascii="Calibri" w:cs="Calibri" w:eastAsia="Calibri" w:hAnsi="Calibri"/>
                <w:color w:val="1A1A1A"/>
                <w:sz w:val="16"/>
                <w:szCs w:val="16"/>
              </w:rPr>
              <w:t xml:space="preserve"/>
            </w:r>
          </w:p>
        </w:tc>
        <w:tc>
          <w:tcPr>
            <w:tcW w:type="dxa" w:w="7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HiveSwarm versus platform runtime · Helm generation 1 versus 2 · the eight CI-built, undeployed services · the target service count</w:t>
            </w:r>
          </w:p>
        </w:tc>
      </w:tr>
      <w:tr>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Audit before trusting</w:t>
            </w:r>
          </w:p>
          <w:p>
            <w:pPr>
              <w:spacing w:after="0" w:line="240"/>
              <w:jc w:val="left"/>
            </w:pPr>
            <w:r>
              <w:rPr>
                <w:rFonts w:ascii="Calibri" w:cs="Calibri" w:eastAsia="Calibri" w:hAnsi="Calibri"/>
                <w:color w:val="1A1A1A"/>
                <w:sz w:val="16"/>
                <w:szCs w:val="16"/>
              </w:rPr>
              <w:t xml:space="preserve"/>
            </w:r>
          </w:p>
        </w:tc>
        <w:tc>
          <w:tcPr>
            <w:tcW w:type="dxa" w:w="7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apps/studio · the three Kotlin services · the C++ ML service · per-service OTEL emission and metrics endpoints</w:t>
            </w:r>
          </w:p>
        </w:tc>
      </w:tr>
    </w:tbl>
    <w:p>
      <w:pPr>
        <w:spacing w:after="140" w:before="0" w:line="276"/>
        <w:jc w:val="both"/>
      </w:pPr>
      <w:r>
        <w:rPr>
          <w:rFonts w:ascii="Calibri" w:cs="Calibri" w:eastAsia="Calibri" w:hAnsi="Calibri"/>
          <w:b/>
          <w:bCs/>
          <w:color w:val="1A1A1A"/>
          <w:sz w:val="20"/>
          <w:szCs w:val="20"/>
        </w:rPr>
        <w:t xml:space="preserve">The one-line conclusion. </w:t>
      </w:r>
      <w:r>
        <w:rPr>
          <w:rFonts w:ascii="Calibri" w:cs="Calibri" w:eastAsia="Calibri" w:hAnsi="Calibri"/>
          <w:color w:val="1A1A1A"/>
          <w:sz w:val="20"/>
          <w:szCs w:val="20"/>
        </w:rPr>
        <w:t xml:space="preserve">CerebroHive is roughly eighteen months of architecture ahead of its implementation and one critical security finding behind its commercial ambition. The programme in the remainder of this document closes the second gap first, converts a defined slice of the first, and stops adding to either.</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4  </w:t>
      </w:r>
      <w:r>
        <w:rPr>
          <w:rFonts w:ascii="Calibri Light" w:cs="Calibri Light" w:eastAsia="Calibri Light" w:hAnsi="Calibri Light"/>
          <w:b/>
          <w:bCs/>
          <w:color w:val="0B2545"/>
          <w:sz w:val="34"/>
          <w:szCs w:val="34"/>
        </w:rPr>
        <w:t xml:space="preserve">Programme Design</w:t>
      </w:r>
    </w:p>
    <w:p>
      <w:pPr>
        <w:spacing w:after="140" w:before="0" w:line="276"/>
        <w:jc w:val="both"/>
      </w:pPr>
      <w:r>
        <w:rPr>
          <w:rFonts w:ascii="Calibri" w:cs="Calibri" w:eastAsia="Calibri" w:hAnsi="Calibri"/>
          <w:color w:val="1A1A1A"/>
          <w:sz w:val="20"/>
          <w:szCs w:val="20"/>
        </w:rPr>
        <w:t xml:space="preserve">The programme runs for 24 calendar weeks — 120 working days — organised as six four-week milestones and twelve two-week sprints. Work is divided into seven workstreams that run concurrently with declared interfaces between them, rather than as sequential phases, because the dependencies are genuinely parallel: security cannot wait for the runtime, and the runtime cannot wait for the platform reconciliation.</w:t>
      </w:r>
    </w:p>
    <w:p>
      <w:pPr>
        <w:pStyle w:val="Heading2"/>
        <w:keepNext/>
        <w:spacing w:after="130" w:before="300"/>
      </w:pPr>
      <w:r>
        <w:rPr>
          <w:rFonts w:ascii="Calibri" w:cs="Calibri" w:eastAsia="Calibri" w:hAnsi="Calibri"/>
          <w:b/>
          <w:bCs/>
          <w:color w:val="134074"/>
          <w:sz w:val="25"/>
          <w:szCs w:val="25"/>
        </w:rPr>
        <w:t xml:space="preserve">4.1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2000"/>
        <w:gridCol w:w="1360"/>
      </w:tblGrid>
      <w:tr>
        <w:trPr>
          <w:tblHeader/>
        </w:trPr>
        <w:tc>
          <w:tcPr>
            <w:tcW w:type="dxa" w:w="2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Workstream</w:t>
            </w:r>
          </w:p>
        </w:tc>
        <w:tc>
          <w:tcPr>
            <w:tcW w:type="dxa" w:w="3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Charter</w:t>
            </w:r>
          </w:p>
        </w:tc>
        <w:tc>
          <w:tcPr>
            <w:tcW w:type="dxa" w:w="2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Accountable role</w:t>
            </w:r>
          </w:p>
        </w:tc>
        <w:tc>
          <w:tcPr>
            <w:tcW w:type="dxa" w:w="13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Peak FTE</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WS0 — Programme &amp; architecture</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Decisions D1–D6, architecture decision records, interface contracts between workstreams, weekly risk review</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VP Engineering</w:t>
            </w:r>
          </w:p>
        </w:tc>
        <w:tc>
          <w:tcPr>
            <w:tcW w:type="dxa" w:w="1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WS1 — Security &amp; identity</w:t>
            </w:r>
          </w:p>
        </w:tc>
        <w:tc>
          <w:tcPr>
            <w:tcW w:type="dxa" w:w="3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Authentication, authorisation, tenant isolation, audit, penetration testing and remediation</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Security</w:t>
            </w:r>
          </w:p>
        </w:tc>
        <w:tc>
          <w:tcPr>
            <w:tcW w:type="dxa" w:w="1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WS2 — Agent runtime</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M10.1 through M10.7: execution, tools, persistence, memory, multi-agent, SDK</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Principal Engineer, Runtime</w:t>
            </w:r>
          </w:p>
        </w:tc>
        <w:tc>
          <w:tcPr>
            <w:tcW w:type="dxa" w:w="1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WS3 — Platform &amp; infrastructure</w:t>
            </w:r>
          </w:p>
        </w:tc>
        <w:tc>
          <w:tcPr>
            <w:tcW w:type="dxa" w:w="3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Helm reconciliation, secrets, service consolidation, HiveSwarm convergence, tenant isolation at the infrastructure layer</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Platform</w:t>
            </w:r>
          </w:p>
        </w:tc>
        <w:tc>
          <w:tcPr>
            <w:tcW w:type="dxa" w:w="1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WS4 — Product surfaces</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audit and re-platform, CerebroFlow to GA, CerebroSearch delivery</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Product Engineering</w:t>
            </w:r>
          </w:p>
        </w:tc>
        <w:tc>
          <w:tcPr>
            <w:tcW w:type="dxa" w:w="1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WS5 — Quality &amp; assurance</w:t>
            </w:r>
          </w:p>
        </w:tc>
        <w:tc>
          <w:tcPr>
            <w:tcW w:type="dxa" w:w="3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Test infrastructure, CI gates, evaluation harness, load and chaos testing, SOC 2 evidence automation</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Quality</w:t>
            </w:r>
          </w:p>
        </w:tc>
        <w:tc>
          <w:tcPr>
            <w:tcW w:type="dxa" w:w="13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WS6 — Go-to-market</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partners, pricing instrumentation, beta readiness, controlled GA</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Commercial</w:t>
            </w:r>
          </w:p>
        </w:tc>
        <w:tc>
          <w:tcPr>
            <w:tcW w:type="dxa" w:w="13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r>
    </w:tbl>
    <w:p>
      <w:pPr>
        <w:pStyle w:val="Heading2"/>
        <w:keepNext/>
        <w:spacing w:after="130" w:before="300"/>
      </w:pPr>
      <w:r>
        <w:rPr>
          <w:rFonts w:ascii="Calibri" w:cs="Calibri" w:eastAsia="Calibri" w:hAnsi="Calibri"/>
          <w:b/>
          <w:bCs/>
          <w:color w:val="134074"/>
          <w:sz w:val="25"/>
          <w:szCs w:val="25"/>
        </w:rPr>
        <w:t xml:space="preserve">4.2  Operating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300"/>
        <w:gridCol w:w="3760"/>
      </w:tblGrid>
      <w:tr>
        <w:trPr>
          <w:tblHeader/>
        </w:trPr>
        <w:tc>
          <w:tcPr>
            <w:tcW w:type="dxa" w:w="2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Ceremony</w:t>
            </w:r>
          </w:p>
        </w:tc>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Frequency</w:t>
            </w:r>
          </w:p>
        </w:tc>
        <w:tc>
          <w:tcPr>
            <w:tcW w:type="dxa" w:w="13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Duration</w:t>
            </w:r>
          </w:p>
        </w:tc>
        <w:tc>
          <w:tcPr>
            <w:tcW w:type="dxa" w:w="3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Output</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Sprint planning</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Every second Monday</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 hours</w:t>
            </w:r>
          </w:p>
        </w:tc>
        <w:tc>
          <w:tcPr>
            <w:tcW w:type="dxa" w:w="3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Committed sprint backlog with a stated point total</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Daily workstream stand-up</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Daily</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15 minutes</w:t>
            </w:r>
          </w:p>
        </w:tc>
        <w:tc>
          <w:tcPr>
            <w:tcW w:type="dxa" w:w="3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Blockers surfaced within 24 hours</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Cross-workstream sync</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Weekly, Wednesday</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45 minutes</w:t>
            </w:r>
          </w:p>
        </w:tc>
        <w:tc>
          <w:tcPr>
            <w:tcW w:type="dxa" w:w="3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Interface changes and dependency handoffs</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Architecture review board</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Weekly, Thursday</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60 minutes</w:t>
            </w:r>
          </w:p>
        </w:tc>
        <w:tc>
          <w:tcPr>
            <w:tcW w:type="dxa" w:w="3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ADRs accepted or rejected; no ADR, no merge for structural change</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Risk review</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Weekly, Friday</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30 minutes</w:t>
            </w:r>
          </w:p>
        </w:tc>
        <w:tc>
          <w:tcPr>
            <w:tcW w:type="dxa" w:w="3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Risk register updated; contingency release decisions</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Sprint review and demo</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Every second Friday</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90 minutes</w:t>
            </w:r>
          </w:p>
        </w:tc>
        <w:tc>
          <w:tcPr>
            <w:tcW w:type="dxa" w:w="3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Working software demonstrated against the definition of done</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Milestone gate</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Every fourth Friday</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 hours</w:t>
            </w:r>
          </w:p>
        </w:tc>
        <w:tc>
          <w:tcPr>
            <w:tcW w:type="dxa" w:w="3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Binary pass or fail against the milestone checklist in Section 10</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partner check-in</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Monthly</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60 minutes each</w:t>
            </w:r>
          </w:p>
        </w:tc>
        <w:tc>
          <w:tcPr>
            <w:tcW w:type="dxa" w:w="3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Feedback logged against the product backlog</w:t>
            </w:r>
          </w:p>
        </w:tc>
      </w:tr>
    </w:tbl>
    <w:p>
      <w:pPr>
        <w:pStyle w:val="Heading2"/>
        <w:keepNext/>
        <w:spacing w:after="130" w:before="300"/>
      </w:pPr>
      <w:r>
        <w:rPr>
          <w:rFonts w:ascii="Calibri" w:cs="Calibri" w:eastAsia="Calibri" w:hAnsi="Calibri"/>
          <w:b/>
          <w:bCs/>
          <w:color w:val="134074"/>
          <w:sz w:val="25"/>
          <w:szCs w:val="25"/>
        </w:rPr>
        <w:t xml:space="preserve">4.3  Governing principles</w:t>
      </w:r>
    </w:p>
    <w:p>
      <w:pPr>
        <w:pStyle w:val="ListParagraph"/>
        <w:numPr>
          <w:ilvl w:val="0"/>
          <w:numId w:val="3"/>
        </w:numPr>
        <w:spacing w:after="70" w:line="268"/>
      </w:pPr>
      <w:r>
        <w:rPr>
          <w:rFonts w:ascii="Calibri" w:cs="Calibri" w:eastAsia="Calibri" w:hAnsi="Calibri"/>
          <w:b/>
          <w:bCs/>
          <w:color w:val="1A1A1A"/>
          <w:sz w:val="20"/>
          <w:szCs w:val="20"/>
        </w:rPr>
        <w:t xml:space="preserve">Finish scaffolds before creating abstractions. </w:t>
      </w:r>
      <w:r>
        <w:rPr>
          <w:rFonts w:ascii="Calibri" w:cs="Calibri" w:eastAsia="Calibri" w:hAnsi="Calibri"/>
          <w:color w:val="1A1A1A"/>
          <w:sz w:val="20"/>
          <w:szCs w:val="20"/>
        </w:rPr>
        <w:t xml:space="preserve">Before adding any package or file, answer four questions: does this capability already exist, is it partially implemented, can it be completed by integration rather than new code, and would creating it duplicate an existing subsystem. This principle is inherited verbatim from the runtime backlog and it is the single most important constraint in the programme.</w:t>
      </w:r>
    </w:p>
    <w:p>
      <w:pPr>
        <w:pStyle w:val="ListParagraph"/>
        <w:numPr>
          <w:ilvl w:val="0"/>
          <w:numId w:val="3"/>
        </w:numPr>
        <w:spacing w:after="70" w:line="268"/>
      </w:pPr>
      <w:r>
        <w:rPr>
          <w:rFonts w:ascii="Calibri" w:cs="Calibri" w:eastAsia="Calibri" w:hAnsi="Calibri"/>
          <w:b/>
          <w:bCs/>
          <w:color w:val="1A1A1A"/>
          <w:sz w:val="20"/>
          <w:szCs w:val="20"/>
        </w:rPr>
        <w:t xml:space="preserve">No phase starts until the previous definition of done passes against reality. </w:t>
      </w:r>
      <w:r>
        <w:rPr>
          <w:rFonts w:ascii="Calibri" w:cs="Calibri" w:eastAsia="Calibri" w:hAnsi="Calibri"/>
          <w:color w:val="1A1A1A"/>
          <w:sz w:val="20"/>
          <w:szCs w:val="20"/>
        </w:rPr>
        <w:t xml:space="preserve">Not against a mock. Where a phase's assumed reusable component turns out to be less real than documented, that is new information and the plan is updated — the gap is never silently absorbed into the next phase's scope.</w:t>
      </w:r>
    </w:p>
    <w:p>
      <w:pPr>
        <w:pStyle w:val="ListParagraph"/>
        <w:numPr>
          <w:ilvl w:val="0"/>
          <w:numId w:val="3"/>
        </w:numPr>
        <w:spacing w:after="70" w:line="268"/>
      </w:pPr>
      <w:r>
        <w:rPr>
          <w:rFonts w:ascii="Calibri" w:cs="Calibri" w:eastAsia="Calibri" w:hAnsi="Calibri"/>
          <w:b/>
          <w:bCs/>
          <w:color w:val="1A1A1A"/>
          <w:sz w:val="20"/>
          <w:szCs w:val="20"/>
        </w:rPr>
        <w:t xml:space="preserve">Every structural change carries an architecture decision record. </w:t>
      </w:r>
      <w:r>
        <w:rPr>
          <w:rFonts w:ascii="Calibri" w:cs="Calibri" w:eastAsia="Calibri" w:hAnsi="Calibri"/>
          <w:color w:val="1A1A1A"/>
          <w:sz w:val="20"/>
          <w:szCs w:val="20"/>
        </w:rPr>
        <w:t xml:space="preserve">Decisions D1 through D6 and every interface between workstreams are recorded, dated and owned. The record explains what was rejected, not only what was chosen.</w:t>
      </w:r>
    </w:p>
    <w:p>
      <w:pPr>
        <w:pStyle w:val="ListParagraph"/>
        <w:numPr>
          <w:ilvl w:val="0"/>
          <w:numId w:val="3"/>
        </w:numPr>
        <w:spacing w:after="70" w:line="268"/>
      </w:pPr>
      <w:r>
        <w:rPr>
          <w:rFonts w:ascii="Calibri" w:cs="Calibri" w:eastAsia="Calibri" w:hAnsi="Calibri"/>
          <w:b/>
          <w:bCs/>
          <w:color w:val="1A1A1A"/>
          <w:sz w:val="20"/>
          <w:szCs w:val="20"/>
        </w:rPr>
        <w:t xml:space="preserve">Security work cannot be deprioritised by a product deadline. </w:t>
      </w:r>
      <w:r>
        <w:rPr>
          <w:rFonts w:ascii="Calibri" w:cs="Calibri" w:eastAsia="Calibri" w:hAnsi="Calibri"/>
          <w:color w:val="1A1A1A"/>
          <w:sz w:val="20"/>
          <w:szCs w:val="20"/>
        </w:rPr>
        <w:t xml:space="preserve">WS1 has a standing veto on any release that regresses the authentication or isolation posture. This is a structural protection, because in every programme of this kind the pressure to trade it away arrives around week 16.</w:t>
      </w:r>
    </w:p>
    <w:p>
      <w:pPr>
        <w:pStyle w:val="ListParagraph"/>
        <w:numPr>
          <w:ilvl w:val="0"/>
          <w:numId w:val="3"/>
        </w:numPr>
        <w:spacing w:after="70" w:line="268"/>
      </w:pPr>
      <w:r>
        <w:rPr>
          <w:rFonts w:ascii="Calibri" w:cs="Calibri" w:eastAsia="Calibri" w:hAnsi="Calibri"/>
          <w:b/>
          <w:bCs/>
          <w:color w:val="1A1A1A"/>
          <w:sz w:val="20"/>
          <w:szCs w:val="20"/>
        </w:rPr>
        <w:t xml:space="preserve">Estimates are ranges with stated confidence. </w:t>
      </w:r>
      <w:r>
        <w:rPr>
          <w:rFonts w:ascii="Calibri" w:cs="Calibri" w:eastAsia="Calibri" w:hAnsi="Calibri"/>
          <w:color w:val="1A1A1A"/>
          <w:sz w:val="20"/>
          <w:szCs w:val="20"/>
        </w:rPr>
        <w:t xml:space="preserve">Section 7's hour figures carry confidence labels. High-confidence estimates cover wiring work against known schemas; low-confidence estimates cover the Studio audit and the HiveSwarm convergence, where scope is genuinely unknown until discovery completes.</w:t>
      </w:r>
    </w:p>
    <w:p>
      <w:pPr>
        <w:pStyle w:val="ListParagraph"/>
        <w:numPr>
          <w:ilvl w:val="0"/>
          <w:numId w:val="3"/>
        </w:numPr>
        <w:spacing w:after="70" w:line="268"/>
      </w:pPr>
      <w:r>
        <w:rPr>
          <w:rFonts w:ascii="Calibri" w:cs="Calibri" w:eastAsia="Calibri" w:hAnsi="Calibri"/>
          <w:b/>
          <w:bCs/>
          <w:color w:val="1A1A1A"/>
          <w:sz w:val="20"/>
          <w:szCs w:val="20"/>
        </w:rPr>
        <w:t xml:space="preserve">Demonstrate, do not report. </w:t>
      </w:r>
      <w:r>
        <w:rPr>
          <w:rFonts w:ascii="Calibri" w:cs="Calibri" w:eastAsia="Calibri" w:hAnsi="Calibri"/>
          <w:color w:val="1A1A1A"/>
          <w:sz w:val="20"/>
          <w:szCs w:val="20"/>
        </w:rPr>
        <w:t xml:space="preserve">A sprint review shows working software against a real endpoint. A slide describing completed work is not evidence of completed work.</w:t>
      </w:r>
    </w:p>
    <w:p>
      <w:pPr>
        <w:pStyle w:val="Heading2"/>
        <w:keepNext/>
        <w:spacing w:after="130" w:before="300"/>
      </w:pPr>
      <w:r>
        <w:rPr>
          <w:rFonts w:ascii="Calibri" w:cs="Calibri" w:eastAsia="Calibri" w:hAnsi="Calibri"/>
          <w:b/>
          <w:bCs/>
          <w:color w:val="134074"/>
          <w:sz w:val="25"/>
          <w:szCs w:val="25"/>
        </w:rPr>
        <w:t xml:space="preserve">4.4  Definition of done — programme standard</w:t>
      </w:r>
    </w:p>
    <w:p>
      <w:pPr>
        <w:spacing w:after="140" w:before="0" w:line="276"/>
        <w:jc w:val="both"/>
      </w:pPr>
      <w:r>
        <w:rPr>
          <w:rFonts w:ascii="Calibri" w:cs="Calibri" w:eastAsia="Calibri" w:hAnsi="Calibri"/>
          <w:color w:val="1A1A1A"/>
          <w:sz w:val="20"/>
          <w:szCs w:val="20"/>
        </w:rPr>
        <w:t xml:space="preserve">Applies to every work item without exception. Anything that cannot meet it is not done; it is in progress with a plausible narrative attached.</w:t>
      </w:r>
    </w:p>
    <w:p>
      <w:pPr>
        <w:pStyle w:val="ListParagraph"/>
        <w:numPr>
          <w:ilvl w:val="0"/>
          <w:numId w:val="2"/>
        </w:numPr>
        <w:spacing w:after="70" w:line="268"/>
      </w:pPr>
      <w:r>
        <w:rPr>
          <w:rFonts w:ascii="Calibri" w:cs="Calibri" w:eastAsia="Calibri" w:hAnsi="Calibri"/>
          <w:color w:val="1A1A1A"/>
          <w:sz w:val="20"/>
          <w:szCs w:val="20"/>
        </w:rPr>
        <w:t xml:space="preserve">Code merged to main behind a feature flag where user-visible.</w:t>
      </w:r>
    </w:p>
    <w:p>
      <w:pPr>
        <w:pStyle w:val="ListParagraph"/>
        <w:numPr>
          <w:ilvl w:val="0"/>
          <w:numId w:val="2"/>
        </w:numPr>
        <w:spacing w:after="70" w:line="268"/>
      </w:pPr>
      <w:r>
        <w:rPr>
          <w:rFonts w:ascii="Calibri" w:cs="Calibri" w:eastAsia="Calibri" w:hAnsi="Calibri"/>
          <w:color w:val="1A1A1A"/>
          <w:sz w:val="20"/>
          <w:szCs w:val="20"/>
        </w:rPr>
        <w:t xml:space="preserve">Unit tests covering the happy path and at least two failure modes.</w:t>
      </w:r>
    </w:p>
    <w:p>
      <w:pPr>
        <w:pStyle w:val="ListParagraph"/>
        <w:numPr>
          <w:ilvl w:val="0"/>
          <w:numId w:val="2"/>
        </w:numPr>
        <w:spacing w:after="70" w:line="268"/>
      </w:pPr>
      <w:r>
        <w:rPr>
          <w:rFonts w:ascii="Calibri" w:cs="Calibri" w:eastAsia="Calibri" w:hAnsi="Calibri"/>
          <w:color w:val="1A1A1A"/>
          <w:sz w:val="20"/>
          <w:szCs w:val="20"/>
        </w:rPr>
        <w:t xml:space="preserve">An integration test exercising the real dependency, not a mock — for anything touching a provider, database or another service.</w:t>
      </w:r>
    </w:p>
    <w:p>
      <w:pPr>
        <w:pStyle w:val="ListParagraph"/>
        <w:numPr>
          <w:ilvl w:val="0"/>
          <w:numId w:val="2"/>
        </w:numPr>
        <w:spacing w:after="70" w:line="268"/>
      </w:pPr>
      <w:r>
        <w:rPr>
          <w:rFonts w:ascii="Calibri" w:cs="Calibri" w:eastAsia="Calibri" w:hAnsi="Calibri"/>
          <w:color w:val="1A1A1A"/>
          <w:sz w:val="20"/>
          <w:szCs w:val="20"/>
        </w:rPr>
        <w:t xml:space="preserve">Authentication and authorisation enforced on any new endpoint, with a cross-tenant negative test.</w:t>
      </w:r>
    </w:p>
    <w:p>
      <w:pPr>
        <w:pStyle w:val="ListParagraph"/>
        <w:numPr>
          <w:ilvl w:val="0"/>
          <w:numId w:val="2"/>
        </w:numPr>
        <w:spacing w:after="70" w:line="268"/>
      </w:pPr>
      <w:r>
        <w:rPr>
          <w:rFonts w:ascii="Calibri" w:cs="Calibri" w:eastAsia="Calibri" w:hAnsi="Calibri"/>
          <w:color w:val="1A1A1A"/>
          <w:sz w:val="20"/>
          <w:szCs w:val="20"/>
        </w:rPr>
        <w:t xml:space="preserve">OTEL span emitted and visible in the trace view; any new failure mode covered by an alert rule or an explicit decision that it is not alert-worthy.</w:t>
      </w:r>
    </w:p>
    <w:p>
      <w:pPr>
        <w:pStyle w:val="ListParagraph"/>
        <w:numPr>
          <w:ilvl w:val="0"/>
          <w:numId w:val="2"/>
        </w:numPr>
        <w:spacing w:after="70" w:line="268"/>
      </w:pPr>
      <w:r>
        <w:rPr>
          <w:rFonts w:ascii="Calibri" w:cs="Calibri" w:eastAsia="Calibri" w:hAnsi="Calibri"/>
          <w:color w:val="1A1A1A"/>
          <w:sz w:val="20"/>
          <w:szCs w:val="20"/>
        </w:rPr>
        <w:t xml:space="preserve">Cost impact estimated for anything invoking a model, and metered through the Hive Credits path.</w:t>
      </w:r>
    </w:p>
    <w:p>
      <w:pPr>
        <w:pStyle w:val="ListParagraph"/>
        <w:numPr>
          <w:ilvl w:val="0"/>
          <w:numId w:val="2"/>
        </w:numPr>
        <w:spacing w:after="70" w:line="268"/>
      </w:pPr>
      <w:r>
        <w:rPr>
          <w:rFonts w:ascii="Calibri" w:cs="Calibri" w:eastAsia="Calibri" w:hAnsi="Calibri"/>
          <w:color w:val="1A1A1A"/>
          <w:sz w:val="20"/>
          <w:szCs w:val="20"/>
        </w:rPr>
        <w:t xml:space="preserve">Documentation updated in the same pull request — API reference generated, ADR filed where structural.</w:t>
      </w:r>
    </w:p>
    <w:p>
      <w:pPr>
        <w:pStyle w:val="ListParagraph"/>
        <w:numPr>
          <w:ilvl w:val="0"/>
          <w:numId w:val="2"/>
        </w:numPr>
        <w:spacing w:after="70" w:line="268"/>
      </w:pPr>
      <w:r>
        <w:rPr>
          <w:rFonts w:ascii="Calibri" w:cs="Calibri" w:eastAsia="Calibri" w:hAnsi="Calibri"/>
          <w:color w:val="1A1A1A"/>
          <w:sz w:val="20"/>
          <w:szCs w:val="20"/>
        </w:rPr>
        <w:t xml:space="preserve">Demonstrated live at sprint review against a deployed environment.</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5  </w:t>
      </w:r>
      <w:r>
        <w:rPr>
          <w:rFonts w:ascii="Calibri Light" w:cs="Calibri Light" w:eastAsia="Calibri Light" w:hAnsi="Calibri Light"/>
          <w:b/>
          <w:bCs/>
          <w:color w:val="0B2545"/>
          <w:sz w:val="34"/>
          <w:szCs w:val="34"/>
        </w:rPr>
        <w:t xml:space="preserve">Twenty-Four Week Programme Schedule</w:t>
      </w:r>
    </w:p>
    <w:p>
      <w:pPr>
        <w:spacing w:after="140" w:before="0" w:line="276"/>
        <w:jc w:val="both"/>
      </w:pPr>
      <w:r>
        <w:rPr>
          <w:rFonts w:ascii="Calibri" w:cs="Calibri" w:eastAsia="Calibri" w:hAnsi="Calibri"/>
          <w:color w:val="1A1A1A"/>
          <w:sz w:val="20"/>
          <w:szCs w:val="20"/>
        </w:rPr>
        <w:t xml:space="preserve">The Gantt below is the master schedule. Bars are working durations, not elapsed calendar including holidays; milestone markers are gate dates and are fixed. Where a bar starts before its stated dependency completes, the overlap is deliberate and the interface is defined in the corresponding architecture decision record.</w:t>
      </w:r>
    </w:p>
    <w:p>
      <w:pPr>
        <w:spacing w:after="0" w:before="180"/>
        <w:jc w:val="center"/>
      </w:pPr>
      <w:r>
        <w:drawing>
          <wp:inline distT="0" distB="0" distL="0" distR="0">
            <wp:extent cx="630555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305550" cy="4352925"/>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3 — The 24-week execution Gantt across seven workstreams, with the six milestone gates marked.</w:t>
      </w:r>
    </w:p>
    <w:p>
      <w:pPr>
        <w:pStyle w:val="Heading2"/>
        <w:keepNext/>
        <w:spacing w:after="130" w:before="300"/>
      </w:pPr>
      <w:r>
        <w:rPr>
          <w:rFonts w:ascii="Calibri" w:cs="Calibri" w:eastAsia="Calibri" w:hAnsi="Calibri"/>
          <w:b/>
          <w:bCs/>
          <w:color w:val="134074"/>
          <w:sz w:val="25"/>
          <w:szCs w:val="25"/>
        </w:rPr>
        <w:t xml:space="preserve">5.1  Critical path</w:t>
      </w:r>
    </w:p>
    <w:p>
      <w:pPr>
        <w:spacing w:after="140" w:before="0" w:line="276"/>
        <w:jc w:val="both"/>
      </w:pPr>
      <w:r>
        <w:rPr>
          <w:rFonts w:ascii="Calibri" w:cs="Calibri" w:eastAsia="Calibri" w:hAnsi="Calibri"/>
          <w:color w:val="1A1A1A"/>
          <w:sz w:val="20"/>
          <w:szCs w:val="20"/>
        </w:rPr>
        <w:t xml:space="preserve">The critical path runs through the runtime workstream and is nine tasks long. Any slip on it moves MS6 day for day; slips elsewhere consume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316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Seq</w:t>
            </w:r>
          </w:p>
        </w:tc>
        <w:tc>
          <w:tcPr>
            <w:tcW w:type="dxa" w:w="4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Task</w:t>
            </w:r>
          </w:p>
        </w:tc>
        <w:tc>
          <w:tcPr>
            <w:tcW w:type="dxa" w:w="13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Weeks</w:t>
            </w:r>
          </w:p>
        </w:tc>
        <w:tc>
          <w:tcPr>
            <w:tcW w:type="dxa" w:w="31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Float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P0 authentication on every public surface</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1–3</w:t>
            </w:r>
          </w:p>
        </w:tc>
        <w:tc>
          <w:tcPr>
            <w:tcW w:type="dxa" w:w="3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 — everything else assumes a verified identity</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M10.1 real agent execution</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2–3</w:t>
            </w:r>
          </w:p>
        </w:tc>
        <w:tc>
          <w:tcPr>
            <w:tcW w:type="dxa" w:w="3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M10.2 provider tool calling</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4–5</w:t>
            </w:r>
          </w:p>
        </w:tc>
        <w:tc>
          <w:tcPr>
            <w:tcW w:type="dxa" w:w="3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M10.3 tool runtime loop</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6–8</w:t>
            </w:r>
          </w:p>
        </w:tc>
        <w:tc>
          <w:tcPr>
            <w:tcW w:type="dxa" w:w="3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5</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M10.5 memory and retrieval</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9–12</w:t>
            </w:r>
          </w:p>
        </w:tc>
        <w:tc>
          <w:tcPr>
            <w:tcW w:type="dxa" w:w="3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One week</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M10.6 multi-agent runtime and real planner</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13–17</w:t>
            </w:r>
          </w:p>
        </w:tc>
        <w:tc>
          <w:tcPr>
            <w:tcW w:type="dxa" w:w="3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7</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M10.7 public SDK freeze</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18–20</w:t>
            </w:r>
          </w:p>
        </w:tc>
        <w:tc>
          <w:tcPr>
            <w:tcW w:type="dxa" w:w="3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8</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re-platform onto the SDK</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18–22</w:t>
            </w:r>
          </w:p>
        </w:tc>
        <w:tc>
          <w:tcPr>
            <w:tcW w:type="dxa" w:w="3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Beta readiness and controlled GA</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20–24</w:t>
            </w:r>
          </w:p>
        </w:tc>
        <w:tc>
          <w:tcPr>
            <w:tcW w:type="dxa" w:w="3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w:t>
            </w:r>
          </w:p>
        </w:tc>
      </w:tr>
    </w:tbl>
    <w:p>
      <w:pPr>
        <w:spacing w:after="140" w:before="0" w:line="276"/>
        <w:jc w:val="both"/>
      </w:pPr>
      <w:r>
        <w:rPr>
          <w:rFonts w:ascii="Calibri" w:cs="Calibri" w:eastAsia="Calibri" w:hAnsi="Calibri"/>
          <w:b/>
          <w:bCs/>
          <w:color w:val="1A1A1A"/>
          <w:sz w:val="20"/>
          <w:szCs w:val="20"/>
        </w:rPr>
        <w:t xml:space="preserve">The compression option. </w:t>
      </w:r>
      <w:r>
        <w:rPr>
          <w:rFonts w:ascii="Calibri" w:cs="Calibri" w:eastAsia="Calibri" w:hAnsi="Calibri"/>
          <w:color w:val="1A1A1A"/>
          <w:sz w:val="20"/>
          <w:szCs w:val="20"/>
        </w:rPr>
        <w:t xml:space="preserve">If MS6 must move earlier, the only defensible compression is to descope the Studio re-platform to a facade — Studio continues to call internals while the SDK is published for external consumers — which recovers roughly three weeks at the cost of carrying the coupling into horizon two. Compressing the runtime path or the security path is not an option; both have zero float and both are prerequisites for the commercial claim the programme exists to make.</w:t>
      </w:r>
    </w:p>
    <w:p>
      <w:pPr>
        <w:pStyle w:val="Heading2"/>
        <w:keepNext/>
        <w:spacing w:after="130" w:before="300"/>
      </w:pPr>
      <w:r>
        <w:rPr>
          <w:rFonts w:ascii="Calibri" w:cs="Calibri" w:eastAsia="Calibri" w:hAnsi="Calibri"/>
          <w:b/>
          <w:bCs/>
          <w:color w:val="134074"/>
          <w:sz w:val="25"/>
          <w:szCs w:val="25"/>
        </w:rPr>
        <w:t xml:space="preserve">5.2  Dependency map between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200"/>
        <w:gridCol w:w="1760"/>
      </w:tblGrid>
      <w:tr>
        <w:trPr>
          <w:tblHeader/>
        </w:trPr>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Producer</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Consumer</w:t>
            </w:r>
          </w:p>
        </w:tc>
        <w:tc>
          <w:tcPr>
            <w:tcW w:type="dxa" w:w="4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Interface</w:t>
            </w:r>
          </w:p>
        </w:tc>
        <w:tc>
          <w:tcPr>
            <w:tcW w:type="dxa" w:w="1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Due</w:t>
            </w:r>
          </w:p>
        </w:tc>
      </w:tr>
      <w:tr>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WS1 security</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WS2 runtime</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Verified tenant context available on the request object</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3</w:t>
            </w:r>
          </w:p>
        </w:tc>
      </w:tr>
      <w:tr>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WS1 security</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WS3 platform</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Token verification requirements for the ingress decision</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2</w:t>
            </w:r>
          </w:p>
        </w:tc>
      </w:tr>
      <w:tr>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WS3 platform</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All</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One rendering Helm generation; a stable environment to deploy to</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3</w:t>
            </w:r>
          </w:p>
        </w:tc>
      </w:tr>
      <w:tr>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WS2 runtime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WS4 product</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Conversation API contract, frozen at M10.4</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8</w:t>
            </w:r>
          </w:p>
        </w:tc>
      </w:tr>
      <w:tr>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WS2 runtime</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WS5 quality</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Eval hooks on the execution path</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10</w:t>
            </w:r>
          </w:p>
        </w:tc>
      </w:tr>
      <w:tr>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WS2 runtime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WS4 product</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Public SDK surface, frozen at M10.7</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20</w:t>
            </w:r>
          </w:p>
        </w:tc>
      </w:tr>
      <w:tr>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WS3 platform</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WS6 GTM</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Metering events attributable to a verified tenant</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14</w:t>
            </w:r>
          </w:p>
        </w:tc>
      </w:tr>
      <w:tr>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WS5 quality</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WS6 GTM</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SOC 2 evidence package and penetration test report</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Week 22</w:t>
            </w:r>
          </w:p>
        </w:tc>
      </w:tr>
    </w:tbl>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6  </w:t>
      </w:r>
      <w:r>
        <w:rPr>
          <w:rFonts w:ascii="Calibri Light" w:cs="Calibri Light" w:eastAsia="Calibri Light" w:hAnsi="Calibri Light"/>
          <w:b/>
          <w:bCs/>
          <w:color w:val="0B2545"/>
          <w:sz w:val="34"/>
          <w:szCs w:val="34"/>
        </w:rPr>
        <w:t xml:space="preserve">The 120-Day Execution Plan</w:t>
      </w:r>
    </w:p>
    <w:p>
      <w:pPr>
        <w:spacing w:after="140" w:before="0" w:line="276"/>
        <w:jc w:val="both"/>
      </w:pPr>
      <w:r>
        <w:rPr>
          <w:rFonts w:ascii="Calibri" w:cs="Calibri" w:eastAsia="Calibri" w:hAnsi="Calibri"/>
          <w:color w:val="1A1A1A"/>
          <w:sz w:val="20"/>
          <w:szCs w:val="20"/>
        </w:rPr>
        <w:t xml:space="preserve">One hundred and twenty working days, presented week by week. Each week names a theme, its principal deliverables and a single exit signal — the one observable fact that determines whether the week succeeded. Weeks are not interchangeable; the sequence encodes real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E6E9E"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3E6E9E"/>
                <w:sz w:val="19"/>
                <w:szCs w:val="19"/>
              </w:rPr>
              <w:t xml:space="preserve">How to use this table</w:t>
            </w:r>
          </w:p>
          <w:p>
            <w:pPr>
              <w:spacing w:after="60" w:line="264"/>
              <w:jc w:val="both"/>
            </w:pPr>
            <w:r>
              <w:rPr>
                <w:rFonts w:ascii="Calibri" w:cs="Calibri" w:eastAsia="Calibri" w:hAnsi="Calibri"/>
                <w:color w:val="1A1A1A"/>
                <w:sz w:val="19"/>
                <w:szCs w:val="19"/>
              </w:rPr>
              <w:t xml:space="preserve">The exit signal column is the contract. Deliverables can be renegotiated inside a week; the exit signal cannot. If a week ends without its exit signal, that is escalated at the Friday risk review the same day, not absorbed into the following week.</w:t>
            </w:r>
          </w:p>
        </w:tc>
      </w:tr>
    </w:tbl>
    <w:p>
      <w:pPr>
        <w:pStyle w:val="Heading3"/>
        <w:keepNext/>
        <w:spacing w:after="100" w:before="220"/>
      </w:pPr>
      <w:r>
        <w:rPr>
          <w:rFonts w:ascii="Calibri" w:cs="Calibri" w:eastAsia="Calibri" w:hAnsi="Calibri"/>
          <w:b/>
          <w:bCs/>
          <w:color w:val="2E3A4B"/>
          <w:sz w:val="21"/>
          <w:szCs w:val="21"/>
        </w:rPr>
        <w:t xml:space="preserve">Weeks 1–8 · Foundation and trustworthy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200"/>
        <w:gridCol w:w="29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Wk</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Theme</w:t>
            </w:r>
          </w:p>
        </w:tc>
        <w:tc>
          <w:tcPr>
            <w:tcW w:type="dxa" w:w="4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Principal deliverables</w:t>
            </w:r>
          </w:p>
        </w:tc>
        <w:tc>
          <w:tcPr>
            <w:tcW w:type="dxa" w:w="2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Exit signal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Mobilise and stop the bleeding</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Cluster verification of D1. Auth hook deployed to staging. Helm render diff produced for both generations. Programme baseline and backlog import. Team onboarding for the first four hires.</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definitive answer on whether the live endpoints require a token.</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One deployment truth</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D2 decided; losing Helm generation deleted. Secret scoping reworked so platform-api receives provider keys. M10.1 begins: ai-gateway declared as a dependency, runtime service constructed. Test infrastructure scaffolding.</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single generation renders; render output reviewed and committed as a golden file.</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Verified identity in production</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Auth hook in production behind a flag, then enforced. Workspace-to-tenant ownership lookup implemented in the data layer. M10.1 complete. Security regression tests for four access scenarios.</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public endpoint accepts an unauthenticated request; workspace header no longer trusted.</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MS1 gate</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M10.2 begins: tool definitions added to the gateway request and response types, Anthropic translation. Service consolidation discovery. Gate review and go/no-go.</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MS1 checklist passes in full. D3 and D4 discovery inputs delivered.</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Tools, described</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OpenAI tool-call translation. RBAC enforcement begins across platform-api routes. Studio audit begins. Design partner shortlist agreed (D6).</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tool-forcing prompt returns a correctly shaped tool-call array from both providers.</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Tools, executed</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M10.2 complete. M10.3 begins: the execution branch replaces always-final-answer; one real tool registered at startup. M10.4 begins in parallel: conversation repository.</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round trip from prompt to tool call to execution to final answer works end to end.</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Persistence</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Conversation and message rows written and read. Cross-tenant regression suite lands in CI as a blocking gate. HiveSwarm convergence discovery begins.</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sequential messages in one conversation show the second is aware of the first.</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MS2 gate</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M10.3 and M10.4 complete. Studio audit interim findings. Gate review. Iteration-cap behaviour verified under a looping tool.</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MS2 checklist passes. Conversation history survives a process restart.</w:t>
            </w:r>
          </w:p>
        </w:tc>
      </w:tr>
    </w:tbl>
    <w:p>
      <w:pPr>
        <w:pStyle w:val="Heading3"/>
        <w:keepNext/>
        <w:spacing w:after="100" w:before="220"/>
      </w:pPr>
      <w:r>
        <w:rPr>
          <w:rFonts w:ascii="Calibri" w:cs="Calibri" w:eastAsia="Calibri" w:hAnsi="Calibri"/>
          <w:b/>
          <w:bCs/>
          <w:color w:val="2E3A4B"/>
          <w:sz w:val="21"/>
          <w:szCs w:val="21"/>
        </w:rPr>
        <w:t xml:space="preserve">Weeks 9–16 · Memory, convergence and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200"/>
        <w:gridCol w:w="29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Wk</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Theme</w:t>
            </w:r>
          </w:p>
        </w:tc>
        <w:tc>
          <w:tcPr>
            <w:tcW w:type="dxa" w:w="4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Principal deliverables</w:t>
            </w:r>
          </w:p>
        </w:tc>
        <w:tc>
          <w:tcPr>
            <w:tcW w:type="dxa" w:w="2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Exit signal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9</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Memory foundations</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M10.5 begins: memory and embedding repositories, embeddings client alongside the chat providers. Evaluation harness design. Convergence options paper for D3.</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Embeddings written to the existing pgvector column via the existing schema.</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10</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Retrieval</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Retrieval folded into prompt assembly. Eval harness first suite: hallucination, accuracy, safety. CerebroSearch work begins on hybrid ranking.</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Seeded facts are retrieved for relevant queries and not for irrelevant ones.</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11</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Convergence decision executed</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D3 implemented: one system of record declared, the other retired or formally scoped. CerebroFlow GA scope frozen. Pricing and metering instrumentation begins.</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planner and one execution provider are named as canonical in an accepted ADR.</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12</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MS3 gate</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M10.5 complete. CerebroSearch serving hybrid results. Gate review. First design-partner environment provisioned.</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conversation past the raw context window answers correctly from retrieval.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Real planning</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M10.6 begins: the simulated worker provider is replaced with a real execution provider calling the runtime per node; agent selection wired to the registry.</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Swarm nodes produce non-identical, non-canned output.</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14</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Plans that differ</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hard-coded planner is replaced with a model-backed planner emitting a DAG. Metering events flowing and attributable. SOC 2 evidence automation begins.</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different intents produce two different DAG shapes.</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15</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Isolation hardening</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Multi-tenant isolation at the infrastructure layer: per-tenant resource limits, storage partitioning, noisy-neighbour protection. Retry policy implemented in the execution engine.</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tenant cannot exhaust another tenant's execution capacity.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16</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MS4 gate</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M10.6 substantially complete. CerebroFlow feature-complete. Load and chaos testing begins. Gate review.</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MS4 checklist passes. Multi-agent orchestration demonstrated on real work.</w:t>
            </w:r>
          </w:p>
        </w:tc>
      </w:tr>
    </w:tbl>
    <w:p>
      <w:pPr>
        <w:pStyle w:val="Heading3"/>
        <w:keepNext/>
        <w:spacing w:after="100" w:before="220"/>
      </w:pPr>
      <w:r>
        <w:rPr>
          <w:rFonts w:ascii="Calibri" w:cs="Calibri" w:eastAsia="Calibri" w:hAnsi="Calibri"/>
          <w:b/>
          <w:bCs/>
          <w:color w:val="2E3A4B"/>
          <w:sz w:val="21"/>
          <w:szCs w:val="21"/>
        </w:rPr>
        <w:t xml:space="preserve">Weeks 17–24 · Hardening, assurance and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200"/>
        <w:gridCol w:w="29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Wk</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Theme</w:t>
            </w:r>
          </w:p>
        </w:tc>
        <w:tc>
          <w:tcPr>
            <w:tcW w:type="dxa" w:w="4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Principal deliverables</w:t>
            </w:r>
          </w:p>
        </w:tc>
        <w:tc>
          <w:tcPr>
            <w:tcW w:type="dxa" w:w="2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Exit signal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17</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Load and failure</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k6 load profiles against the runtime path. Chaos experiments against the declared degradation map. M10.6 hardening.</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fallback in the degradation map is observed to occur as specified.</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18</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SDK</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M10.7 begins: the facade is built over the frozen internals. Studio re-platform begins. Penetration test kicks off.</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SDK's public surface is documented and stable enough for an external consumer.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19</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Beta preparation</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Beta readiness checklist. Penetration test findings triaged. Studio migrating call sites. Support runbooks drafted.</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finding has an owner and a target date.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20</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MS5 gate</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M10.7 complete. Penetration remediation cycle one complete. Metering accuracy validated against provider invoices. Gate review.</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MS5 checklist passes. Studio runs an agent through the SDK with no internal imports.</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Remediation and evidence</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remediation cycle two. SOC 2 Type I evidence package assembled. Studio re-platform completes. Beta cohort onboarding.</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open critical or high penetration findings.</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22</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Beta in anger</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Design partners running production workloads. SLO measurement window opens. Documentation and API reference complete.</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Thirty-day SLO measurement window has started with clean instrumentation.</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23</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GA readiness</w:t>
            </w:r>
          </w:p>
        </w:tc>
        <w:tc>
          <w:tcPr>
            <w:tcW w:type="dxa" w:w="4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GA checklist. Pricing enforcement live. Incident response tested by game day. Launch communications prepared.</w:t>
            </w:r>
          </w:p>
        </w:tc>
        <w:tc>
          <w:tcPr>
            <w:tcW w:type="dxa" w:w="2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simulated Sev-1 is handled within the published response target.</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24</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MS6 — controlled general availability</w:t>
            </w:r>
          </w:p>
        </w:tc>
        <w:tc>
          <w:tcPr>
            <w:tcW w:type="dxa" w:w="4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Controlled GA to the design-partner cohort plus a named waitlist. Retrospective. Horizon-two plan drafted.</w:t>
            </w:r>
          </w:p>
        </w:tc>
        <w:tc>
          <w:tcPr>
            <w:tcW w:type="dxa" w:w="2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MS6 checklist passes. Three accounts in production under contract.</w:t>
            </w:r>
          </w:p>
        </w:tc>
      </w:tr>
    </w:tbl>
    <w:p>
      <w:pPr>
        <w:pStyle w:val="Heading2"/>
        <w:keepNext/>
        <w:spacing w:after="130" w:before="300"/>
      </w:pPr>
      <w:r>
        <w:rPr>
          <w:rFonts w:ascii="Calibri" w:cs="Calibri" w:eastAsia="Calibri" w:hAnsi="Calibri"/>
          <w:b/>
          <w:bCs/>
          <w:color w:val="134074"/>
          <w:sz w:val="25"/>
          <w:szCs w:val="25"/>
        </w:rPr>
        <w:t xml:space="preserve">6.1  Buffer and contingency in the schedule</w:t>
      </w:r>
    </w:p>
    <w:p>
      <w:pPr>
        <w:spacing w:after="140" w:before="0" w:line="276"/>
        <w:jc w:val="both"/>
      </w:pPr>
      <w:r>
        <w:rPr>
          <w:rFonts w:ascii="Calibri" w:cs="Calibri" w:eastAsia="Calibri" w:hAnsi="Calibri"/>
          <w:color w:val="1A1A1A"/>
          <w:sz w:val="20"/>
          <w:szCs w:val="20"/>
        </w:rPr>
        <w:t xml:space="preserve">The plan contains three forms of slack, deliberately placed rather than distributed evenly.</w:t>
      </w:r>
    </w:p>
    <w:p>
      <w:pPr>
        <w:pStyle w:val="ListParagraph"/>
        <w:numPr>
          <w:ilvl w:val="0"/>
          <w:numId w:val="2"/>
        </w:numPr>
        <w:spacing w:after="70" w:line="268"/>
      </w:pPr>
      <w:r>
        <w:rPr>
          <w:rFonts w:ascii="Calibri" w:cs="Calibri" w:eastAsia="Calibri" w:hAnsi="Calibri"/>
          <w:b/>
          <w:bCs/>
          <w:color w:val="1A1A1A"/>
          <w:sz w:val="20"/>
          <w:szCs w:val="20"/>
        </w:rPr>
        <w:t xml:space="preserve">Gate weeks carry roughly 30% unallocated capacity. </w:t>
      </w:r>
      <w:r>
        <w:rPr>
          <w:rFonts w:ascii="Calibri" w:cs="Calibri" w:eastAsia="Calibri" w:hAnsi="Calibri"/>
          <w:color w:val="1A1A1A"/>
          <w:sz w:val="20"/>
          <w:szCs w:val="20"/>
        </w:rPr>
        <w:t xml:space="preserve">Weeks 4, 8, 12, 16, 20 and 24 are review weeks. Loading them fully guarantees that gate preparation is done at the expense of the gate's honesty.</w:t>
      </w:r>
    </w:p>
    <w:p>
      <w:pPr>
        <w:pStyle w:val="ListParagraph"/>
        <w:numPr>
          <w:ilvl w:val="0"/>
          <w:numId w:val="2"/>
        </w:numPr>
        <w:spacing w:after="70" w:line="268"/>
      </w:pPr>
      <w:r>
        <w:rPr>
          <w:rFonts w:ascii="Calibri" w:cs="Calibri" w:eastAsia="Calibri" w:hAnsi="Calibri"/>
          <w:b/>
          <w:bCs/>
          <w:color w:val="1A1A1A"/>
          <w:sz w:val="20"/>
          <w:szCs w:val="20"/>
        </w:rPr>
        <w:t xml:space="preserve">M10.5 carries one week of float. </w:t>
      </w:r>
      <w:r>
        <w:rPr>
          <w:rFonts w:ascii="Calibri" w:cs="Calibri" w:eastAsia="Calibri" w:hAnsi="Calibri"/>
          <w:color w:val="1A1A1A"/>
          <w:sz w:val="20"/>
          <w:szCs w:val="20"/>
        </w:rPr>
        <w:t xml:space="preserve">It is the one runtime phase whose scope is bounded by an existing schema, which makes it the safest place to hold float on an otherwise zero-float path.</w:t>
      </w:r>
    </w:p>
    <w:p>
      <w:pPr>
        <w:pStyle w:val="ListParagraph"/>
        <w:numPr>
          <w:ilvl w:val="0"/>
          <w:numId w:val="2"/>
        </w:numPr>
        <w:spacing w:after="70" w:line="268"/>
      </w:pPr>
      <w:r>
        <w:rPr>
          <w:rFonts w:ascii="Calibri" w:cs="Calibri" w:eastAsia="Calibri" w:hAnsi="Calibri"/>
          <w:b/>
          <w:bCs/>
          <w:color w:val="1A1A1A"/>
          <w:sz w:val="20"/>
          <w:szCs w:val="20"/>
        </w:rPr>
        <w:t xml:space="preserve">Sprint 12 is a contingency sprint. </w:t>
      </w:r>
      <w:r>
        <w:rPr>
          <w:rFonts w:ascii="Calibri" w:cs="Calibri" w:eastAsia="Calibri" w:hAnsi="Calibri"/>
          <w:color w:val="1A1A1A"/>
          <w:sz w:val="20"/>
          <w:szCs w:val="20"/>
        </w:rPr>
        <w:t xml:space="preserve">The burndown in Figure 10 projects approximately 34 points of carry-over at 85% of planned velocity. Sprint 12 absorbs it. If velocity holds, sprint 12 pulls horizon-two work forward instead.</w:t>
      </w:r>
    </w:p>
    <w:p>
      <w:pPr>
        <w:spacing w:after="0" w:before="180"/>
        <w:jc w:val="center"/>
      </w:pPr>
      <w:r>
        <w:drawing>
          <wp:inline distT="0" distB="0" distL="0" distR="0">
            <wp:extent cx="576262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990850"/>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10 — Sprint burndown projection. The gap between planned and risk-adjusted lines is the case for holding a contingency sprint rather than distributing buffer into every sprint.</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7  </w:t>
      </w:r>
      <w:r>
        <w:rPr>
          <w:rFonts w:ascii="Calibri Light" w:cs="Calibri Light" w:eastAsia="Calibri Light" w:hAnsi="Calibri Light"/>
          <w:b/>
          <w:bCs/>
          <w:color w:val="0B2545"/>
          <w:sz w:val="34"/>
          <w:szCs w:val="34"/>
        </w:rPr>
        <w:t xml:space="preserve">Effort Model: Hours by Module and Engineer</w:t>
      </w:r>
    </w:p>
    <w:p>
      <w:pPr>
        <w:spacing w:after="140" w:before="0" w:line="276"/>
        <w:jc w:val="both"/>
      </w:pPr>
      <w:r>
        <w:rPr>
          <w:rFonts w:ascii="Calibri" w:cs="Calibri" w:eastAsia="Calibri" w:hAnsi="Calibri"/>
          <w:color w:val="1A1A1A"/>
          <w:sz w:val="20"/>
          <w:szCs w:val="20"/>
        </w:rPr>
        <w:t xml:space="preserve">Total programme effort is estimated at 17,440 engineering hours across 24 weeks. Estimates are bottom-up from the work packages below, then cross-checked top-down against the team ramp in Section 8; the two reconcile to within 4%, which is the closest agreement worth claiming at this stage.</w:t>
      </w:r>
    </w:p>
    <w:p>
      <w:pPr>
        <w:spacing w:after="0" w:before="180"/>
        <w:jc w:val="center"/>
      </w:pPr>
      <w:r>
        <w:drawing>
          <wp:inline distT="0" distB="0" distL="0" distR="0">
            <wp:extent cx="60388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086100"/>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4 — Effort distribution by module and by discipline.</w:t>
      </w:r>
    </w:p>
    <w:p>
      <w:pPr>
        <w:pStyle w:val="Heading2"/>
        <w:keepNext/>
        <w:spacing w:after="130" w:before="300"/>
      </w:pPr>
      <w:r>
        <w:rPr>
          <w:rFonts w:ascii="Calibri" w:cs="Calibri" w:eastAsia="Calibri" w:hAnsi="Calibri"/>
          <w:b/>
          <w:bCs/>
          <w:color w:val="134074"/>
          <w:sz w:val="25"/>
          <w:szCs w:val="25"/>
        </w:rPr>
        <w:t xml:space="preserve">7.1  Estimation basis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060"/>
        <w:gridCol w:w="2000"/>
      </w:tblGrid>
      <w:tr>
        <w:trPr>
          <w:tblHeader/>
        </w:trPr>
        <w:tc>
          <w:tcPr>
            <w:tcW w:type="dxa" w:w="1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Confidence</w:t>
            </w:r>
          </w:p>
        </w:tc>
        <w:tc>
          <w:tcPr>
            <w:tcW w:type="dxa" w:w="2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Meaning</w:t>
            </w:r>
          </w:p>
        </w:tc>
        <w:tc>
          <w:tcPr>
            <w:tcW w:type="dxa" w:w="30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Applied to</w:t>
            </w:r>
          </w:p>
        </w:tc>
        <w:tc>
          <w:tcPr>
            <w:tcW w:type="dxa" w:w="2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Planning treatment</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High (±15%)</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Wiring work against a schema, interface or reference implementation that already exists</w:t>
            </w:r>
          </w:p>
        </w:tc>
        <w:tc>
          <w:tcPr>
            <w:tcW w:type="dxa" w:w="3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M10.1, M10.2, M10.4, auth wiring, Helm reconciliation</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Estimate used as stated</w:t>
            </w:r>
          </w:p>
        </w:tc>
      </w:tr>
      <w:tr>
        <w:tc>
          <w:tcPr>
            <w:tcW w:type="dxa" w:w="1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Medium (±30%)</w:t>
            </w:r>
          </w:p>
        </w:tc>
        <w:tc>
          <w:tcPr>
            <w:tcW w:type="dxa" w:w="2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New logic, but bounded scope and a known shape</w:t>
            </w:r>
          </w:p>
        </w:tc>
        <w:tc>
          <w:tcPr>
            <w:tcW w:type="dxa" w:w="3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M10.3, M10.5, M10.7, RBAC, metering, CerebroSearch</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Estimate used with the upper bound reserved in contingency</w:t>
            </w:r>
          </w:p>
        </w:tc>
      </w:tr>
      <w:tr>
        <w:tc>
          <w:tcPr>
            <w:tcW w:type="dxa" w:w="1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Low (±60%)</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Scope genuinely unknown until discovery completes</w:t>
            </w:r>
          </w:p>
        </w:tc>
        <w:tc>
          <w:tcPr>
            <w:tcW w:type="dxa" w:w="3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audit and re-platform, HiveSwarm convergence, service consolidation</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Time-boxed discovery first; the estimate is re-baselined at the following gate</w:t>
            </w:r>
          </w:p>
        </w:tc>
      </w:tr>
    </w:tbl>
    <w:p>
      <w:pPr>
        <w:spacing w:after="140" w:before="0" w:line="276"/>
        <w:jc w:val="both"/>
      </w:pPr>
      <w:r>
        <w:rPr>
          <w:rFonts w:ascii="Calibri" w:cs="Calibri" w:eastAsia="Calibri" w:hAnsi="Calibri"/>
          <w:b/>
          <w:bCs/>
          <w:color w:val="1A1A1A"/>
          <w:sz w:val="20"/>
          <w:szCs w:val="20"/>
        </w:rPr>
        <w:t xml:space="preserve">A note on the low-confidence items. </w:t>
      </w:r>
      <w:r>
        <w:rPr>
          <w:rFonts w:ascii="Calibri" w:cs="Calibri" w:eastAsia="Calibri" w:hAnsi="Calibri"/>
          <w:color w:val="1A1A1A"/>
          <w:sz w:val="20"/>
          <w:szCs w:val="20"/>
        </w:rPr>
        <w:t xml:space="preserve">Together they account for roughly 4,100 hours — 24% of the programme — on estimates that could be wrong by 60% in either direction. That is the honest number, and it is why weeks 5 through 8 contain time-boxed discovery for all three rather than committed delivery. Anyone reading this plan as a fixed-price commitment should read this paragraph twice.</w:t>
      </w:r>
    </w:p>
    <w:p>
      <w:pPr>
        <w:pStyle w:val="Heading2"/>
        <w:keepNext/>
        <w:spacing w:after="130" w:before="300"/>
      </w:pPr>
      <w:r>
        <w:rPr>
          <w:rFonts w:ascii="Calibri" w:cs="Calibri" w:eastAsia="Calibri" w:hAnsi="Calibri"/>
          <w:b/>
          <w:bCs/>
          <w:color w:val="134074"/>
          <w:sz w:val="25"/>
          <w:szCs w:val="25"/>
        </w:rPr>
        <w:t xml:space="preserve">7.2  Hours by work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100"/>
        <w:gridCol w:w="2400"/>
        <w:gridCol w:w="1260"/>
      </w:tblGrid>
      <w:tr>
        <w:trPr>
          <w:tblHeader/>
        </w:trPr>
        <w:tc>
          <w:tcPr>
            <w:tcW w:type="dxa" w:w="4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Module / work package</w:t>
            </w:r>
          </w:p>
        </w:tc>
        <w:tc>
          <w:tcPr>
            <w:tcW w:type="dxa" w:w="1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Hours</w:t>
            </w:r>
          </w:p>
        </w:tc>
        <w:tc>
          <w:tcPr>
            <w:tcW w:type="dxa" w:w="2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Roles</w:t>
            </w:r>
          </w:p>
        </w:tc>
        <w:tc>
          <w:tcPr>
            <w:tcW w:type="dxa" w:w="12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Conf.</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Security and identity — 1,840 hours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JWT verification across all public surfaces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 security</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Workspace-to-tenant ownership resolution</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180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 security</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RBAC enforcement across routes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340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 security</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Audit logging tied to verified identity</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Cross-tenant regression suite</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260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QA, security</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test support and two remediation cycles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Security, 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Secrets scoping and rotation</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140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SRE, security</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Agent runtime (M10.1–M10.7) — 4,120 hours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M10.1 real agent execution</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220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 AI</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M10.2 provider tool calling, both providers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380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M10.3 tool runtime loop and iteration control</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460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 backend</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M10.4 conversation persistence</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340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M10.5 memory, embeddings and retrieval</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 backend</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M10.6 multi-agent runtime and model-backed planner</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1,240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 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M10.7 public SDK</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420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 AI</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Streaming through the conversation path</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280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Platform and infrastructure — 2,960 hours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Helm dual-template reconciliation</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SRE</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 consolidation execution</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SRE, backend</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Low</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HiveSwarm and platform runtime convergence</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1,020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 backend, SRE</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Low</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Multi-tenant isolation at the infrastructure layer</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SRE</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Environment and release engineering</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260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SRE</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Data, memory and retrieval — 1,720 hours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Repository layer for conversations, memory, embeddings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Embeddings client and model registry</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260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Hybrid vector and BM25 ranking</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540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 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Ingestion pipeline and chunking</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Knowledge graph entity extraction, first pass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Low</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Product surfaces — 3,480 hours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audit and scaffold burndown</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Frontend, product</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Low</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re-platform onto the SDK</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1,180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Frontend</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Low</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CerebroFlow to general availability</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960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Frontend, 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CerebroSearch product surface</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520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Frontend</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Quality, evaluation and compliance — 2,240 hours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infrastructure and CI gates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480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QA</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Evaluation harness</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620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QA, AI</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Load and chaos testing</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440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SRE, QA</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SOC 2 evidence automation</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700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Backend, security</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Programme and architecture — 1,080 hours</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Architecture decision records and interface design</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440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architecture</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Programme management and reporting</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400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Programme</w:t>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High</w:t>
            </w:r>
          </w:p>
        </w:tc>
      </w:tr>
      <w:tr>
        <w:tc>
          <w:tcPr>
            <w:tcW w:type="dxa" w:w="4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Design partner technical support</w:t>
            </w:r>
          </w:p>
        </w:tc>
        <w:tc>
          <w:tcPr>
            <w:tcW w:type="dxa" w:w="1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240</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Product, backend</w:t>
            </w:r>
          </w:p>
        </w:tc>
        <w:tc>
          <w:tcPr>
            <w:tcW w:type="dxa" w:w="1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Medium</w:t>
            </w:r>
          </w:p>
        </w:tc>
      </w:tr>
      <w:tr>
        <w:tc>
          <w:tcPr>
            <w:tcW w:type="dxa" w:w="4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Total</w:t>
            </w:r>
          </w:p>
        </w:tc>
        <w:tc>
          <w:tcPr>
            <w:tcW w:type="dxa" w:w="1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17,440</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bl>
    <w:p>
      <w:pPr>
        <w:pStyle w:val="Heading2"/>
        <w:keepNext/>
        <w:spacing w:after="130" w:before="300"/>
      </w:pPr>
      <w:r>
        <w:rPr>
          <w:rFonts w:ascii="Calibri" w:cs="Calibri" w:eastAsia="Calibri" w:hAnsi="Calibri"/>
          <w:b/>
          <w:bCs/>
          <w:color w:val="134074"/>
          <w:sz w:val="25"/>
          <w:szCs w:val="25"/>
        </w:rPr>
        <w:t xml:space="preserve">7.3  Hours per engineer</w:t>
      </w:r>
    </w:p>
    <w:p>
      <w:pPr>
        <w:spacing w:after="140" w:before="0" w:line="276"/>
        <w:jc w:val="both"/>
      </w:pPr>
      <w:r>
        <w:rPr>
          <w:rFonts w:ascii="Calibri" w:cs="Calibri" w:eastAsia="Calibri" w:hAnsi="Calibri"/>
          <w:color w:val="1A1A1A"/>
          <w:sz w:val="20"/>
          <w:szCs w:val="20"/>
        </w:rPr>
        <w:t xml:space="preserve">A full-time equivalent contributes 30 productive engineering hours per week against a 40-hour week — the remaining ten cover ceremonies, review, interviews, incident response and the ordinary friction of working in a large codebase. Planning at 37.5 or 40 is the most common cause of a plan like this failing in week 14 rather than week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700"/>
        <w:gridCol w:w="1700"/>
        <w:gridCol w:w="1560"/>
      </w:tblGrid>
      <w:tr>
        <w:trPr>
          <w:tblHeader/>
        </w:trPr>
        <w:tc>
          <w:tcPr>
            <w:tcW w:type="dxa" w:w="2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Discipline</w:t>
            </w:r>
          </w:p>
        </w:tc>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Avg FTE over 24 wks</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Hours available</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Hours allocated</w:t>
            </w:r>
          </w:p>
        </w:tc>
        <w:tc>
          <w:tcPr>
            <w:tcW w:type="dxa" w:w="15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Utilisation</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Backend / platform</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5.3</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3,816</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3,640</w:t>
            </w:r>
          </w:p>
        </w:tc>
        <w:tc>
          <w:tcPr>
            <w:tcW w:type="dxa" w:w="1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95%</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AI / ML engineering</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3.5</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2,520</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2,410</w:t>
            </w:r>
          </w:p>
        </w:tc>
        <w:tc>
          <w:tcPr>
            <w:tcW w:type="dxa" w:w="1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96%</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Frontend</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3.1</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2,232</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2,180</w:t>
            </w:r>
          </w:p>
        </w:tc>
        <w:tc>
          <w:tcPr>
            <w:tcW w:type="dxa" w:w="1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98%</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SRE / DevOps</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2.7</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1,944</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1,850</w:t>
            </w:r>
          </w:p>
        </w:tc>
        <w:tc>
          <w:tcPr>
            <w:tcW w:type="dxa" w:w="1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95%</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Security</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1.5</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1,080</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1,020</w:t>
            </w:r>
          </w:p>
        </w:tc>
        <w:tc>
          <w:tcPr>
            <w:tcW w:type="dxa" w:w="1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94%</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QA / evaluation</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2.2</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1,584</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1,510</w:t>
            </w:r>
          </w:p>
        </w:tc>
        <w:tc>
          <w:tcPr>
            <w:tcW w:type="dxa" w:w="1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95%</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 / design</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720</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690</w:t>
            </w:r>
          </w:p>
        </w:tc>
        <w:tc>
          <w:tcPr>
            <w:tcW w:type="dxa" w:w="1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96%</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Contract and specialist surge</w:t>
            </w:r>
          </w:p>
        </w:tc>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4,340</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4,140</w:t>
            </w:r>
          </w:p>
        </w:tc>
        <w:tc>
          <w:tcPr>
            <w:tcW w:type="dxa" w:w="1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95%</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Total</w:t>
            </w:r>
          </w:p>
        </w:tc>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19.3 avg</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18,236</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17,440</w:t>
            </w:r>
          </w:p>
        </w:tc>
        <w:tc>
          <w:tcPr>
            <w:tcW w:type="dxa" w:w="1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96%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62B2B"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A62B2B"/>
                <w:sz w:val="19"/>
                <w:szCs w:val="19"/>
              </w:rPr>
              <w:t xml:space="preserve">Utilisation at 96% is the plan's largest hidden risk</w:t>
            </w:r>
          </w:p>
          <w:p>
            <w:pPr>
              <w:spacing w:after="60" w:line="264"/>
              <w:jc w:val="both"/>
            </w:pPr>
            <w:r>
              <w:rPr>
                <w:rFonts w:ascii="Calibri" w:cs="Calibri" w:eastAsia="Calibri" w:hAnsi="Calibri"/>
                <w:color w:val="1A1A1A"/>
                <w:sz w:val="19"/>
                <w:szCs w:val="19"/>
              </w:rPr>
              <w:t xml:space="preserve">There is almost no absorbency in the model. A single unplanned production incident lasting a week, or one senior departure, consumes the entire margin. This is mitigated by the contingency sprint and the 12% budget contingency, but it should be understood as a live constraint rather than a rounding detail — and it is the specific reason hiring is front-loaded in Section 8.</w:t>
            </w:r>
          </w:p>
        </w:tc>
      </w:tr>
    </w:tbl>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8  </w:t>
      </w:r>
      <w:r>
        <w:rPr>
          <w:rFonts w:ascii="Calibri Light" w:cs="Calibri Light" w:eastAsia="Calibri Light" w:hAnsi="Calibri Light"/>
          <w:b/>
          <w:bCs/>
          <w:color w:val="0B2545"/>
          <w:sz w:val="34"/>
          <w:szCs w:val="34"/>
        </w:rPr>
        <w:t xml:space="preserve">Team Structure and Hiring Plan</w:t>
      </w:r>
    </w:p>
    <w:p>
      <w:pPr>
        <w:spacing w:after="140" w:before="0" w:line="276"/>
        <w:jc w:val="both"/>
      </w:pPr>
      <w:r>
        <w:rPr>
          <w:rFonts w:ascii="Calibri" w:cs="Calibri" w:eastAsia="Calibri" w:hAnsi="Calibri"/>
          <w:color w:val="1A1A1A"/>
          <w:sz w:val="20"/>
          <w:szCs w:val="20"/>
        </w:rPr>
        <w:t xml:space="preserve">The programme starts with 13 full-time equivalents and ends with 26. Thirteen roles are hired across the first fourteen weeks. Hiring is front-loaded deliberately: a hire made in week 16 contributes roughly eight productive weeks after ramp, which is rarely worth the recruiting cost on a 24-week programme.</w:t>
      </w:r>
    </w:p>
    <w:p>
      <w:pPr>
        <w:spacing w:after="0" w:before="18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200400"/>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5 — Team composition and ramp. The step changes correspond to the hiring waves in Section 8.2.</w:t>
      </w:r>
    </w:p>
    <w:p>
      <w:pPr>
        <w:pStyle w:val="Heading2"/>
        <w:keepNext/>
        <w:spacing w:after="130" w:before="300"/>
      </w:pPr>
      <w:r>
        <w:rPr>
          <w:rFonts w:ascii="Calibri" w:cs="Calibri" w:eastAsia="Calibri" w:hAnsi="Calibri"/>
          <w:b/>
          <w:bCs/>
          <w:color w:val="134074"/>
          <w:sz w:val="25"/>
          <w:szCs w:val="25"/>
        </w:rPr>
        <w:t xml:space="preserve">8.1  Target structure at week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700"/>
        <w:gridCol w:w="3660"/>
      </w:tblGrid>
      <w:tr>
        <w:trPr>
          <w:tblHeader/>
        </w:trPr>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Function</w:t>
            </w:r>
          </w:p>
        </w:tc>
        <w:tc>
          <w:tcPr>
            <w:tcW w:type="dxa" w:w="3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Roles</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FTE</w:t>
            </w:r>
          </w:p>
        </w:tc>
        <w:tc>
          <w:tcPr>
            <w:tcW w:type="dxa" w:w="3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Accountable for</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Programme &amp; architecture</w:t>
            </w:r>
          </w:p>
        </w:tc>
        <w:tc>
          <w:tcPr>
            <w:tcW w:type="dxa" w:w="3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VP Engineering, Principal Architect</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c>
          <w:tcPr>
            <w:tcW w:type="dxa" w:w="3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Decisions D1–D6, ADRs, cross-workstream interfaces</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Runtime engineering</w:t>
            </w:r>
          </w:p>
        </w:tc>
        <w:tc>
          <w:tcPr>
            <w:tcW w:type="dxa" w:w="3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Principal Engineer, 3 senior AI engineers, 2 backend engineers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w:t>
            </w:r>
          </w:p>
        </w:tc>
        <w:tc>
          <w:tcPr>
            <w:tcW w:type="dxa" w:w="3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M10.1 through M10.7, the SDK, evaluation hooks</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Platform engineering</w:t>
            </w:r>
          </w:p>
        </w:tc>
        <w:tc>
          <w:tcPr>
            <w:tcW w:type="dxa" w:w="3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Platform, 2 SRE, 1 platform engineer</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w:t>
            </w:r>
          </w:p>
        </w:tc>
        <w:tc>
          <w:tcPr>
            <w:tcW w:type="dxa" w:w="3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Helm, environments, consolidation, tenant isolation</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 engineering</w:t>
            </w:r>
          </w:p>
        </w:tc>
        <w:tc>
          <w:tcPr>
            <w:tcW w:type="dxa" w:w="3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Product Engineering, 4 frontend, 1 backend</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w:t>
            </w:r>
          </w:p>
        </w:tc>
        <w:tc>
          <w:tcPr>
            <w:tcW w:type="dxa" w:w="3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CerebroFlow, CerebroSearch</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Security</w:t>
            </w:r>
          </w:p>
        </w:tc>
        <w:tc>
          <w:tcPr>
            <w:tcW w:type="dxa" w:w="3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Security, 1 application security engineer</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c>
          <w:tcPr>
            <w:tcW w:type="dxa" w:w="3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Authentication, authorisation, penetration remediation, SOC 2 controls</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Quality</w:t>
            </w:r>
          </w:p>
        </w:tc>
        <w:tc>
          <w:tcPr>
            <w:tcW w:type="dxa" w:w="3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Quality, 2 QA engineers, 1 evaluation engineer</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w:t>
            </w:r>
          </w:p>
        </w:tc>
        <w:tc>
          <w:tcPr>
            <w:tcW w:type="dxa" w:w="3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Test infrastructure, CI gates, eval harness, load and chaos</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 &amp; design</w:t>
            </w:r>
          </w:p>
        </w:tc>
        <w:tc>
          <w:tcPr>
            <w:tcW w:type="dxa" w:w="3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Senior product manager, product designer</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w:t>
            </w:r>
          </w:p>
        </w:tc>
        <w:tc>
          <w:tcPr>
            <w:tcW w:type="dxa" w:w="3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Scope, design partner feedback, GA definition</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Total</w:t>
            </w:r>
          </w:p>
        </w:tc>
        <w:tc>
          <w:tcPr>
            <w:tcW w:type="dxa" w:w="3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26</w:t>
            </w:r>
          </w:p>
        </w:tc>
        <w:tc>
          <w:tcPr>
            <w:tcW w:type="dxa" w:w="3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
            </w:r>
          </w:p>
        </w:tc>
      </w:tr>
    </w:tbl>
    <w:p>
      <w:pPr>
        <w:pStyle w:val="Heading2"/>
        <w:keepNext/>
        <w:spacing w:after="130" w:before="300"/>
      </w:pPr>
      <w:r>
        <w:rPr>
          <w:rFonts w:ascii="Calibri" w:cs="Calibri" w:eastAsia="Calibri" w:hAnsi="Calibri"/>
          <w:b/>
          <w:bCs/>
          <w:color w:val="134074"/>
          <w:sz w:val="25"/>
          <w:szCs w:val="25"/>
        </w:rPr>
        <w:t xml:space="preserve">8.2  Hiring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600"/>
        <w:gridCol w:w="2600"/>
        <w:gridCol w:w="2260"/>
      </w:tblGrid>
      <w:tr>
        <w:trPr>
          <w:tblHeader/>
        </w:trPr>
        <w:tc>
          <w:tcPr>
            <w:tcW w:type="dxa" w:w="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Wave</w:t>
            </w:r>
          </w:p>
        </w:tc>
        <w:tc>
          <w:tcPr>
            <w:tcW w:type="dxa" w:w="1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Weeks</w:t>
            </w:r>
          </w:p>
        </w:tc>
        <w:tc>
          <w:tcPr>
            <w:tcW w:type="dxa" w:w="2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Roles</w:t>
            </w:r>
          </w:p>
        </w:tc>
        <w:tc>
          <w:tcPr>
            <w:tcW w:type="dxa" w:w="2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Rationale</w:t>
            </w:r>
          </w:p>
        </w:tc>
        <w:tc>
          <w:tcPr>
            <w:tcW w:type="dxa" w:w="22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Risk if missed</w:t>
            </w:r>
          </w:p>
        </w:tc>
      </w:tr>
      <w:tr>
        <w:tc>
          <w:tcPr>
            <w:tcW w:type="dxa" w:w="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Wave 1</w:t>
            </w:r>
          </w:p>
        </w:tc>
        <w:tc>
          <w:tcPr>
            <w:tcW w:type="dxa" w:w="1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0–4</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 2 senior AI engineers, 1 SRE</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security and runtime critical paths both start in week 1</w:t>
            </w:r>
          </w:p>
        </w:tc>
        <w:tc>
          <w:tcPr>
            <w:tcW w:type="dxa" w:w="2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MS1 and MS2 both slip. This wave is non-negotiable.</w:t>
            </w:r>
          </w:p>
        </w:tc>
      </w:tr>
      <w:tr>
        <w:tc>
          <w:tcPr>
            <w:tcW w:type="dxa" w:w="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Wave 2</w:t>
            </w:r>
          </w:p>
        </w:tc>
        <w:tc>
          <w:tcPr>
            <w:tcW w:type="dxa" w:w="1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4–8</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 backend engineers, 1 QA engineer, 1 frontend engineer</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Tool runtime, persistence and the Studio audit all begin</w:t>
            </w:r>
          </w:p>
        </w:tc>
        <w:tc>
          <w:tcPr>
            <w:tcW w:type="dxa" w:w="2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MS3 slips; the Studio audit stays a discovery activity rather than becoming remediation</w:t>
            </w:r>
          </w:p>
        </w:tc>
      </w:tr>
      <w:tr>
        <w:tc>
          <w:tcPr>
            <w:tcW w:type="dxa" w:w="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Wave 3</w:t>
            </w:r>
          </w:p>
        </w:tc>
        <w:tc>
          <w:tcPr>
            <w:tcW w:type="dxa" w:w="1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8–14</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 senior AI engineer, 2 frontend, 1 SRE, 1 evaluation engineer</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Multi-agent work, CerebroFlow GA and the eval harness peak together</w:t>
            </w:r>
          </w:p>
        </w:tc>
        <w:tc>
          <w:tcPr>
            <w:tcW w:type="dxa" w:w="22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MS4 slips; eval gates do not exist to protect MS5</w:t>
            </w:r>
          </w:p>
        </w:tc>
      </w:tr>
      <w:tr>
        <w:tc>
          <w:tcPr>
            <w:tcW w:type="dxa" w:w="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Contract / surge</w:t>
            </w:r>
          </w:p>
        </w:tc>
        <w:tc>
          <w:tcPr>
            <w:tcW w:type="dxa" w:w="1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6–22</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testing firm, SOC 2 readiness partner, 1 technical writer</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Specialist and time-boxed</w:t>
            </w:r>
          </w:p>
        </w:tc>
        <w:tc>
          <w:tcPr>
            <w:tcW w:type="dxa" w:w="22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Assurance deliverables at MS5 and MS6 have no owner</w:t>
            </w:r>
          </w:p>
        </w:tc>
      </w:tr>
    </w:tbl>
    <w:p>
      <w:pPr>
        <w:spacing w:after="140" w:before="0" w:line="276"/>
        <w:jc w:val="both"/>
      </w:pPr>
      <w:r>
        <w:rPr>
          <w:rFonts w:ascii="Calibri" w:cs="Calibri" w:eastAsia="Calibri" w:hAnsi="Calibri"/>
          <w:b/>
          <w:bCs/>
          <w:color w:val="1A1A1A"/>
          <w:sz w:val="20"/>
          <w:szCs w:val="20"/>
        </w:rPr>
        <w:t xml:space="preserve">Recruiting throughput assumption. </w:t>
      </w:r>
      <w:r>
        <w:rPr>
          <w:rFonts w:ascii="Calibri" w:cs="Calibri" w:eastAsia="Calibri" w:hAnsi="Calibri"/>
          <w:color w:val="1A1A1A"/>
          <w:sz w:val="20"/>
          <w:szCs w:val="20"/>
        </w:rPr>
        <w:t xml:space="preserve">Nine permanent hires in fourteen weeks in senior AI and platform roles assumes an active pipeline and roughly a six-week average time to offer acceptance. If the pipeline is being built from cold, add four to six weeks and re-baseline MS4 onward. This is assumption A7 in Appendix D and it is the most commonly optimistic number in plans of this shape.</w:t>
      </w:r>
    </w:p>
    <w:p>
      <w:pPr>
        <w:pStyle w:val="Heading2"/>
        <w:keepNext/>
        <w:spacing w:after="130" w:before="300"/>
      </w:pPr>
      <w:r>
        <w:rPr>
          <w:rFonts w:ascii="Calibri" w:cs="Calibri" w:eastAsia="Calibri" w:hAnsi="Calibri"/>
          <w:b/>
          <w:bCs/>
          <w:color w:val="134074"/>
          <w:sz w:val="25"/>
          <w:szCs w:val="25"/>
        </w:rPr>
        <w:t xml:space="preserve">8.3  Ownership map</w:t>
      </w:r>
    </w:p>
    <w:p>
      <w:pPr>
        <w:spacing w:after="140" w:before="0" w:line="276"/>
        <w:jc w:val="both"/>
      </w:pPr>
      <w:r>
        <w:rPr>
          <w:rFonts w:ascii="Calibri" w:cs="Calibri" w:eastAsia="Calibri" w:hAnsi="Calibri"/>
          <w:color w:val="1A1A1A"/>
          <w:sz w:val="20"/>
          <w:szCs w:val="20"/>
        </w:rPr>
        <w:t xml:space="preserve">Nothing in the repository currently declares ownership — there is no CODEOWNERS file and no documented team ownership anywhere the audit could find. That is itself a finding. The following map is established in week 1 and enforced in CI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60"/>
      </w:tblGrid>
      <w:tr>
        <w:trPr>
          <w:tblHeader/>
        </w:trPr>
        <w:tc>
          <w:tcPr>
            <w:tcW w:type="dxa" w:w="3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Domain</w:t>
            </w:r>
          </w:p>
        </w:tc>
        <w:tc>
          <w:tcPr>
            <w:tcW w:type="dxa" w:w="2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Owning function</w:t>
            </w:r>
          </w:p>
        </w:tc>
        <w:tc>
          <w:tcPr>
            <w:tcW w:type="dxa" w:w="28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Reviewer of record</w:t>
            </w:r>
          </w:p>
        </w:tc>
      </w:tr>
      <w:tr>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packages/auth, all authentication middleware</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Security</w:t>
            </w:r>
          </w:p>
        </w:tc>
        <w:tc>
          <w:tcPr>
            <w:tcW w:type="dxa" w:w="2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Security</w:t>
            </w:r>
          </w:p>
        </w:tc>
      </w:tr>
      <w:tr>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packages/ai-gateway, providers, routing</w:t>
            </w:r>
          </w:p>
        </w:tc>
        <w:tc>
          <w:tcPr>
            <w:tcW w:type="dxa" w:w="2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Runtime engineering</w:t>
            </w:r>
          </w:p>
        </w:tc>
        <w:tc>
          <w:tcPr>
            <w:tcW w:type="dxa" w:w="2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Principal Engineer, Runtime</w:t>
            </w:r>
          </w:p>
        </w:tc>
      </w:tr>
      <w:tr>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packages/capabilities/*, agent runtime service</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Runtime engineering</w:t>
            </w:r>
          </w:p>
        </w:tc>
        <w:tc>
          <w:tcPr>
            <w:tcW w:type="dxa" w:w="2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Principal Engineer, Runtime</w:t>
            </w:r>
          </w:p>
        </w:tc>
      </w:tr>
      <w:tr>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packages/database, Prisma schema and migrations</w:t>
            </w:r>
          </w:p>
        </w:tc>
        <w:tc>
          <w:tcPr>
            <w:tcW w:type="dxa" w:w="2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Platform engineering</w:t>
            </w:r>
          </w:p>
        </w:tc>
        <w:tc>
          <w:tcPr>
            <w:tcW w:type="dxa" w:w="2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Platform</w:t>
            </w:r>
          </w:p>
        </w:tc>
      </w:tr>
      <w:tr>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infra/**, Helm, ArgoCD, Terraform</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Platform engineering</w:t>
            </w:r>
          </w:p>
        </w:tc>
        <w:tc>
          <w:tcPr>
            <w:tcW w:type="dxa" w:w="2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Platform</w:t>
            </w:r>
          </w:p>
        </w:tc>
      </w:tr>
      <w:tr>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apps/studio, apps/flow, apps/search</w:t>
            </w:r>
          </w:p>
        </w:tc>
        <w:tc>
          <w:tcPr>
            <w:tcW w:type="dxa" w:w="2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 engineering</w:t>
            </w:r>
          </w:p>
        </w:tc>
        <w:tc>
          <w:tcPr>
            <w:tcW w:type="dxa" w:w="2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Product Engineering</w:t>
            </w:r>
          </w:p>
        </w:tc>
      </w:tr>
      <w:tr>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services/agent-runner, planner-service, swarm-*</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Runtime engineering</w:t>
            </w:r>
          </w:p>
        </w:tc>
        <w:tc>
          <w:tcPr>
            <w:tcW w:type="dxa" w:w="2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Principal Engineer, Runtime</w:t>
            </w:r>
          </w:p>
        </w:tc>
      </w:tr>
      <w:tr>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Kotlin and C++ services</w:t>
            </w:r>
          </w:p>
        </w:tc>
        <w:tc>
          <w:tcPr>
            <w:tcW w:type="dxa" w:w="2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Unassigned — see D4</w:t>
            </w:r>
          </w:p>
        </w:tc>
        <w:tc>
          <w:tcPr>
            <w:tcW w:type="dxa" w:w="28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VP Engineering until resolved</w:t>
            </w:r>
          </w:p>
        </w:tc>
      </w:tr>
      <w:tr>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tests/**, CI workflows, eval harness</w:t>
            </w:r>
          </w:p>
        </w:tc>
        <w:tc>
          <w:tcPr>
            <w:tcW w:type="dxa" w:w="2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Quality</w:t>
            </w:r>
          </w:p>
        </w:tc>
        <w:tc>
          <w:tcPr>
            <w:tcW w:type="dxa" w:w="28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Head of Quality</w:t>
            </w:r>
          </w:p>
        </w:tc>
      </w:tr>
    </w:tbl>
    <w:p>
      <w:pPr>
        <w:pStyle w:val="Heading2"/>
        <w:keepNext/>
        <w:spacing w:after="130" w:before="300"/>
      </w:pPr>
      <w:r>
        <w:rPr>
          <w:rFonts w:ascii="Calibri" w:cs="Calibri" w:eastAsia="Calibri" w:hAnsi="Calibri"/>
          <w:b/>
          <w:bCs/>
          <w:color w:val="134074"/>
          <w:sz w:val="25"/>
          <w:szCs w:val="25"/>
        </w:rPr>
        <w:t xml:space="preserve">8.4  Knowledge risk</w:t>
      </w:r>
    </w:p>
    <w:p>
      <w:pPr>
        <w:spacing w:after="140" w:before="0" w:line="276"/>
        <w:jc w:val="both"/>
      </w:pPr>
      <w:r>
        <w:rPr>
          <w:rFonts w:ascii="Calibri" w:cs="Calibri" w:eastAsia="Calibri" w:hAnsi="Calibri"/>
          <w:color w:val="1A1A1A"/>
          <w:sz w:val="20"/>
          <w:szCs w:val="20"/>
        </w:rPr>
        <w:t xml:space="preserve">Six languages across thirty-three services, none with documented ownership, is a concentration risk in disguise: the knowledge exists but its location is unknown, which behaves identically to a bus factor of one until it is mapped. Three mitigations run from week 1 — pair rotation across the Python, Go and TypeScript agent paths; a mandatory service card for each retained service capturing purpose, dependencies, runbook and owner; and a standing rule that no service survives the consolidation decision without a named owner.</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9  </w:t>
      </w:r>
      <w:r>
        <w:rPr>
          <w:rFonts w:ascii="Calibri Light" w:cs="Calibri Light" w:eastAsia="Calibri Light" w:hAnsi="Calibri Light"/>
          <w:b/>
          <w:bCs/>
          <w:color w:val="0B2545"/>
          <w:sz w:val="34"/>
          <w:szCs w:val="34"/>
        </w:rPr>
        <w:t xml:space="preserve">Sprint Backlog: Twelve Bi-Weekly Sprints</w:t>
      </w:r>
    </w:p>
    <w:p>
      <w:pPr>
        <w:spacing w:after="140" w:before="0" w:line="276"/>
        <w:jc w:val="both"/>
      </w:pPr>
      <w:r>
        <w:rPr>
          <w:rFonts w:ascii="Calibri" w:cs="Calibri" w:eastAsia="Calibri" w:hAnsi="Calibri"/>
          <w:color w:val="1A1A1A"/>
          <w:sz w:val="20"/>
          <w:szCs w:val="20"/>
        </w:rPr>
        <w:t xml:space="preserve">Nine hundred and eighty story points across twelve sprints, at a planned velocity of roughly 82 points per sprint rising to 92 as the team ramps. Points are relative and calibrated against a reference item — wiring one repository against an existing Prisma model is three points. Acceptance criteria are written to be falsifiable; anything phrased as "works correctly" has been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E6E9E"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3E6E9E"/>
                <w:sz w:val="19"/>
                <w:szCs w:val="19"/>
              </w:rPr>
              <w:t xml:space="preserve">Backlog discipline</w:t>
            </w:r>
          </w:p>
          <w:p>
            <w:pPr>
              <w:spacing w:after="60" w:line="264"/>
              <w:jc w:val="both"/>
            </w:pPr>
            <w:r>
              <w:rPr>
                <w:rFonts w:ascii="Calibri" w:cs="Calibri" w:eastAsia="Calibri" w:hAnsi="Calibri"/>
                <w:color w:val="1A1A1A"/>
                <w:sz w:val="19"/>
                <w:szCs w:val="19"/>
              </w:rPr>
              <w:t xml:space="preserve">Items may be exchanged within a sprint at equal point value with the workstream lead's agreement. Items may not be added without removing an equivalent. Sprint goals are not negotiable mid-sprint; if the goal becomes unachievable, the sprint is stopped and replanned rather than quietly missed.</w:t>
            </w:r>
          </w:p>
        </w:tc>
      </w:tr>
    </w:tbl>
    <w:p>
      <w:pPr>
        <w:pStyle w:val="Heading2"/>
        <w:keepNext/>
        <w:spacing w:after="130" w:before="300"/>
      </w:pPr>
      <w:r>
        <w:rPr>
          <w:rFonts w:ascii="Calibri" w:cs="Calibri" w:eastAsia="Calibri" w:hAnsi="Calibri"/>
          <w:b/>
          <w:bCs/>
          <w:color w:val="134074"/>
          <w:sz w:val="25"/>
          <w:szCs w:val="25"/>
        </w:rPr>
        <w:t xml:space="preserve">9.1  Sprints 1–4 · Foundation</w:t>
      </w:r>
    </w:p>
    <w:p>
      <w:pPr>
        <w:pStyle w:val="Heading3"/>
        <w:keepNext/>
        <w:spacing w:after="100" w:before="220"/>
      </w:pPr>
      <w:r>
        <w:rPr>
          <w:rFonts w:ascii="Calibri" w:cs="Calibri" w:eastAsia="Calibri" w:hAnsi="Calibri"/>
          <w:b/>
          <w:bCs/>
          <w:color w:val="2E3A4B"/>
          <w:sz w:val="21"/>
          <w:szCs w:val="21"/>
        </w:rPr>
        <w:t xml:space="preserve">Sprint 1 · Weeks 1–2 · 76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A single deployment truth and a verified identity in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Verify live auth posture on both public hosts (D1)</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written answer with evidence from the cluster, filed as an ADR</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Render both Helm generations and diff them</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Diff committed; conflicting object identities enumerated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Decide and delete the losing Helm generation (D2)</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generation remains; chart renders without duplicate object names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Deploy the auth preHandler to staging behind a flag</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Flag on: unauthenticated requests receive 401. Flag off: prior behaviour</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Scope secrets so platform-api receives provider keys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Pod environment contains the provider key; gateway reports the provider enabled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Declare ai-gateway as a platform-api dependency and construct the runtime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Server boots with the gateway and runtime service constructed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harness, CI job and coverage baseline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Integration tests run in CI against a real database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S1-08</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Programme baseline: backlog import, ownership map, ADR template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CODEOWNERS merged; ADR 0001 through 0003 filed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S1-09</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Fix the hard-coded port; read PORT from the environment</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Readiness probe passes against the Helm-injected port</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audit discovery kickoff</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Scaffold inventory categorised into remove, complete and keep</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2 · Weeks 3–4 · 80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MS1: no unauthenticated public endpoint, and one real agent call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Enforce authentication in production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public route returns 401 without a valid token; health checks unaffected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Workspace-to-tenant ownership lookup in the data layer</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request naming a workspace the tenant does not own returns 403</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M10.1 — replace the hard-coded invoke with a real gateway call</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conversation message returns content from a live provider completion</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M10.1 negative path — invalid agent id fails cleanly</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silent fallback to a canned response; the error is explicit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Four-scenario security regression suite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Authenticated, unauthenticated, invalid token and cross-tenant all covered and blocking</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Tool definitions added to gateway request and response types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Types compile across all consumers; no provider branching outside the gateway</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Anthropic tool-call translation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tool-forcing prompt returns a correctly shaped tool-call array</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S2-08</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Service consolidation discovery (D4 input)</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service classified: retain, merge, retire, unknown-owner</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S2-09</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MS1 gate preparation and review</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Checklist evidence assembled ahead of the gate, not during it</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3 · Weeks 5–6 · 84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Tools described and executed; persistence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OpenAI tool-call translation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Identical response shape to the Anthropic path; regression test for plain prompts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M10.3 — execution branch replaces always-final-answer</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Tool result is pushed into messages and the loop continues</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Register one real tool at startup</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registered tool executes against a real dependency</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Iteration cap behaviour under a looping tool</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Cap is enforced and throws cleanly with a diagnosable error</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Conversation repository following the existing pattern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Create, append and load with history, tested against a real database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RBAC enforcement on agent and workflow routes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role without the permission receives 403; permission map exercised in tests</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Audit logging tied to the verified identity</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mutating request writes a record naming the verified subject</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S3-08</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scaffold burndown wave one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Dead routes removed; placeholder hrefs resolved or ticketed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S3-09</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Design partner shortlist and outreach (D6)</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Three named candidates with a scheduled first conversation</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S3-10</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HiveSwarm convergence discovery</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Both runtimes' capabilities mapped against one another</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4 · Weeks 7–8 · 86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MS2: a working agent with tools and memory of its own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Conversation routes create real rows and load real history</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Second message is aware of the first; both rows survive a restart</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Full round trip test: prompt, tool, execution, final answer</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runs against the real registered tool in CI</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Cross-tenant regression suite becomes a blocking CI gate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pull request that regresses isolation cannot merge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Evaluation harness design and first metric definitions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Hallucination, accuracy and safety metrics defined with thresholds</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Streaming through the conversation path</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Tokens stream to the client; cancellation propagates to the provider</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audit findings report and remediation plan</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Categorised backlog with estimates re-baselined at medium confidence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Convergence options paper for D3</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Three options with cost, risk and a recommendation</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S4-08</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Retry policy in the swarm execution engine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Configurable retry with backoff; the code's own TODO removed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S4-09</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MS2 gate review</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Binary pass or fail recorded with evidence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S4-10</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Pricing and metering instrumentation design</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Event schema agreed with the runtime team</w:t>
            </w:r>
          </w:p>
        </w:tc>
      </w:tr>
    </w:tbl>
    <w:p>
      <w:pPr>
        <w:spacing w:after="120"/>
      </w:pPr>
    </w:p>
    <w:p>
      <w:pPr>
        <w:pStyle w:val="Heading2"/>
        <w:keepNext/>
        <w:spacing w:after="130" w:before="300"/>
      </w:pPr>
      <w:r>
        <w:rPr>
          <w:rFonts w:ascii="Calibri" w:cs="Calibri" w:eastAsia="Calibri" w:hAnsi="Calibri"/>
          <w:b/>
          <w:bCs/>
          <w:color w:val="134074"/>
          <w:sz w:val="25"/>
          <w:szCs w:val="25"/>
        </w:rPr>
        <w:t xml:space="preserve">9.2  Sprints 5–8 · Memory, convergence and coordination</w:t>
      </w:r>
    </w:p>
    <w:p>
      <w:pPr>
        <w:pStyle w:val="Heading3"/>
        <w:keepNext/>
        <w:spacing w:after="100" w:before="220"/>
      </w:pPr>
      <w:r>
        <w:rPr>
          <w:rFonts w:ascii="Calibri" w:cs="Calibri" w:eastAsia="Calibri" w:hAnsi="Calibri"/>
          <w:b/>
          <w:bCs/>
          <w:color w:val="2E3A4B"/>
          <w:sz w:val="21"/>
          <w:szCs w:val="21"/>
        </w:rPr>
        <w:t xml:space="preserve">Sprint 5 · Weeks 9–10 · 88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The platform remembers.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Memory and embedding repositories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Rows written to the existing pgvector column via the existing schema</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Embeddings client alongside the chat providers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Embedding model recorded against each vector</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Retrieval folded into prompt assembly</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Retrieved chunks appear in the assembled prompt and are traceable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Retrieval accuracy test with seeded facts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Relevant queries retrieve; irrelevant queries do not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Evaluation harness first suite running in CI</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eval gate can block a merge on a regression</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Hybrid vector and BM25 ranking</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Both rankers contribute; the blend is configurable and measured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Ingestion pipeline and chunking strategy</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document ingests end to end and becomes searchable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S5-08</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CerebroFlow GA scope frozen</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Written scope with explicit exclusions</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S5-09</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Metering events emitted from the runtime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model call emits an event attributable to a verified tenant</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6 · Weeks 11–12 · 90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MS3: convergence executed, memory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D3 decision recorded and communicated</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system of record named in an accepted ADR</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Convergence execution wave one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non-canonical path is either retired or formally scoped as a separate product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Long-conversation retrieval test beyond the context window</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fact stated far earlier is answered correctly from retrieval</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Raw-history regression when retrieval finds nothing</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persistence path still works with an empty retrieval result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CerebroSearch product surface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Results served with relevance and latency measured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SOC 2 evidence automation, control mapping</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Events map to named controls; gaps are listed rather than hidden</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First design partner environment provisioned</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Partner can authenticate and run an agent in their own tenant</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S6-08</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Knowledge graph entity extraction, first pass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Entities extracted and stored; recall measured on a sample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S6-09</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MS3 gate review</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Binary pass or fail recorded with evidence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S6-10</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scaffold burndown wave two</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Scaffold density published as a tracked figure</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7 · Weeks 13–14 · 92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Plans that actually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Real execution provider replaces the simulated worker</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Node output comes from a real model call through a real persona</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Agent selection wired to the capability registry</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Selection varies by node requirement, demonstrably</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Model-backed planner emitting a DAG</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different intents produce two different DAG shapes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Planner output validation and cycle detection</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An invalid or cyclic plan is rejected before execution</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Metering accuracy reconciliation harness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Metered usage compared against provider-reported usage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SOC 2 evidence collection automated for the first five controls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Evidence generated without manual assembly</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S7-07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CerebroFlow GA build wave one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Core authoring and execution paths complete behind a flag</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8 · Weeks 15–16 · 90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MS4: coordinated agents on real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End-to-end swarm run with non-identical node outputs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Outputs differ across nodes and are traceable to distinct calls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Multi-tenant resource isolation</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tenant cannot exhaust another's execution capacity under load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Storage partitioning per tenant</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Vector and object storage partitioned and access-checked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CerebroFlow feature complete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item in the frozen scope is demonstrable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k6 load profiles against the runtime path</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Published p50, p95 and p99 under the target concurrency</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Chaos experiments against the degradation map</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Each declared fallback observed to occur as specified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S8-07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MS4 gate review</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Binary pass or fail recorded with evidence</w:t>
            </w:r>
          </w:p>
        </w:tc>
      </w:tr>
    </w:tbl>
    <w:p>
      <w:pPr>
        <w:spacing w:after="120"/>
      </w:pPr>
    </w:p>
    <w:p>
      <w:pPr>
        <w:pStyle w:val="Heading2"/>
        <w:keepNext/>
        <w:spacing w:after="130" w:before="300"/>
      </w:pPr>
      <w:r>
        <w:rPr>
          <w:rFonts w:ascii="Calibri" w:cs="Calibri" w:eastAsia="Calibri" w:hAnsi="Calibri"/>
          <w:b/>
          <w:bCs/>
          <w:color w:val="134074"/>
          <w:sz w:val="25"/>
          <w:szCs w:val="25"/>
        </w:rPr>
        <w:t xml:space="preserve">9.3  Sprints 9–12 · Hardening, assurance and launch</w:t>
      </w:r>
    </w:p>
    <w:p>
      <w:pPr>
        <w:pStyle w:val="Heading3"/>
        <w:keepNext/>
        <w:spacing w:after="100" w:before="220"/>
      </w:pPr>
      <w:r>
        <w:rPr>
          <w:rFonts w:ascii="Calibri" w:cs="Calibri" w:eastAsia="Calibri" w:hAnsi="Calibri"/>
          <w:b/>
          <w:bCs/>
          <w:color w:val="2E3A4B"/>
          <w:sz w:val="21"/>
          <w:szCs w:val="21"/>
        </w:rPr>
        <w:t xml:space="preserve">Sprint 9 · Weeks 17–18 · 88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One public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SDK facade over the frozen internals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call runs any agent with memory, tools and streaming toggled by flags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Consumer-side SDK test using only the public surface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reaching into internals anywhere in the test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re-platform wave one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highest-traffic paths migrated to SDK calls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test kickoff and environment preparation</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Scoped environment with representative data and access</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Runtime hardening from load findings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finding from S8-05 either fixed or explicitly accepted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Support runbooks for the eleven retained services</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Each runbook exercised once by someone who did not write it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S9-07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Beta readiness checklist drafted</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Checklist agreed across all workstreams</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10 · Weeks 19–20 · 86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MS5: sellable.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SDK frozen; Studio imports no internals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WS2</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lint rule fails the build on any internal import from Studio</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remediation cycle one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open critical findings</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Metering accuracy validated against provider invoices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Within 2% across a full billing period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re-platform wave two</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Remaining call sites migrated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Documentation and generated API reference complete</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Reference generated from source in CI, not maintained by hand</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MS5 gate review</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Binary pass or fail recorded with evidence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S10-07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Pricing enforcement behind a flag</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Credit exhaustion produces the specified behaviour, not an error</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11 · Weeks 21–22 · 84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Evidence and partners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remediation cycle two</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WS1</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open critical or high findings</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SOC 2 Type I evidence package assembled</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Auditor-ready package with gaps explicitly listed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Design partners running production workloads</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Three tenants with real usage and metered consumption</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SLO definitions published and measurement window opened</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WS5</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Availability, latency and quality SLOs with alerting attached</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re-platform complete and scaffold figure published</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WS4</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Tracked figure with a trend line, not a point measurement</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S11-06</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Incident response game day</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WS3</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simulated Sev-1 handled within the published response target</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S11-07</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Beta cohort onboarding automation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new tenant is provisioned without manual steps</w:t>
            </w:r>
          </w:p>
        </w:tc>
      </w:tr>
    </w:tbl>
    <w:p>
      <w:pPr>
        <w:spacing w:after="120"/>
      </w:pPr>
    </w:p>
    <w:p>
      <w:pPr>
        <w:pStyle w:val="Heading3"/>
        <w:keepNext/>
        <w:spacing w:after="100" w:before="220"/>
      </w:pPr>
      <w:r>
        <w:rPr>
          <w:rFonts w:ascii="Calibri" w:cs="Calibri" w:eastAsia="Calibri" w:hAnsi="Calibri"/>
          <w:b/>
          <w:bCs/>
          <w:color w:val="2E3A4B"/>
          <w:sz w:val="21"/>
          <w:szCs w:val="21"/>
        </w:rPr>
        <w:t xml:space="preserve">Sprint 12 · Weeks 23–24 · 36 points</w:t>
      </w:r>
    </w:p>
    <w:p>
      <w:pPr>
        <w:spacing w:after="100" w:before="0" w:line="276"/>
        <w:jc w:val="both"/>
      </w:pPr>
      <w:r>
        <w:rPr>
          <w:rFonts w:ascii="Calibri" w:cs="Calibri" w:eastAsia="Calibri" w:hAnsi="Calibri"/>
          <w:b/>
          <w:bCs/>
          <w:color w:val="1A1A1A"/>
          <w:sz w:val="20"/>
          <w:szCs w:val="20"/>
        </w:rPr>
        <w:t xml:space="preserve">Sprint goal: </w:t>
      </w:r>
      <w:r>
        <w:rPr>
          <w:rFonts w:ascii="Calibri" w:cs="Calibri" w:eastAsia="Calibri" w:hAnsi="Calibri"/>
          <w:color w:val="1A1A1A"/>
          <w:sz w:val="20"/>
          <w:szCs w:val="20"/>
        </w:rPr>
        <w:t xml:space="preserve">MS6: controlled general availability, plus contingency absorption.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700"/>
        <w:gridCol w:w="550"/>
        <w:gridCol w:w="4210"/>
      </w:tblGrid>
      <w:tr>
        <w:trPr>
          <w:tblHeader/>
        </w:trPr>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Item</w:t>
            </w:r>
          </w:p>
        </w:tc>
        <w:tc>
          <w:tcPr>
            <w:tcW w:type="dxa" w:w="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WS</w:t>
            </w:r>
          </w:p>
        </w:tc>
        <w:tc>
          <w:tcPr>
            <w:tcW w:type="dxa" w:w="55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Pts</w:t>
            </w:r>
          </w:p>
        </w:tc>
        <w:tc>
          <w:tcPr>
            <w:tcW w:type="dxa" w:w="421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Acceptance</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S12-01</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GA checklist completion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item evidenced; exceptions signed off by a named owner</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S12-02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Launch communications and enablement</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Sales and support enabled against the actual capability, not the roadmap</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S12-03</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Controlled GA to the design-partner cohort and waitlist</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WS6</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Contracts in place; usage flowing; billing accurate</w:t>
            </w:r>
          </w:p>
        </w:tc>
      </w:tr>
      <w:tr>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S12-04</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Programme retrospective and horizon-two baseline</w:t>
            </w:r>
          </w:p>
        </w:tc>
        <w:tc>
          <w:tcPr>
            <w:tcW w:type="dxa" w:w="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WS0</w:t>
            </w:r>
          </w:p>
        </w:tc>
        <w:tc>
          <w:tcPr>
            <w:tcW w:type="dxa" w:w="55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5</w:t>
            </w:r>
          </w:p>
        </w:tc>
        <w:tc>
          <w:tcPr>
            <w:tcW w:type="dxa" w:w="421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Written retrospective; the next plan drafted from measured velocity</w:t>
            </w:r>
          </w:p>
        </w:tc>
      </w:tr>
      <w:tr>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S12-05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Contingency absorption</w:t>
            </w:r>
          </w:p>
        </w:tc>
        <w:tc>
          <w:tcPr>
            <w:tcW w:type="dxa" w:w="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All</w:t>
            </w:r>
          </w:p>
        </w:tc>
        <w:tc>
          <w:tcPr>
            <w:tcW w:type="dxa" w:w="55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10</w:t>
            </w:r>
          </w:p>
        </w:tc>
        <w:tc>
          <w:tcPr>
            <w:tcW w:type="dxa" w:w="421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Approximately 34 projected carry-over points cleared</w:t>
            </w:r>
          </w:p>
        </w:tc>
      </w:tr>
    </w:tbl>
    <w:p>
      <w:pPr>
        <w:spacing w:after="120"/>
      </w:pPr>
    </w:p>
    <w:p>
      <w:pPr>
        <w:pStyle w:val="Heading2"/>
        <w:keepNext/>
        <w:spacing w:after="130" w:before="300"/>
      </w:pPr>
      <w:r>
        <w:rPr>
          <w:rFonts w:ascii="Calibri" w:cs="Calibri" w:eastAsia="Calibri" w:hAnsi="Calibri"/>
          <w:b/>
          <w:bCs/>
          <w:color w:val="134074"/>
          <w:sz w:val="25"/>
          <w:szCs w:val="25"/>
        </w:rPr>
        <w:t xml:space="preserve">9.4  Velocity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Sprint range</w:t>
            </w:r>
          </w:p>
        </w:tc>
        <w:tc>
          <w:tcPr>
            <w:tcW w:type="dxa" w:w="2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Planned velocity</w:t>
            </w:r>
          </w:p>
        </w:tc>
        <w:tc>
          <w:tcPr>
            <w:tcW w:type="dxa" w:w="54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Rationale</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1–2</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76–80</w:t>
            </w:r>
          </w:p>
        </w:tc>
        <w:tc>
          <w:tcPr>
            <w:tcW w:type="dxa" w:w="5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Team of 13 to 17; onboarding drag from wave-one hires</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3–6</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84–90</w:t>
            </w:r>
          </w:p>
        </w:tc>
        <w:tc>
          <w:tcPr>
            <w:tcW w:type="dxa" w:w="5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Wave two productive; codebase familiarity improving</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7–11</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84–92</w:t>
            </w:r>
          </w:p>
        </w:tc>
        <w:tc>
          <w:tcPr>
            <w:tcW w:type="dxa" w:w="5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Full team; offset by increasing coordination cost</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12</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36</w:t>
            </w:r>
          </w:p>
        </w:tc>
        <w:tc>
          <w:tcPr>
            <w:tcW w:type="dxa" w:w="54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Contingency sprint, deliberately light</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Total</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980 points</w:t>
            </w:r>
          </w:p>
        </w:tc>
        <w:tc>
          <w:tcPr>
            <w:tcW w:type="dxa" w:w="54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Risk-adjusted forecast at 85% leaves roughly 34 points, absorbed by sprint 12</w:t>
            </w:r>
          </w:p>
        </w:tc>
      </w:tr>
    </w:tbl>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10  </w:t>
      </w:r>
      <w:r>
        <w:rPr>
          <w:rFonts w:ascii="Calibri Light" w:cs="Calibri Light" w:eastAsia="Calibri Light" w:hAnsi="Calibri Light"/>
          <w:b/>
          <w:bCs/>
          <w:color w:val="0B2545"/>
          <w:sz w:val="34"/>
          <w:szCs w:val="34"/>
        </w:rPr>
        <w:t xml:space="preserve">Milestone Checklists</w:t>
      </w:r>
    </w:p>
    <w:p>
      <w:pPr>
        <w:spacing w:after="140" w:before="0" w:line="276"/>
        <w:jc w:val="both"/>
      </w:pPr>
      <w:r>
        <w:rPr>
          <w:rFonts w:ascii="Calibri" w:cs="Calibri" w:eastAsia="Calibri" w:hAnsi="Calibri"/>
          <w:color w:val="1A1A1A"/>
          <w:sz w:val="20"/>
          <w:szCs w:val="20"/>
        </w:rPr>
        <w:t xml:space="preserve">Six gates, four weeks apart. Each is binary. A gate that passes with three exceptions has not passed; it has been renegotiated, and the renegotiation is recorded as a change to the plan rather than as a milestone achievement. The evidence column exists so that a gate cannot be passed on assertion.</w:t>
      </w:r>
    </w:p>
    <w:p>
      <w:pPr>
        <w:pStyle w:val="Heading2"/>
        <w:keepNext/>
        <w:spacing w:after="130" w:before="300"/>
      </w:pPr>
      <w:r>
        <w:rPr>
          <w:rFonts w:ascii="Calibri" w:cs="Calibri" w:eastAsia="Calibri" w:hAnsi="Calibri"/>
          <w:b/>
          <w:bCs/>
          <w:color w:val="134074"/>
          <w:sz w:val="25"/>
          <w:szCs w:val="25"/>
        </w:rPr>
        <w:t xml:space="preserve">MS1 — Trustworthy front door (end of week 4)</w:t>
      </w:r>
    </w:p>
    <w:p>
      <w:pPr>
        <w:spacing w:after="140" w:before="0" w:line="276"/>
        <w:jc w:val="both"/>
      </w:pPr>
      <w:r>
        <w:rPr>
          <w:rFonts w:ascii="Calibri" w:cs="Calibri" w:eastAsia="Calibri" w:hAnsi="Calibri"/>
          <w:color w:val="1A1A1A"/>
          <w:sz w:val="20"/>
          <w:szCs w:val="20"/>
        </w:rPr>
        <w:t xml:space="preserve">The single most important gate in the programme. Everything downstream assumes a verified identity and a single deployment truth; if either is unresolved here, the remaining twenty weeks are built on the same sand.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400"/>
        <w:gridCol w:w="16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Criterion</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Evidence required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Owner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public endpoint accepts an unauthenticated request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Automated test hitting every route without a token; all return 401</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Tenant identity is sourced from verified token claims only</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Code search confirming no route reads x-tenant-id or x-user-id</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Health checks remain unauthenticated and pods reach Ready</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Kubernetes rollout with readiness passing</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Exactly one Helm template generation renders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Committed render output; no duplicate object identities</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platform-api receives provider API keys in its environment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Pod environment inspection; gateway reports the provider enabled</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conversation message returns real provider content</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Response shows a real model id and duration; revoking the key produces a real failure, not a canned string</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An invalid agent id fails explicitly</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asserting an error rather than a silent fallback</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D1 answered and D2 decided, both recorded as ADRs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Merged ADRs with dates and owners</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VP Engineering</w:t>
            </w:r>
          </w:p>
        </w:tc>
      </w:tr>
    </w:tbl>
    <w:p>
      <w:pPr>
        <w:spacing w:after="140" w:before="120" w:line="276"/>
        <w:jc w:val="both"/>
      </w:pPr>
      <w:r>
        <w:rPr>
          <w:rFonts w:ascii="Calibri" w:cs="Calibri" w:eastAsia="Calibri" w:hAnsi="Calibri"/>
          <w:b/>
          <w:bCs/>
          <w:color w:val="1A1A1A"/>
          <w:sz w:val="20"/>
          <w:szCs w:val="20"/>
        </w:rPr>
        <w:t xml:space="preserve">Gate rule: </w:t>
      </w:r>
      <w:r>
        <w:rPr>
          <w:rFonts w:ascii="Calibri" w:cs="Calibri" w:eastAsia="Calibri" w:hAnsi="Calibri"/>
          <w:color w:val="1A1A1A"/>
          <w:sz w:val="20"/>
          <w:szCs w:val="20"/>
        </w:rPr>
        <w:t xml:space="preserve">If the authentication criteria fail, the programme stops and all workstreams redirect to WS1 until they pass. No other criterion may be traded against them.</w:t>
      </w:r>
    </w:p>
    <w:p>
      <w:pPr>
        <w:pStyle w:val="Heading2"/>
        <w:keepNext/>
        <w:spacing w:after="130" w:before="300"/>
      </w:pPr>
      <w:r>
        <w:rPr>
          <w:rFonts w:ascii="Calibri" w:cs="Calibri" w:eastAsia="Calibri" w:hAnsi="Calibri"/>
          <w:b/>
          <w:bCs/>
          <w:color w:val="134074"/>
          <w:sz w:val="25"/>
          <w:szCs w:val="25"/>
        </w:rPr>
        <w:t xml:space="preserve">MS2 — Working agent (end of week 8)</w:t>
      </w:r>
    </w:p>
    <w:p>
      <w:pPr>
        <w:spacing w:after="140" w:before="0" w:line="276"/>
        <w:jc w:val="both"/>
      </w:pPr>
      <w:r>
        <w:rPr>
          <w:rFonts w:ascii="Calibri" w:cs="Calibri" w:eastAsia="Calibri" w:hAnsi="Calibri"/>
          <w:color w:val="1A1A1A"/>
          <w:sz w:val="20"/>
          <w:szCs w:val="20"/>
        </w:rPr>
        <w:t xml:space="preserve">The agent becomes useful rather than merely responsive: it can use a tool and it can remember what was said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400"/>
        <w:gridCol w:w="16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Criterion</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Evidence required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Owner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tool-forcing prompt returns a correctly shaped tool-call array from both providers</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Integration test, one per provider</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normal prompt still returns plain content with no tool calls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Regression test proving MS1's path is intact</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full round trip completes: prompt, tool call, real execution, final answer</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End-to-end test through the HTTP route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iteration cap throws cleanly on a looping tool</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with a deliberately non-resolving tool</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sequential messages show the second is aware of the first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Conversation continuity test</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Message rows survive a process restart</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Direct database query after restart</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RBAC is enforced, not merely available</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role lacking the permission receives 403 in test</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Cross-tenant access is impossible and proven by a blocking CI gate</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deliberately regressing pull request fails to merge</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mutating request writes an audit record naming the verified subject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Audit query across a test run</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w:t>
            </w:r>
          </w:p>
        </w:tc>
      </w:tr>
    </w:tbl>
    <w:p>
      <w:pPr>
        <w:spacing w:after="140" w:before="120" w:line="276"/>
        <w:jc w:val="both"/>
      </w:pPr>
      <w:r>
        <w:rPr>
          <w:rFonts w:ascii="Calibri" w:cs="Calibri" w:eastAsia="Calibri" w:hAnsi="Calibri"/>
          <w:b/>
          <w:bCs/>
          <w:color w:val="1A1A1A"/>
          <w:sz w:val="20"/>
          <w:szCs w:val="20"/>
        </w:rPr>
        <w:t xml:space="preserve">Gate rule: </w:t>
      </w:r>
      <w:r>
        <w:rPr>
          <w:rFonts w:ascii="Calibri" w:cs="Calibri" w:eastAsia="Calibri" w:hAnsi="Calibri"/>
          <w:color w:val="1A1A1A"/>
          <w:sz w:val="20"/>
          <w:szCs w:val="20"/>
        </w:rPr>
        <w:t xml:space="preserve">Persistence and tool execution are both required. Passing on tools alone defers the harder half into a sprint that has no room for it.</w:t>
      </w:r>
    </w:p>
    <w:p>
      <w:pPr>
        <w:pStyle w:val="Heading2"/>
        <w:keepNext/>
        <w:spacing w:after="130" w:before="300"/>
      </w:pPr>
      <w:r>
        <w:rPr>
          <w:rFonts w:ascii="Calibri" w:cs="Calibri" w:eastAsia="Calibri" w:hAnsi="Calibri"/>
          <w:b/>
          <w:bCs/>
          <w:color w:val="134074"/>
          <w:sz w:val="25"/>
          <w:szCs w:val="25"/>
        </w:rPr>
        <w:t xml:space="preserve">MS3 — Remembering agent and one runtime (end of week 12)</w:t>
      </w:r>
    </w:p>
    <w:p>
      <w:pPr>
        <w:spacing w:after="140" w:before="0" w:line="276"/>
        <w:jc w:val="both"/>
      </w:pPr>
      <w:r>
        <w:rPr>
          <w:rFonts w:ascii="Calibri" w:cs="Calibri" w:eastAsia="Calibri" w:hAnsi="Calibri"/>
          <w:color w:val="1A1A1A"/>
          <w:sz w:val="20"/>
          <w:szCs w:val="20"/>
        </w:rPr>
        <w:t xml:space="preserve">Memory becomes real, and the organisation stops paying to build the same capability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400"/>
        <w:gridCol w:w="16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Criterion</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Evidence required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Owner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conversation beyond the raw context window answers correctly from retrieval</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Long-conversation test with a fact stated early</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Seeded facts retrieve for relevant queries and not for irrelevant ones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Retrieval accuracy test with a published precision figure</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raw-history path still works when retrieval returns nothing</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Regression test</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D3 is decided, recorded and being executed</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Merged ADR plus visible convergence work in the sprint</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VP Engineering</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CerebroSearch serves hybrid vector and keyword results</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Live demonstration with latency and relevance measured</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Product Engineering</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Metering events are emitted and attributable to a verified tenant</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Event stream sampled and reconciled</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Commercial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evaluation gate can block a merge on a quality regression</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deliberately regressing pull request fails the gate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design partner can authenticate and run an agent in their own tenant</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Partner-witnessed session</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Commercial</w:t>
            </w:r>
          </w:p>
        </w:tc>
      </w:tr>
    </w:tbl>
    <w:p>
      <w:pPr>
        <w:spacing w:after="140" w:before="120" w:line="276"/>
        <w:jc w:val="both"/>
      </w:pPr>
      <w:r>
        <w:rPr>
          <w:rFonts w:ascii="Calibri" w:cs="Calibri" w:eastAsia="Calibri" w:hAnsi="Calibri"/>
          <w:b/>
          <w:bCs/>
          <w:color w:val="1A1A1A"/>
          <w:sz w:val="20"/>
          <w:szCs w:val="20"/>
        </w:rPr>
        <w:t xml:space="preserve">Gate rule: </w:t>
      </w:r>
      <w:r>
        <w:rPr>
          <w:rFonts w:ascii="Calibri" w:cs="Calibri" w:eastAsia="Calibri" w:hAnsi="Calibri"/>
          <w:color w:val="1A1A1A"/>
          <w:sz w:val="20"/>
          <w:szCs w:val="20"/>
        </w:rPr>
        <w:t xml:space="preserve">D3 must be executed, not merely decided. A recorded decision with no visible convergence work does not pass this gate.</w:t>
      </w:r>
    </w:p>
    <w:p>
      <w:pPr>
        <w:pStyle w:val="Heading2"/>
        <w:keepNext/>
        <w:spacing w:after="130" w:before="300"/>
      </w:pPr>
      <w:r>
        <w:rPr>
          <w:rFonts w:ascii="Calibri" w:cs="Calibri" w:eastAsia="Calibri" w:hAnsi="Calibri"/>
          <w:b/>
          <w:bCs/>
          <w:color w:val="134074"/>
          <w:sz w:val="25"/>
          <w:szCs w:val="25"/>
        </w:rPr>
        <w:t xml:space="preserve">MS4 — Coordinating agents (end of week 16)</w:t>
      </w:r>
    </w:p>
    <w:p>
      <w:pPr>
        <w:spacing w:after="140" w:before="0" w:line="276"/>
        <w:jc w:val="both"/>
      </w:pPr>
      <w:r>
        <w:rPr>
          <w:rFonts w:ascii="Calibri" w:cs="Calibri" w:eastAsia="Calibri" w:hAnsi="Calibri"/>
          <w:color w:val="1A1A1A"/>
          <w:sz w:val="20"/>
          <w:szCs w:val="20"/>
        </w:rPr>
        <w:t xml:space="preserve">The multi-agent claim becomes defensible. This is the gate at which the level-four maturity positioning becomes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400"/>
        <w:gridCol w:w="16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Criterion</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Evidence required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Owner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different intents produce two different DAG shapes</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proving the planner is not returning a fixture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Each node's output comes from a real model call through a real persona</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Trace showing distinct calls with distinct personas</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An invalid or cyclic plan is rejected before execution</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with a deliberately cyclic plan</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Retry policy is implemented in the execution engine</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Configurable retry with backoff, exercised under induced failure</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tenant cannot exhaust another's execution capacity</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Load test with an adversarial tenant profile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CerebroFlow is feature-complete against its frozen scope</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scope item demonstrated live</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Product Engineering</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p50, p95 and p99 published under target concurrency</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k6 report committed</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Every declared fallback in the degradation map is observed</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Chaos experiment report, one row per fallback</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bl>
    <w:p>
      <w:pPr>
        <w:spacing w:after="140" w:before="120" w:line="276"/>
        <w:jc w:val="both"/>
      </w:pPr>
      <w:r>
        <w:rPr>
          <w:rFonts w:ascii="Calibri" w:cs="Calibri" w:eastAsia="Calibri" w:hAnsi="Calibri"/>
          <w:b/>
          <w:bCs/>
          <w:color w:val="1A1A1A"/>
          <w:sz w:val="20"/>
          <w:szCs w:val="20"/>
        </w:rPr>
        <w:t xml:space="preserve">Gate rule: </w:t>
      </w:r>
      <w:r>
        <w:rPr>
          <w:rFonts w:ascii="Calibri" w:cs="Calibri" w:eastAsia="Calibri" w:hAnsi="Calibri"/>
          <w:color w:val="1A1A1A"/>
          <w:sz w:val="20"/>
          <w:szCs w:val="20"/>
        </w:rPr>
        <w:t xml:space="preserve">The planner criterion is the gate. A multi-agent system running a fixed plan is a demonstration, not a product.</w:t>
      </w:r>
    </w:p>
    <w:p>
      <w:pPr>
        <w:pStyle w:val="Heading2"/>
        <w:keepNext/>
        <w:spacing w:after="130" w:before="300"/>
      </w:pPr>
      <w:r>
        <w:rPr>
          <w:rFonts w:ascii="Calibri" w:cs="Calibri" w:eastAsia="Calibri" w:hAnsi="Calibri"/>
          <w:b/>
          <w:bCs/>
          <w:color w:val="134074"/>
          <w:sz w:val="25"/>
          <w:szCs w:val="25"/>
        </w:rPr>
        <w:t xml:space="preserve">MS5 — Sellable platform (end of week 20)</w:t>
      </w:r>
    </w:p>
    <w:p>
      <w:pPr>
        <w:spacing w:after="140" w:before="0" w:line="276"/>
        <w:jc w:val="both"/>
      </w:pPr>
      <w:r>
        <w:rPr>
          <w:rFonts w:ascii="Calibri" w:cs="Calibri" w:eastAsia="Calibri" w:hAnsi="Calibri"/>
          <w:color w:val="1A1A1A"/>
          <w:sz w:val="20"/>
          <w:szCs w:val="20"/>
        </w:rPr>
        <w:t xml:space="preserve">The platform acquires a stable public surface, a clean security report and accurate billing — the three things a commercial conversation cannot proceed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400"/>
        <w:gridCol w:w="16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Criterion</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Evidence required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Owner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SDK call runs any agent with memory, tools and streaming toggled by flags</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Consumer-side test using only the public surface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Principal Engineer, Runtime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imports no internal packages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lint rule fails the build on any internal import</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Product Engineering</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open critical penetration findings</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Tester's report with remediation evidence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Metered usage is within 2% of provider-reported usage</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Reconciliation over a full billing period</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Commercial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Credit exhaustion produces the specified behaviour</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Test against an exhausted tenant</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Commercial</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API reference is generated from source in CI</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Build artefact, not a hand-maintained document</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VP Engineering</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Runbooks exist for every retained service and have been exercised</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Each runbook signed off by someone who did not author it</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bl>
    <w:p>
      <w:pPr>
        <w:spacing w:after="140" w:before="120" w:line="276"/>
        <w:jc w:val="both"/>
      </w:pPr>
      <w:r>
        <w:rPr>
          <w:rFonts w:ascii="Calibri" w:cs="Calibri" w:eastAsia="Calibri" w:hAnsi="Calibri"/>
          <w:b/>
          <w:bCs/>
          <w:color w:val="1A1A1A"/>
          <w:sz w:val="20"/>
          <w:szCs w:val="20"/>
        </w:rPr>
        <w:t xml:space="preserve">Gate rule: </w:t>
      </w:r>
      <w:r>
        <w:rPr>
          <w:rFonts w:ascii="Calibri" w:cs="Calibri" w:eastAsia="Calibri" w:hAnsi="Calibri"/>
          <w:color w:val="1A1A1A"/>
          <w:sz w:val="20"/>
          <w:szCs w:val="20"/>
        </w:rPr>
        <w:t xml:space="preserve">The 2% metering tolerance is deliberate. Billing a customer for consumption you cannot reconcile is a commercial risk that outweighs the schedule cost of fixing it.</w:t>
      </w:r>
    </w:p>
    <w:p>
      <w:pPr>
        <w:pStyle w:val="Heading2"/>
        <w:keepNext/>
        <w:spacing w:after="130" w:before="300"/>
      </w:pPr>
      <w:r>
        <w:rPr>
          <w:rFonts w:ascii="Calibri" w:cs="Calibri" w:eastAsia="Calibri" w:hAnsi="Calibri"/>
          <w:b/>
          <w:bCs/>
          <w:color w:val="134074"/>
          <w:sz w:val="25"/>
          <w:szCs w:val="25"/>
        </w:rPr>
        <w:t xml:space="preserve">MS6 — Controlled general availability (end of week 24)</w:t>
      </w:r>
    </w:p>
    <w:p>
      <w:pPr>
        <w:spacing w:after="140" w:before="0" w:line="276"/>
        <w:jc w:val="both"/>
      </w:pPr>
      <w:r>
        <w:rPr>
          <w:rFonts w:ascii="Calibri" w:cs="Calibri" w:eastAsia="Calibri" w:hAnsi="Calibri"/>
          <w:color w:val="1A1A1A"/>
          <w:sz w:val="20"/>
          <w:szCs w:val="20"/>
        </w:rPr>
        <w:t xml:space="preserve">The programme's terminal gate. Three accounts in production under contract, with the evidence to survive a security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400"/>
        <w:gridCol w:w="16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Criterion</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Evidence required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Owner</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Three design-partner accounts in production under contract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Signed agreements plus live usage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Commercial</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open critical or high penetration findings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Second remediation cycle evidence</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Security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SOC 2 Type I evidence package assembled with gaps listed</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Auditor-ready package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Published SLOs with 30 days of measured attainment</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Dashboard with the full window populated</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Quality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simulated Sev-1 handled within the published response target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Game day report</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Billing accurate and enforced for all three tenants</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Invoice reconciliation</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Commercial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new tenant provisions without manual steps</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Timed provisioning run</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Head of Platform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Retrospective complete and horizon two baselined on measured velocity</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Written retrospective and a baselined plan</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VP Engineering</w:t>
            </w:r>
          </w:p>
        </w:tc>
      </w:tr>
    </w:tbl>
    <w:p>
      <w:pPr>
        <w:spacing w:after="140" w:before="120" w:line="276"/>
        <w:jc w:val="both"/>
      </w:pPr>
      <w:r>
        <w:rPr>
          <w:rFonts w:ascii="Calibri" w:cs="Calibri" w:eastAsia="Calibri" w:hAnsi="Calibri"/>
          <w:b/>
          <w:bCs/>
          <w:color w:val="1A1A1A"/>
          <w:sz w:val="20"/>
          <w:szCs w:val="20"/>
        </w:rPr>
        <w:t xml:space="preserve">Gate rule: </w:t>
      </w:r>
      <w:r>
        <w:rPr>
          <w:rFonts w:ascii="Calibri" w:cs="Calibri" w:eastAsia="Calibri" w:hAnsi="Calibri"/>
          <w:color w:val="1A1A1A"/>
          <w:sz w:val="20"/>
          <w:szCs w:val="20"/>
        </w:rPr>
        <w:t xml:space="preserve">Controlled means controlled. General availability to an open funnel requires self-serve signup and support scaling, neither of which is in this programme's scope.</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11  </w:t>
      </w:r>
      <w:r>
        <w:rPr>
          <w:rFonts w:ascii="Calibri Light" w:cs="Calibri Light" w:eastAsia="Calibri Light" w:hAnsi="Calibri Light"/>
          <w:b/>
          <w:bCs/>
          <w:color w:val="0B2545"/>
          <w:sz w:val="34"/>
          <w:szCs w:val="34"/>
        </w:rPr>
        <w:t xml:space="preserve">Risk Register and Mitigation Plan</w:t>
      </w:r>
    </w:p>
    <w:p>
      <w:pPr>
        <w:spacing w:after="140" w:before="0" w:line="276"/>
        <w:jc w:val="both"/>
      </w:pPr>
      <w:r>
        <w:rPr>
          <w:rFonts w:ascii="Calibri" w:cs="Calibri" w:eastAsia="Calibri" w:hAnsi="Calibri"/>
          <w:color w:val="1A1A1A"/>
          <w:sz w:val="20"/>
          <w:szCs w:val="20"/>
        </w:rPr>
        <w:t xml:space="preserve">Twelve risks are tracked at programme level. Each has a named owner, a mitigation that is funded in the plan, and a trigger — the observable event that converts the risk into an issue and releases contingency. Risks without triggers are wishes; the trigger column is the part that makes this register operational.</w:t>
      </w:r>
    </w:p>
    <w:p>
      <w:pPr>
        <w:spacing w:after="0" w:before="180"/>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705225"/>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7 — Risk heat map. Position reflects the assessment before mitigation; the register below states the residual position after.</w:t>
      </w:r>
    </w:p>
    <w:p>
      <w:pPr>
        <w:pStyle w:val="Heading2"/>
        <w:keepNext/>
        <w:spacing w:after="130" w:before="300"/>
      </w:pPr>
      <w:r>
        <w:rPr>
          <w:rFonts w:ascii="Calibri" w:cs="Calibri" w:eastAsia="Calibri" w:hAnsi="Calibri"/>
          <w:b/>
          <w:bCs/>
          <w:color w:val="134074"/>
          <w:sz w:val="25"/>
          <w:szCs w:val="25"/>
        </w:rPr>
        <w:t xml:space="preserve">11.1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2600"/>
        <w:gridCol w:w="1660"/>
        <w:gridCol w:w="120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4"/>
                <w:szCs w:val="14"/>
              </w:rPr>
              <w:t xml:space="preserve">ID</w:t>
            </w:r>
          </w:p>
        </w:tc>
        <w:tc>
          <w:tcPr>
            <w:tcW w:type="dxa" w:w="2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4"/>
                <w:szCs w:val="14"/>
              </w:rPr>
              <w:t xml:space="preserve">Risk</w:t>
            </w:r>
          </w:p>
        </w:tc>
        <w:tc>
          <w:tcPr>
            <w:tcW w:type="dxa" w:w="1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4"/>
                <w:szCs w:val="14"/>
              </w:rPr>
              <w:t xml:space="preserve">Owner</w:t>
            </w:r>
          </w:p>
        </w:tc>
        <w:tc>
          <w:tcPr>
            <w:tcW w:type="dxa" w:w="2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4"/>
                <w:szCs w:val="14"/>
              </w:rPr>
              <w:t xml:space="preserve">Mitigation (funded)</w:t>
            </w:r>
          </w:p>
        </w:tc>
        <w:tc>
          <w:tcPr>
            <w:tcW w:type="dxa" w:w="16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4"/>
                <w:szCs w:val="14"/>
              </w:rPr>
              <w:t xml:space="preserve">Trigger</w:t>
            </w:r>
          </w:p>
        </w:tc>
        <w:tc>
          <w:tcPr>
            <w:tcW w:type="dxa" w:w="1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4"/>
                <w:szCs w:val="14"/>
              </w:rPr>
              <w:t xml:space="preserve">Residual</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R1</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Production APIs are currently unauthenticated and may already have been accessed</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Security</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D1 cluster verification in week 1; auth enforced by week 3; audit log review for anomalous cross-tenant access patterns; incident response plan pre-drafted</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D1 confirms no token is required today</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4"/>
                <w:szCs w:val="14"/>
              </w:rPr>
              <w:t xml:space="preserve">High until week 3, then Low</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R2</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Two Helm generations produce unpredictable production state</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Platform</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Render diff in week 1; one generation deleted in week 2; golden render file committed and diffed in CI thereafter</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Any deployment produces an object the chart did not intend</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Low after week 2</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R3</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Scaffolded packages are mistaken for capability in planning or in sales</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VP Engineering</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Section 3 published internally and to design partners; scaffold density tracked and reported; the constitution's product list annotated with implementation status</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Any external commitment references a product not in the programme scope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 — this risk is cultural and does not fully retire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R4</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Two agent runtimes diverge further before D3 is executed</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VP Engineering</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D3 dated week 4, executed by week 12; a freeze on new capability in the non-canonical path from week 4</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Either runtime gains a capability the other lacks after week 4</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 until week 12, then Low</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R5</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LLM inference cost exceeds the $468k budget line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Commercial</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Per-tenant and per-environment budget caps enforced in the gateway; the existing token-budget alert wired to a hard stop; weekly cost review from week 2</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Weekly spend exceeds 1.3× the run rate implied by the budget</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R6</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Six-language operational burden exceeds the SRE team's capacity</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Platform</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D4 consolidation decision in week 6; service cards mandatory; no service retained without a named owner</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Mean time to restore exceeds target on any service twice in a month</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R7</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Hiring shortfall against the nine-hire plan</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VP Engineering</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Wave-one hiring started before week 0; contract surge capacity budgeted; scope compression option pre-identified in Section 5.1</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Any wave is more than two weeks behind at its close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R8</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Cross-tenant data leakage occurs before isolation is proven</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Security</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Cross-tenant regression suite as a blocking CI gate from week 8; storage partitioning by week 16; penetration test from week 18</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Any test or report shows data crossing a tenant boundary</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4"/>
                <w:szCs w:val="14"/>
              </w:rPr>
              <w:t xml:space="preserve">High until week 8, then Low</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R9</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Model provider outage or material capability change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Principal Engineer, Runtime</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The gateway's existing failover across providers; eval harness re-run on any provider or model version change; no provider-specific logic outside the gateway</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Any provider incident exceeding one hour, or a deprecation notice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Low — this is the mitigation the gateway was built for</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R10</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Scope expansion, particularly requests to advance additional products</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VP Engineering</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Section 1.5 published as the explicit exclusion list; any addition requires an equivalent removal at the milestone gate</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Any work item enters a sprint without a corresponding removal</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R11</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Studio re-platform overruns its low-confidence estimate</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Product Engineering</w:t>
            </w:r>
          </w:p>
        </w:tc>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Time-boxed discovery in weeks 3–8 with a re-baseline at MS2; the facade compression option in Section 5.1 held in reserve</w:t>
            </w:r>
          </w:p>
        </w:tc>
        <w:tc>
          <w:tcPr>
            <w:tcW w:type="dxa" w:w="16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Re-baselined estimate exceeds 1,600 hours at MS2</w:t>
            </w:r>
          </w:p>
        </w:tc>
        <w:tc>
          <w:tcPr>
            <w:tcW w:type="dxa" w:w="1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Medium</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R12</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A compliance finding blocks the enterprise sales motion</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Head of Quality</w:t>
            </w:r>
          </w:p>
        </w:tc>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SOC 2 evidence automation from week 14; gaps listed rather than concealed; readiness partner engaged from week 6</w:t>
            </w:r>
          </w:p>
        </w:tc>
        <w:tc>
          <w:tcPr>
            <w:tcW w:type="dxa" w:w="16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The readiness partner identifies a control with no feasible path by MS5</w:t>
            </w:r>
          </w:p>
        </w:tc>
        <w:tc>
          <w:tcPr>
            <w:tcW w:type="dxa" w:w="1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4"/>
                <w:szCs w:val="14"/>
              </w:rPr>
              <w:t xml:space="preserve">Low</w:t>
            </w:r>
          </w:p>
        </w:tc>
      </w:tr>
    </w:tbl>
    <w:p>
      <w:pPr>
        <w:pStyle w:val="Heading2"/>
        <w:keepNext/>
        <w:spacing w:after="130" w:before="300"/>
      </w:pPr>
      <w:r>
        <w:rPr>
          <w:rFonts w:ascii="Calibri" w:cs="Calibri" w:eastAsia="Calibri" w:hAnsi="Calibri"/>
          <w:b/>
          <w:bCs/>
          <w:color w:val="134074"/>
          <w:sz w:val="25"/>
          <w:szCs w:val="25"/>
        </w:rPr>
        <w:t xml:space="preserve">11.2  Contingency release policy</w:t>
      </w:r>
    </w:p>
    <w:p>
      <w:pPr>
        <w:spacing w:after="140" w:before="0" w:line="276"/>
        <w:jc w:val="both"/>
      </w:pPr>
      <w:r>
        <w:rPr>
          <w:rFonts w:ascii="Calibri" w:cs="Calibri" w:eastAsia="Calibri" w:hAnsi="Calibri"/>
          <w:color w:val="1A1A1A"/>
          <w:sz w:val="20"/>
          <w:szCs w:val="20"/>
        </w:rPr>
        <w:t xml:space="preserve">The 12% budget contingency and the sprint-12 schedule contingency are held centrally and released only against a triggered risk, by the VP Engineering, with the release recorded in the risk register. This exists to prevent the ordinary failure mode in which contingency is consumed early by optimism and unavailable late when it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Trigger class</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Release authority</w:t>
            </w:r>
          </w:p>
        </w:tc>
        <w:tc>
          <w:tcPr>
            <w:tcW w:type="dxa" w:w="2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Maximum release</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security risk (R1, R8) triggers</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Immediate, no approval required</w:t>
            </w:r>
          </w:p>
        </w:tc>
        <w:tc>
          <w:tcPr>
            <w:tcW w:type="dxa" w:w="2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Unlimited within the contingency line</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critical-path risk (R4, R7, R11) triggers</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VP Engineering</w:t>
            </w:r>
          </w:p>
        </w:tc>
        <w:tc>
          <w:tcPr>
            <w:tcW w:type="dxa" w:w="2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25% of the remaining contingency per event</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cost risk (R5) triggers</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VP Engineering with Head of Commercial</w:t>
            </w:r>
          </w:p>
        </w:tc>
        <w:tc>
          <w:tcPr>
            <w:tcW w:type="dxa" w:w="2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Requires a corresponding scope or usage reduction</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Any other risk triggers</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Milestone gate decision</w:t>
            </w:r>
          </w:p>
        </w:tc>
        <w:tc>
          <w:tcPr>
            <w:tcW w:type="dxa" w:w="2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10% of the remaining contingency per event</w:t>
            </w:r>
          </w:p>
        </w:tc>
      </w:tr>
    </w:tbl>
    <w:p>
      <w:pPr>
        <w:pStyle w:val="Heading2"/>
        <w:keepNext/>
        <w:spacing w:after="130" w:before="300"/>
      </w:pPr>
      <w:r>
        <w:rPr>
          <w:rFonts w:ascii="Calibri" w:cs="Calibri" w:eastAsia="Calibri" w:hAnsi="Calibri"/>
          <w:b/>
          <w:bCs/>
          <w:color w:val="134074"/>
          <w:sz w:val="25"/>
          <w:szCs w:val="25"/>
        </w:rPr>
        <w:t xml:space="preserve">11.3  Risks accepted without mitigation</w:t>
      </w:r>
    </w:p>
    <w:p>
      <w:pPr>
        <w:spacing w:after="140" w:before="0" w:line="276"/>
        <w:jc w:val="both"/>
      </w:pPr>
      <w:r>
        <w:rPr>
          <w:rFonts w:ascii="Calibri" w:cs="Calibri" w:eastAsia="Calibri" w:hAnsi="Calibri"/>
          <w:color w:val="1A1A1A"/>
          <w:sz w:val="20"/>
          <w:szCs w:val="20"/>
        </w:rPr>
        <w:t xml:space="preserve">Two risks are consciously accepted. Naming them is more useful than pretending they are covered.</w:t>
      </w:r>
    </w:p>
    <w:p>
      <w:pPr>
        <w:pStyle w:val="ListParagraph"/>
        <w:numPr>
          <w:ilvl w:val="0"/>
          <w:numId w:val="2"/>
        </w:numPr>
        <w:spacing w:after="70" w:line="268"/>
      </w:pPr>
      <w:r>
        <w:rPr>
          <w:rFonts w:ascii="Calibri" w:cs="Calibri" w:eastAsia="Calibri" w:hAnsi="Calibri"/>
          <w:b/>
          <w:bCs/>
          <w:color w:val="1A1A1A"/>
          <w:sz w:val="20"/>
          <w:szCs w:val="20"/>
        </w:rPr>
        <w:t xml:space="preserve">Frontier model pricing changes materially. </w:t>
      </w:r>
      <w:r>
        <w:rPr>
          <w:rFonts w:ascii="Calibri" w:cs="Calibri" w:eastAsia="Calibri" w:hAnsi="Calibri"/>
          <w:color w:val="1A1A1A"/>
          <w:sz w:val="20"/>
          <w:szCs w:val="20"/>
        </w:rPr>
        <w:t xml:space="preserve">The commercial model passes inference cost through as Hive Credits, which transfers most of the exposure to the customer, but a step change in pricing would alter the unit economics of every edition. No mitigation is funded; the response is repricing, which is a commercial decision rather than an engineering one.</w:t>
      </w:r>
    </w:p>
    <w:p>
      <w:pPr>
        <w:pStyle w:val="ListParagraph"/>
        <w:numPr>
          <w:ilvl w:val="0"/>
          <w:numId w:val="2"/>
        </w:numPr>
        <w:spacing w:after="70" w:line="268"/>
      </w:pPr>
      <w:r>
        <w:rPr>
          <w:rFonts w:ascii="Calibri" w:cs="Calibri" w:eastAsia="Calibri" w:hAnsi="Calibri"/>
          <w:b/>
          <w:bCs/>
          <w:color w:val="1A1A1A"/>
          <w:sz w:val="20"/>
          <w:szCs w:val="20"/>
        </w:rPr>
        <w:t xml:space="preserve">A competitor ships an equivalent governed multi-agent platform inside the window. </w:t>
      </w:r>
      <w:r>
        <w:rPr>
          <w:rFonts w:ascii="Calibri" w:cs="Calibri" w:eastAsia="Calibri" w:hAnsi="Calibri"/>
          <w:color w:val="1A1A1A"/>
          <w:sz w:val="20"/>
          <w:szCs w:val="20"/>
        </w:rPr>
        <w:t xml:space="preserve">The programme's response would be to compete on the knowledge graph and governance depth identified as the durable moats in Section 2.4 — neither of which is accelerable inside 24 weeks. This is accepted rather than mitigated, and it is the strongest argument for not extending the timeline further.</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12  </w:t>
      </w:r>
      <w:r>
        <w:rPr>
          <w:rFonts w:ascii="Calibri Light" w:cs="Calibri Light" w:eastAsia="Calibri Light" w:hAnsi="Calibri Light"/>
          <w:b/>
          <w:bCs/>
          <w:color w:val="0B2545"/>
          <w:sz w:val="34"/>
          <w:szCs w:val="34"/>
        </w:rPr>
        <w:t xml:space="preserve">Budget and Infrastructure Estimates</w:t>
      </w:r>
    </w:p>
    <w:p>
      <w:pPr>
        <w:spacing w:after="140" w:before="0" w:line="276"/>
        <w:jc w:val="both"/>
      </w:pPr>
      <w:r>
        <w:rPr>
          <w:rFonts w:ascii="Calibri" w:cs="Calibri" w:eastAsia="Calibri" w:hAnsi="Calibri"/>
          <w:color w:val="1A1A1A"/>
          <w:sz w:val="20"/>
          <w:szCs w:val="20"/>
        </w:rPr>
        <w:t xml:space="preserve">Total programme cost is estimated at $5,825,000 over 24 weeks. Figures are planning estimates in US dollars, exclusive of tax, based on the assumptions in Appendix D. Payroll dominates at 67%, which is normal and correct for a programme whose deliverable is engineering capability rather than infrastructure.</w:t>
      </w:r>
    </w:p>
    <w:p>
      <w:pPr>
        <w:spacing w:after="0" w:before="180"/>
        <w:jc w:val="center"/>
      </w:pPr>
      <w:r>
        <w:drawing>
          <wp:inline distT="0" distB="0" distL="0" distR="0">
            <wp:extent cx="58483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3067050"/>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6 — Programme budget by category.</w:t>
      </w:r>
    </w:p>
    <w:p>
      <w:pPr>
        <w:pStyle w:val="Heading2"/>
        <w:keepNext/>
        <w:spacing w:after="130" w:before="300"/>
      </w:pPr>
      <w:r>
        <w:rPr>
          <w:rFonts w:ascii="Calibri" w:cs="Calibri" w:eastAsia="Calibri" w:hAnsi="Calibri"/>
          <w:b/>
          <w:bCs/>
          <w:color w:val="134074"/>
          <w:sz w:val="25"/>
          <w:szCs w:val="25"/>
        </w:rPr>
        <w:t xml:space="preserve">12.1  Budget detail</w:t>
      </w:r>
    </w:p>
    <w:p>
      <w:pPr>
        <w:pStyle w:val="Heading3"/>
        <w:keepNext/>
        <w:spacing w:after="100" w:before="220"/>
      </w:pPr>
      <w:r>
        <w:rPr>
          <w:rFonts w:ascii="Calibri" w:cs="Calibri" w:eastAsia="Calibri" w:hAnsi="Calibri"/>
          <w:b/>
          <w:bCs/>
          <w:color w:val="2E3A4B"/>
          <w:sz w:val="21"/>
          <w:szCs w:val="21"/>
        </w:rPr>
        <w:t xml:space="preserve">Table 12.1 — Twenty-four week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960"/>
      </w:tblGrid>
      <w:tr>
        <w:trPr>
          <w:tblHeader/>
        </w:trPr>
        <w:tc>
          <w:tcPr>
            <w:tcW w:type="dxa" w:w="2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Category</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Basis</w:t>
            </w:r>
          </w:p>
        </w:tc>
        <w:tc>
          <w:tcPr>
            <w:tcW w:type="dxa" w:w="17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24-week cost</w:t>
            </w:r>
          </w:p>
        </w:tc>
        <w:tc>
          <w:tcPr>
            <w:tcW w:type="dxa" w:w="1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Run-rate after</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Engineering payroll</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Permanent engineering</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19.3 average FTE, blended $198/hr fully loaded</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$3,270,000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$710,000/month at 26 FTE</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Contract and specialist surge</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Technical writer, specialist contractors</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$310,000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Tapers to zero</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Programme, product and design</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 FTE across the period</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$300,000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$65,000/month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AI and inference</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Development and testing inference</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Estimated 340M tokens across the period, blended rate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$182,000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$34,000/month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Evaluation harness runs</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Nightly suites from week 10; regression runs per merge</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$96,000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$21,000/month</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Design partner workloads</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Three tenants from week 12, absorbed pre-billing</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$118,000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Passed through as credits</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Embeddings and indexing</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Initial corpus ingestion plus incremental</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$72,000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$11,000/month</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Cloud infrastructure</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Compute — three environments</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Production, staging, development; Kubernetes node pools</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$186,000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$36,000/month</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GPU allocation</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Embeddings and the C++ ML service</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$84,000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$16,000/month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Storage — object, vector, database</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pgvector, object store, backups via Velero</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$78,000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$15,000/month</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Network and egress</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Ingress, cross-zone, provider egress</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$48,000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$9,000/month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Observability and tooling</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Metrics, logs and traces</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Prometheus, Thanos, Loki, OTEL collector footprint</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$92,000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$18,000/month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CI and build</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GitHub Actions minutes, Turborepo remote cache, registries</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$46,000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$9,000/month</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Licences and SaaS</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Design, project, security and productivity tooling</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$34,000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$7,000/month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Security and compliance</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External penetration test</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cycles: initial and post-remediation retest</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$145,000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Annual</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SOC 2 Type I readiness partner</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Engaged from week 6 through MS6</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$110,000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Type II is a subsequent engagement</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Secrets, scanning and supply chain</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Gitleaks, Semgrep, CodeQL, dependency scanning</w:t>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$30,000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$6,000/month</w:t>
            </w:r>
          </w:p>
        </w:tc>
      </w:tr>
      <w:tr>
        <w:tc>
          <w:tcPr>
            <w:tcW w:type="dxa" w:w="2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Contingency (12%)</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Held centrally, released per Section 11.2</w:t>
            </w:r>
          </w:p>
        </w:tc>
        <w:tc>
          <w:tcPr>
            <w:tcW w:type="dxa" w:w="17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$624,000</w:t>
            </w:r>
          </w:p>
        </w:tc>
        <w:tc>
          <w:tcPr>
            <w:tcW w:type="dxa" w:w="1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t>
            </w:r>
          </w:p>
        </w:tc>
      </w:tr>
      <w:tr>
        <w:tc>
          <w:tcPr>
            <w:tcW w:type="dxa" w:w="2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Total</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
            </w:r>
          </w:p>
        </w:tc>
        <w:tc>
          <w:tcPr>
            <w:tcW w:type="dxa" w:w="17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$5,825,000</w:t>
            </w:r>
          </w:p>
        </w:tc>
        <w:tc>
          <w:tcPr>
            <w:tcW w:type="dxa" w:w="1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~$957,000/month steady state</w:t>
            </w:r>
          </w:p>
        </w:tc>
      </w:tr>
    </w:tbl>
    <w:p>
      <w:pPr>
        <w:pStyle w:val="Heading2"/>
        <w:keepNext/>
        <w:spacing w:after="130" w:before="300"/>
      </w:pPr>
      <w:r>
        <w:rPr>
          <w:rFonts w:ascii="Calibri" w:cs="Calibri" w:eastAsia="Calibri" w:hAnsi="Calibri"/>
          <w:b/>
          <w:bCs/>
          <w:color w:val="134074"/>
          <w:sz w:val="25"/>
          <w:szCs w:val="25"/>
        </w:rPr>
        <w:t xml:space="preserve">12.2  Infrastructure sizing</w:t>
      </w:r>
    </w:p>
    <w:p>
      <w:pPr>
        <w:spacing w:after="140" w:before="0" w:line="276"/>
        <w:jc w:val="both"/>
      </w:pPr>
      <w:r>
        <w:rPr>
          <w:rFonts w:ascii="Calibri" w:cs="Calibri" w:eastAsia="Calibri" w:hAnsi="Calibri"/>
          <w:color w:val="1A1A1A"/>
          <w:sz w:val="20"/>
          <w:szCs w:val="20"/>
        </w:rPr>
        <w:t xml:space="preserve">Sizing assumes three environments with production carrying roughly 70% of the footprint, and reflects the consolidated service estate assumed by decision D4 rather than the current thirty-three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Environment</w:t>
            </w:r>
          </w:p>
        </w:tc>
        <w:tc>
          <w:tcPr>
            <w:tcW w:type="dxa" w:w="2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Nodes</w:t>
            </w:r>
          </w:p>
        </w:tc>
        <w:tc>
          <w:tcPr>
            <w:tcW w:type="dxa" w:w="2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Databases</w:t>
            </w:r>
          </w:p>
        </w:tc>
        <w:tc>
          <w:tcPr>
            <w:tcW w:type="dxa" w:w="2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Notes</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Production</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12–18 nodes with autoscaling via KEDA</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Postgres with pgvector, primary plus read replica; Redis; NATS</w:t>
            </w:r>
          </w:p>
        </w:tc>
        <w:tc>
          <w:tcPr>
            <w:tcW w:type="dxa" w:w="2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Multi-AZ; Velero backups; Thanos long-term metric retention</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Staging</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6–8 nodes</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Postgres primary; Redis</w:t>
            </w:r>
          </w:p>
        </w:tc>
        <w:tc>
          <w:tcPr>
            <w:tcW w:type="dxa" w:w="2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Production-shaped for the penetration test and load runs</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Development</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4–6 nodes</w:t>
            </w:r>
          </w:p>
        </w:tc>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Shared Postgres; Redis</w:t>
            </w:r>
          </w:p>
        </w:tc>
        <w:tc>
          <w:tcPr>
            <w:tcW w:type="dxa" w:w="2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Ephemeral namespaces per pull request from week 4</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partner tenants</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Isolated namespaces within production</w:t>
            </w:r>
          </w:p>
        </w:tc>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Partitioned storage per tenant from week 16</w:t>
            </w:r>
          </w:p>
        </w:tc>
        <w:tc>
          <w:tcPr>
            <w:tcW w:type="dxa" w:w="2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Provisioned automatically from week 22</w:t>
            </w:r>
          </w:p>
        </w:tc>
      </w:tr>
    </w:tbl>
    <w:p>
      <w:pPr>
        <w:pStyle w:val="Heading2"/>
        <w:keepNext/>
        <w:spacing w:after="130" w:before="300"/>
      </w:pPr>
      <w:r>
        <w:rPr>
          <w:rFonts w:ascii="Calibri" w:cs="Calibri" w:eastAsia="Calibri" w:hAnsi="Calibri"/>
          <w:b/>
          <w:bCs/>
          <w:color w:val="134074"/>
          <w:sz w:val="25"/>
          <w:szCs w:val="25"/>
        </w:rPr>
        <w:t xml:space="preserve">12.3  Cost controls</w:t>
      </w:r>
    </w:p>
    <w:p>
      <w:pPr>
        <w:pStyle w:val="ListParagraph"/>
        <w:numPr>
          <w:ilvl w:val="0"/>
          <w:numId w:val="2"/>
        </w:numPr>
        <w:spacing w:after="70" w:line="268"/>
      </w:pPr>
      <w:r>
        <w:rPr>
          <w:rFonts w:ascii="Calibri" w:cs="Calibri" w:eastAsia="Calibri" w:hAnsi="Calibri"/>
          <w:b/>
          <w:bCs/>
          <w:color w:val="1A1A1A"/>
          <w:sz w:val="20"/>
          <w:szCs w:val="20"/>
        </w:rPr>
        <w:t xml:space="preserve">Per-tenant and per-environment inference budgets enforced in the gateway. </w:t>
      </w:r>
      <w:r>
        <w:rPr>
          <w:rFonts w:ascii="Calibri" w:cs="Calibri" w:eastAsia="Calibri" w:hAnsi="Calibri"/>
          <w:color w:val="1A1A1A"/>
          <w:sz w:val="20"/>
          <w:szCs w:val="20"/>
        </w:rPr>
        <w:t xml:space="preserve">The gateway already tracks cost per request; the control is to make the existing token-budget alert a hard stop rather than a notification.</w:t>
      </w:r>
    </w:p>
    <w:p>
      <w:pPr>
        <w:pStyle w:val="ListParagraph"/>
        <w:numPr>
          <w:ilvl w:val="0"/>
          <w:numId w:val="2"/>
        </w:numPr>
        <w:spacing w:after="70" w:line="268"/>
      </w:pPr>
      <w:r>
        <w:rPr>
          <w:rFonts w:ascii="Calibri" w:cs="Calibri" w:eastAsia="Calibri" w:hAnsi="Calibri"/>
          <w:b/>
          <w:bCs/>
          <w:color w:val="1A1A1A"/>
          <w:sz w:val="20"/>
          <w:szCs w:val="20"/>
        </w:rPr>
        <w:t xml:space="preserve">Response caching enabled in non-production. </w:t>
      </w:r>
      <w:r>
        <w:rPr>
          <w:rFonts w:ascii="Calibri" w:cs="Calibri" w:eastAsia="Calibri" w:hAnsi="Calibri"/>
          <w:color w:val="1A1A1A"/>
          <w:sz w:val="20"/>
          <w:szCs w:val="20"/>
        </w:rPr>
        <w:t xml:space="preserve">The cache already exists in the gateway. Development and evaluation traffic is highly repetitive and is the cheapest place to recover inference spend.</w:t>
      </w:r>
    </w:p>
    <w:p>
      <w:pPr>
        <w:pStyle w:val="ListParagraph"/>
        <w:numPr>
          <w:ilvl w:val="0"/>
          <w:numId w:val="2"/>
        </w:numPr>
        <w:spacing w:after="70" w:line="268"/>
      </w:pPr>
      <w:r>
        <w:rPr>
          <w:rFonts w:ascii="Calibri" w:cs="Calibri" w:eastAsia="Calibri" w:hAnsi="Calibri"/>
          <w:b/>
          <w:bCs/>
          <w:color w:val="1A1A1A"/>
          <w:sz w:val="20"/>
          <w:szCs w:val="20"/>
        </w:rPr>
        <w:t xml:space="preserve">Ephemeral pull-request environments with automatic teardown. </w:t>
      </w:r>
      <w:r>
        <w:rPr>
          <w:rFonts w:ascii="Calibri" w:cs="Calibri" w:eastAsia="Calibri" w:hAnsi="Calibri"/>
          <w:color w:val="1A1A1A"/>
          <w:sz w:val="20"/>
          <w:szCs w:val="20"/>
        </w:rPr>
        <w:t xml:space="preserve">Idle non-production infrastructure is the most common source of unplanned cloud spend in programmes of this shape.</w:t>
      </w:r>
    </w:p>
    <w:p>
      <w:pPr>
        <w:pStyle w:val="ListParagraph"/>
        <w:numPr>
          <w:ilvl w:val="0"/>
          <w:numId w:val="2"/>
        </w:numPr>
        <w:spacing w:after="70" w:line="268"/>
      </w:pPr>
      <w:r>
        <w:rPr>
          <w:rFonts w:ascii="Calibri" w:cs="Calibri" w:eastAsia="Calibri" w:hAnsi="Calibri"/>
          <w:b/>
          <w:bCs/>
          <w:color w:val="1A1A1A"/>
          <w:sz w:val="20"/>
          <w:szCs w:val="20"/>
        </w:rPr>
        <w:t xml:space="preserve">Weekly cost review from week 2, owned by the Head of Commercial. </w:t>
      </w:r>
      <w:r>
        <w:rPr>
          <w:rFonts w:ascii="Calibri" w:cs="Calibri" w:eastAsia="Calibri" w:hAnsi="Calibri"/>
          <w:color w:val="1A1A1A"/>
          <w:sz w:val="20"/>
          <w:szCs w:val="20"/>
        </w:rPr>
        <w:t xml:space="preserve">Reviewed against run rate, not against total budget, so that overrun is visible in week 6 rather than week 20.</w:t>
      </w:r>
    </w:p>
    <w:p>
      <w:pPr>
        <w:pStyle w:val="ListParagraph"/>
        <w:numPr>
          <w:ilvl w:val="0"/>
          <w:numId w:val="2"/>
        </w:numPr>
        <w:spacing w:after="70" w:line="268"/>
      </w:pPr>
      <w:r>
        <w:rPr>
          <w:rFonts w:ascii="Calibri" w:cs="Calibri" w:eastAsia="Calibri" w:hAnsi="Calibri"/>
          <w:b/>
          <w:bCs/>
          <w:color w:val="1A1A1A"/>
          <w:sz w:val="20"/>
          <w:szCs w:val="20"/>
        </w:rPr>
        <w:t xml:space="preserve">Model routing by task class. </w:t>
      </w:r>
      <w:r>
        <w:rPr>
          <w:rFonts w:ascii="Calibri" w:cs="Calibri" w:eastAsia="Calibri" w:hAnsi="Calibri"/>
          <w:color w:val="1A1A1A"/>
          <w:sz w:val="20"/>
          <w:szCs w:val="20"/>
        </w:rPr>
        <w:t xml:space="preserve">Planning and reasoning use frontier models; classification, extraction and routing use smaller models. This is a gateway configuration, not new engineering, and it is typically worth 30–40% of inference spend.</w:t>
      </w:r>
    </w:p>
    <w:p>
      <w:pPr>
        <w:pStyle w:val="Heading2"/>
        <w:keepNext/>
        <w:spacing w:after="130" w:before="300"/>
      </w:pPr>
      <w:r>
        <w:rPr>
          <w:rFonts w:ascii="Calibri" w:cs="Calibri" w:eastAsia="Calibri" w:hAnsi="Calibri"/>
          <w:b/>
          <w:bCs/>
          <w:color w:val="134074"/>
          <w:sz w:val="25"/>
          <w:szCs w:val="25"/>
        </w:rPr>
        <w:t xml:space="preserve">12.4  What this budget does not include</w:t>
      </w:r>
    </w:p>
    <w:p>
      <w:pPr>
        <w:spacing w:after="140" w:before="0" w:line="276"/>
        <w:jc w:val="both"/>
      </w:pPr>
      <w:r>
        <w:rPr>
          <w:rFonts w:ascii="Calibri" w:cs="Calibri" w:eastAsia="Calibri" w:hAnsi="Calibri"/>
          <w:color w:val="1A1A1A"/>
          <w:sz w:val="20"/>
          <w:szCs w:val="20"/>
        </w:rPr>
        <w:t xml:space="preserve">Sales and marketing headcount; customer success; general and administrative costs; office and equipment; legal and contracting; and any horizon-two engineering. It is an engineering programme budget, not a company operating budget, and it should not be read as one.</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13  </w:t>
      </w:r>
      <w:r>
        <w:rPr>
          <w:rFonts w:ascii="Calibri Light" w:cs="Calibri Light" w:eastAsia="Calibri Light" w:hAnsi="Calibri Light"/>
          <w:b/>
          <w:bCs/>
          <w:color w:val="0B2545"/>
          <w:sz w:val="34"/>
          <w:szCs w:val="34"/>
        </w:rPr>
        <w:t xml:space="preserve">Target Technical Architecture</w:t>
      </w:r>
    </w:p>
    <w:p>
      <w:pPr>
        <w:spacing w:after="140" w:before="0" w:line="276"/>
        <w:jc w:val="both"/>
      </w:pPr>
      <w:r>
        <w:rPr>
          <w:rFonts w:ascii="Calibri" w:cs="Calibri" w:eastAsia="Calibri" w:hAnsi="Calibri"/>
          <w:color w:val="1A1A1A"/>
          <w:sz w:val="20"/>
          <w:szCs w:val="20"/>
        </w:rPr>
        <w:t xml:space="preserve">This section describes the week-24 state, not the ten-year vision. Everything below is either built during the programme or already exists and is retained. Where the target diverges from the five-tier model in the constitution, the divergence is stated and justified rather than quietly absorbed.</w:t>
      </w:r>
    </w:p>
    <w:p>
      <w:pPr>
        <w:pStyle w:val="Heading2"/>
        <w:keepNext/>
        <w:spacing w:after="130" w:before="300"/>
      </w:pPr>
      <w:r>
        <w:rPr>
          <w:rFonts w:ascii="Calibri" w:cs="Calibri" w:eastAsia="Calibri" w:hAnsi="Calibri"/>
          <w:b/>
          <w:bCs/>
          <w:color w:val="134074"/>
          <w:sz w:val="25"/>
          <w:szCs w:val="25"/>
        </w:rPr>
        <w:t xml:space="preserve">13.1  The request path</w:t>
      </w:r>
    </w:p>
    <w:p>
      <w:pPr>
        <w:spacing w:after="140" w:before="0" w:line="276"/>
        <w:jc w:val="both"/>
      </w:pPr>
      <w:r>
        <w:rPr>
          <w:rFonts w:ascii="Calibri" w:cs="Calibri" w:eastAsia="Calibri" w:hAnsi="Calibri"/>
          <w:color w:val="1A1A1A"/>
          <w:sz w:val="20"/>
          <w:szCs w:val="20"/>
        </w:rPr>
        <w:t xml:space="preserve">One path, enforced, with identity established at the edge and carried unbroken through planning, execution, memory and audit. The most important property is that there is exactly one of it — today there are effectively two, and neither is fully enforced.</w:t>
      </w:r>
    </w:p>
    <w:p>
      <w:pPr>
        <w:spacing w:after="0" w:before="180"/>
        <w:jc w:val="center"/>
      </w:pPr>
      <w:r>
        <w:drawing>
          <wp:inline distT="0" distB="0" distL="0" distR="0">
            <wp:extent cx="60388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3495675"/>
                    </a:xfrm>
                    <a:prstGeom prst="rect">
                      <a:avLst/>
                    </a:prstGeom>
                  </pic:spPr>
                </pic:pic>
              </a:graphicData>
            </a:graphic>
          </wp:inline>
        </w:drawing>
      </w:r>
    </w:p>
    <w:p>
      <w:pPr>
        <w:spacing w:after="220" w:before="90"/>
        <w:jc w:val="center"/>
      </w:pPr>
      <w:r>
        <w:rPr>
          <w:rFonts w:ascii="Calibri" w:cs="Calibri" w:eastAsia="Calibri" w:hAnsi="Calibri"/>
          <w:i/>
          <w:iCs/>
          <w:color w:val="6B7280"/>
          <w:sz w:val="16"/>
          <w:szCs w:val="16"/>
        </w:rPr>
        <w:t xml:space="preserve">Figure 9 — Target request path. Solid arrows are the synchronous path; dotted arrows are asynchronous emission of telemetry, audit and metering.</w:t>
      </w:r>
    </w:p>
    <w:p>
      <w:pPr>
        <w:pStyle w:val="ListParagraph"/>
        <w:numPr>
          <w:ilvl w:val="0"/>
          <w:numId w:val="3"/>
        </w:numPr>
        <w:spacing w:after="70" w:line="268"/>
      </w:pPr>
      <w:r>
        <w:rPr>
          <w:rFonts w:ascii="Calibri" w:cs="Calibri" w:eastAsia="Calibri" w:hAnsi="Calibri"/>
          <w:b/>
          <w:bCs/>
          <w:color w:val="1A1A1A"/>
          <w:sz w:val="20"/>
          <w:szCs w:val="20"/>
        </w:rPr>
        <w:t xml:space="preserve">Intent arrives at the gateway. </w:t>
      </w:r>
      <w:r>
        <w:rPr>
          <w:rFonts w:ascii="Calibri" w:cs="Calibri" w:eastAsia="Calibri" w:hAnsi="Calibri"/>
          <w:color w:val="1A1A1A"/>
          <w:sz w:val="20"/>
          <w:szCs w:val="20"/>
        </w:rPr>
        <w:t xml:space="preserve">TLS terminates, the WAF and OWASP core rule set apply, rate limiting applies per organisation, and the bearer token is verified against Keycloak JWKS. An unverified request goes no further. This is the control that does not exist today.</w:t>
      </w:r>
    </w:p>
    <w:p>
      <w:pPr>
        <w:pStyle w:val="ListParagraph"/>
        <w:numPr>
          <w:ilvl w:val="0"/>
          <w:numId w:val="3"/>
        </w:numPr>
        <w:spacing w:after="70" w:line="268"/>
      </w:pPr>
      <w:r>
        <w:rPr>
          <w:rFonts w:ascii="Calibri" w:cs="Calibri" w:eastAsia="Calibri" w:hAnsi="Calibri"/>
          <w:b/>
          <w:bCs/>
          <w:color w:val="1A1A1A"/>
          <w:sz w:val="20"/>
          <w:szCs w:val="20"/>
        </w:rPr>
        <w:t xml:space="preserve">Tenant context is established. </w:t>
      </w:r>
      <w:r>
        <w:rPr>
          <w:rFonts w:ascii="Calibri" w:cs="Calibri" w:eastAsia="Calibri" w:hAnsi="Calibri"/>
          <w:color w:val="1A1A1A"/>
          <w:sz w:val="20"/>
          <w:szCs w:val="20"/>
        </w:rPr>
        <w:t xml:space="preserve">Organisation, subject, roles and permissions come from verified token claims. Workspace is resolved through an ownership lookup in the data layer, not from a header. Every downstream check now operates over a trustworthy input.</w:t>
      </w:r>
    </w:p>
    <w:p>
      <w:pPr>
        <w:pStyle w:val="ListParagraph"/>
        <w:numPr>
          <w:ilvl w:val="0"/>
          <w:numId w:val="3"/>
        </w:numPr>
        <w:spacing w:after="70" w:line="268"/>
      </w:pPr>
      <w:r>
        <w:rPr>
          <w:rFonts w:ascii="Calibri" w:cs="Calibri" w:eastAsia="Calibri" w:hAnsi="Calibri"/>
          <w:b/>
          <w:bCs/>
          <w:color w:val="1A1A1A"/>
          <w:sz w:val="20"/>
          <w:szCs w:val="20"/>
        </w:rPr>
        <w:t xml:space="preserve">The planner decomposes the goal. </w:t>
      </w:r>
      <w:r>
        <w:rPr>
          <w:rFonts w:ascii="Calibri" w:cs="Calibri" w:eastAsia="Calibri" w:hAnsi="Calibri"/>
          <w:color w:val="1A1A1A"/>
          <w:sz w:val="20"/>
          <w:szCs w:val="20"/>
        </w:rPr>
        <w:t xml:space="preserve">A model-backed planner emits a directed acyclic graph, validated for cycles before execution. One planner, canonical per decision D3.</w:t>
      </w:r>
    </w:p>
    <w:p>
      <w:pPr>
        <w:pStyle w:val="ListParagraph"/>
        <w:numPr>
          <w:ilvl w:val="0"/>
          <w:numId w:val="3"/>
        </w:numPr>
        <w:spacing w:after="70" w:line="268"/>
      </w:pPr>
      <w:r>
        <w:rPr>
          <w:rFonts w:ascii="Calibri" w:cs="Calibri" w:eastAsia="Calibri" w:hAnsi="Calibri"/>
          <w:b/>
          <w:bCs/>
          <w:color w:val="1A1A1A"/>
          <w:sz w:val="20"/>
          <w:szCs w:val="20"/>
        </w:rPr>
        <w:t xml:space="preserve">The runtime executes the graph. </w:t>
      </w:r>
      <w:r>
        <w:rPr>
          <w:rFonts w:ascii="Calibri" w:cs="Calibri" w:eastAsia="Calibri" w:hAnsi="Calibri"/>
          <w:color w:val="1A1A1A"/>
          <w:sz w:val="20"/>
          <w:szCs w:val="20"/>
        </w:rPr>
        <w:t xml:space="preserve">Nodes dispatch through the existing execution engine — topological ordering, priority queue, worker-pool capacity, cancellation tokens, failure cascade — to a real execution provider calling the runtime service per node. Agent selection uses the existing capability registry.</w:t>
      </w:r>
    </w:p>
    <w:p>
      <w:pPr>
        <w:pStyle w:val="ListParagraph"/>
        <w:numPr>
          <w:ilvl w:val="0"/>
          <w:numId w:val="3"/>
        </w:numPr>
        <w:spacing w:after="70" w:line="268"/>
      </w:pPr>
      <w:r>
        <w:rPr>
          <w:rFonts w:ascii="Calibri" w:cs="Calibri" w:eastAsia="Calibri" w:hAnsi="Calibri"/>
          <w:b/>
          <w:bCs/>
          <w:color w:val="1A1A1A"/>
          <w:sz w:val="20"/>
          <w:szCs w:val="20"/>
        </w:rPr>
        <w:t xml:space="preserve">Memory participates on both sides. </w:t>
      </w:r>
      <w:r>
        <w:rPr>
          <w:rFonts w:ascii="Calibri" w:cs="Calibri" w:eastAsia="Calibri" w:hAnsi="Calibri"/>
          <w:color w:val="1A1A1A"/>
          <w:sz w:val="20"/>
          <w:szCs w:val="20"/>
        </w:rPr>
        <w:t xml:space="preserve">Relevant chunks are retrieved and folded into prompt assembly before the call; results are written back as messages and, where durable, as memory.</w:t>
      </w:r>
    </w:p>
    <w:p>
      <w:pPr>
        <w:pStyle w:val="ListParagraph"/>
        <w:numPr>
          <w:ilvl w:val="0"/>
          <w:numId w:val="3"/>
        </w:numPr>
        <w:spacing w:after="70" w:line="268"/>
      </w:pPr>
      <w:r>
        <w:rPr>
          <w:rFonts w:ascii="Calibri" w:cs="Calibri" w:eastAsia="Calibri" w:hAnsi="Calibri"/>
          <w:b/>
          <w:bCs/>
          <w:color w:val="1A1A1A"/>
          <w:sz w:val="20"/>
          <w:szCs w:val="20"/>
        </w:rPr>
        <w:t xml:space="preserve">Tools execute under policy. </w:t>
      </w:r>
      <w:r>
        <w:rPr>
          <w:rFonts w:ascii="Calibri" w:cs="Calibri" w:eastAsia="Calibri" w:hAnsi="Calibri"/>
          <w:color w:val="1A1A1A"/>
          <w:sz w:val="20"/>
          <w:szCs w:val="20"/>
        </w:rPr>
        <w:t xml:space="preserve">The tool runtime invokes registered tools; the policy engine — with policies actually registered — and DLP evaluate the call before it leaves the boundary.</w:t>
      </w:r>
    </w:p>
    <w:p>
      <w:pPr>
        <w:pStyle w:val="ListParagraph"/>
        <w:numPr>
          <w:ilvl w:val="0"/>
          <w:numId w:val="3"/>
        </w:numPr>
        <w:spacing w:after="70" w:line="268"/>
      </w:pPr>
      <w:r>
        <w:rPr>
          <w:rFonts w:ascii="Calibri" w:cs="Calibri" w:eastAsia="Calibri" w:hAnsi="Calibri"/>
          <w:b/>
          <w:bCs/>
          <w:color w:val="1A1A1A"/>
          <w:sz w:val="20"/>
          <w:szCs w:val="20"/>
        </w:rPr>
        <w:t xml:space="preserve">Everything is observed, audited and metered. </w:t>
      </w:r>
      <w:r>
        <w:rPr>
          <w:rFonts w:ascii="Calibri" w:cs="Calibri" w:eastAsia="Calibri" w:hAnsi="Calibri"/>
          <w:color w:val="1A1A1A"/>
          <w:sz w:val="20"/>
          <w:szCs w:val="20"/>
        </w:rPr>
        <w:t xml:space="preserve">An OTEL span per hop, an immutable audit record per action keyed on the verified subject, and a metering event per model call attributable to a real tenant. The third of these is what makes the commercial model executable.</w:t>
      </w:r>
    </w:p>
    <w:p>
      <w:pPr>
        <w:pStyle w:val="Heading2"/>
        <w:keepNext/>
        <w:spacing w:after="130" w:before="300"/>
      </w:pPr>
      <w:r>
        <w:rPr>
          <w:rFonts w:ascii="Calibri" w:cs="Calibri" w:eastAsia="Calibri" w:hAnsi="Calibri"/>
          <w:b/>
          <w:bCs/>
          <w:color w:val="134074"/>
          <w:sz w:val="25"/>
          <w:szCs w:val="25"/>
        </w:rPr>
        <w:t xml:space="preserve">13.2  Service estate at week 24</w:t>
      </w:r>
    </w:p>
    <w:p>
      <w:pPr>
        <w:spacing w:after="140" w:before="0" w:line="276"/>
        <w:jc w:val="both"/>
      </w:pPr>
      <w:r>
        <w:rPr>
          <w:rFonts w:ascii="Calibri" w:cs="Calibri" w:eastAsia="Calibri" w:hAnsi="Calibri"/>
          <w:color w:val="1A1A1A"/>
          <w:sz w:val="20"/>
          <w:szCs w:val="20"/>
        </w:rPr>
        <w:t xml:space="preserve">Decision D4 targets a consolidation from thirty-three services to a defensible estate. The recommendation below is the input to that decision, not its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Retained</w:t>
            </w:r>
          </w:p>
        </w:tc>
        <w:tc>
          <w:tcPr>
            <w:tcW w:type="dxa" w:w="1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Language</w:t>
            </w:r>
          </w:p>
        </w:tc>
        <w:tc>
          <w:tcPr>
            <w:tcW w:type="dxa" w:w="5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Rationale</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Gateway (edge)</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Rust or ingress-native</w:t>
            </w:r>
          </w:p>
        </w:tc>
        <w:tc>
          <w:tcPr>
            <w:tcW w:type="dxa" w:w="5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Single enforced entry point. Retain the Rust gateway only if the root-proxy defect is fixed and it is actually placed in the ingress path; otherwise consolidate into ingress plus in-service verification</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platform-api</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TypeScript</w:t>
            </w:r>
          </w:p>
        </w:tc>
        <w:tc>
          <w:tcPr>
            <w:tcW w:type="dxa" w:w="5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Conversation, agent and workflow API. The system of record for the single-agent path</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forge-api</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TypeScript</w:t>
            </w:r>
          </w:p>
        </w:tc>
        <w:tc>
          <w:tcPr>
            <w:tcW w:type="dxa" w:w="5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Developer environment backend. Already the reference implementation for authentication</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agent-runner</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Python</w:t>
            </w:r>
          </w:p>
        </w:tc>
        <w:tc>
          <w:tcPr>
            <w:tcW w:type="dxa" w:w="5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Multi-agent orchestration. Retained if D3 selects HiveSwarm as canonical for orchestration</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planner-service</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Python</w:t>
            </w:r>
          </w:p>
        </w:tc>
        <w:tc>
          <w:tcPr>
            <w:tcW w:type="dxa" w:w="5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best planning implementation in the estate. Retained under either D3 outcome</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swarm-api</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Go</w:t>
            </w:r>
          </w:p>
        </w:tc>
        <w:tc>
          <w:tcPr>
            <w:tcW w:type="dxa" w:w="5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HTTP and WebSocket surface with NATS and Redis for the orchestration path</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tool-gateway</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Go</w:t>
            </w:r>
          </w:p>
        </w:tc>
        <w:tc>
          <w:tcPr>
            <w:tcW w:type="dxa" w:w="5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Tool execution boundary. Extended to serve both agent paths rather than only HiveSwarm</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memory-service</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Python</w:t>
            </w:r>
          </w:p>
        </w:tc>
        <w:tc>
          <w:tcPr>
            <w:tcW w:type="dxa" w:w="5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Retained subject to a source read; merged into the runtime if it proves thin</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temporal-worker</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TypeScript</w:t>
            </w:r>
          </w:p>
        </w:tc>
        <w:tc>
          <w:tcPr>
            <w:tcW w:type="dxa" w:w="5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Durable workflow execution for CerebroFlow</w:t>
            </w:r>
          </w:p>
        </w:tc>
      </w:tr>
      <w:tr>
        <w:tc>
          <w:tcPr>
            <w:tcW w:type="dxa" w:w="21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ml-svc</w:t>
            </w:r>
          </w:p>
        </w:tc>
        <w:tc>
          <w:tcPr>
            <w:tcW w:type="dxa" w:w="1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w:t>
            </w:r>
          </w:p>
        </w:tc>
        <w:tc>
          <w:tcPr>
            <w:tcW w:type="dxa" w:w="5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Embeddings and scoring. Retained on performance grounds; requires an owner</w:t>
            </w:r>
          </w:p>
        </w:tc>
      </w:tr>
      <w:tr>
        <w:tc>
          <w:tcPr>
            <w:tcW w:type="dxa" w:w="21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Studio, Forge and Flow front ends</w:t>
            </w:r>
          </w:p>
        </w:tc>
        <w:tc>
          <w:tcPr>
            <w:tcW w:type="dxa" w:w="1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TypeScript</w:t>
            </w:r>
          </w:p>
        </w:tc>
        <w:tc>
          <w:tcPr>
            <w:tcW w:type="dxa" w:w="5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 surfaces, all consuming the SDK</w:t>
            </w:r>
          </w:p>
        </w:tc>
      </w:tr>
    </w:tbl>
    <w:p>
      <w:pPr>
        <w:spacing w:after="140" w:before="0" w:line="276"/>
        <w:jc w:val="both"/>
      </w:pPr>
      <w:r>
        <w:rPr>
          <w:rFonts w:ascii="Calibri" w:cs="Calibri" w:eastAsia="Calibri" w:hAnsi="Calibri"/>
          <w:b/>
          <w:bCs/>
          <w:color w:val="1A1A1A"/>
          <w:sz w:val="20"/>
          <w:szCs w:val="20"/>
        </w:rPr>
        <w:t xml:space="preserve">Candidates for retirement or merge: </w:t>
      </w:r>
      <w:r>
        <w:rPr>
          <w:rFonts w:ascii="Calibri" w:cs="Calibri" w:eastAsia="Calibri" w:hAnsi="Calibri"/>
          <w:color w:val="1A1A1A"/>
          <w:sz w:val="20"/>
          <w:szCs w:val="20"/>
        </w:rPr>
        <w:t xml:space="preserve">the TypeScript swarm-runtime once its scheduler is either adopted or superseded; router-service if selection consolidates into the registry; evaluation-service and learning-service if their capability lands in the eval harness; the three Kotlin services pending an ownership and usage decision; and the sixteen services that contain no source at all, which should be deleted rather than carried.</w:t>
      </w:r>
    </w:p>
    <w:p>
      <w:pPr>
        <w:pStyle w:val="Heading2"/>
        <w:keepNext/>
        <w:spacing w:after="130" w:before="300"/>
      </w:pPr>
      <w:r>
        <w:rPr>
          <w:rFonts w:ascii="Calibri" w:cs="Calibri" w:eastAsia="Calibri" w:hAnsi="Calibri"/>
          <w:b/>
          <w:bCs/>
          <w:color w:val="134074"/>
          <w:sz w:val="25"/>
          <w:szCs w:val="25"/>
        </w:rPr>
        <w:t xml:space="preserve">13.3  Data architecture</w:t>
      </w:r>
    </w:p>
    <w:p>
      <w:pPr>
        <w:spacing w:after="140" w:before="0" w:line="276"/>
        <w:jc w:val="both"/>
      </w:pPr>
      <w:r>
        <w:rPr>
          <w:rFonts w:ascii="Calibri" w:cs="Calibri" w:eastAsia="Calibri" w:hAnsi="Calibri"/>
          <w:color w:val="1A1A1A"/>
          <w:sz w:val="20"/>
          <w:szCs w:val="20"/>
        </w:rPr>
        <w:t xml:space="preserve">The data model does not change. It is already correct, already migrated and already live — the programme populates it rather than redesigning it, and this is the single largest source of schedule confidence in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Concern</w:t>
            </w:r>
          </w:p>
        </w:tc>
        <w:tc>
          <w:tcPr>
            <w:tcW w:type="dxa" w:w="4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Model</w:t>
            </w:r>
          </w:p>
        </w:tc>
        <w:tc>
          <w:tcPr>
            <w:tcW w:type="dxa" w:w="35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Programme action</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Conversation state</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AgentConversation, AgentMessage with memory and artifacts as JSON, role, content, tool invocations and metadata</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Build repositories; wire routes. No migration</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Agent memory</w:t>
            </w:r>
          </w:p>
        </w:tc>
        <w:tc>
          <w:tcPr>
            <w:tcW w:type="dxa" w:w="4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Memory, MemorySnapshot</w:t>
            </w:r>
          </w:p>
        </w:tc>
        <w:tc>
          <w:tcPr>
            <w:tcW w:type="dxa" w:w="3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Build repositories; implement summarisation and retrieval in the reserved capability package</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Retrieval corpus</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Document → DocumentVersion → Chunk → Embedding (pgvector 1536) → VectorIndex</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Build the ingestion pipeline and embeddings client. No migration</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Execution history</w:t>
            </w:r>
          </w:p>
        </w:tc>
        <w:tc>
          <w:tcPr>
            <w:tcW w:type="dxa" w:w="4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AgentExecution</w:t>
            </w:r>
          </w:p>
        </w:tc>
        <w:tc>
          <w:tcPr>
            <w:tcW w:type="dxa" w:w="3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Populate from the runtime; source for evaluation and cost attribution</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Tool catalogue</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Tool, ToolVersion, ToolCategory, AgentTool with an existing repository</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Register real tools; no schema work</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Policy</w:t>
            </w:r>
          </w:p>
        </w:tc>
        <w:tc>
          <w:tcPr>
            <w:tcW w:type="dxa" w:w="4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Policy model with an instantiated engine</w:t>
            </w:r>
          </w:p>
        </w:tc>
        <w:tc>
          <w:tcPr>
            <w:tcW w:type="dxa" w:w="3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Register real policies. The model and engine already exist</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Tenancy</w:t>
            </w:r>
          </w:p>
        </w:tc>
        <w:tc>
          <w:tcPr>
            <w:tcW w:type="dxa" w:w="4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Organisation and workspace</w:t>
            </w:r>
          </w:p>
        </w:tc>
        <w:tc>
          <w:tcPr>
            <w:tcW w:type="dxa" w:w="3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Add the ownership lookup that closes the workspace header gap</w:t>
            </w:r>
          </w:p>
        </w:tc>
      </w:tr>
    </w:tbl>
    <w:p>
      <w:pPr>
        <w:pStyle w:val="Heading2"/>
        <w:keepNext/>
        <w:spacing w:after="130" w:before="300"/>
      </w:pPr>
      <w:r>
        <w:rPr>
          <w:rFonts w:ascii="Calibri" w:cs="Calibri" w:eastAsia="Calibri" w:hAnsi="Calibri"/>
          <w:b/>
          <w:bCs/>
          <w:color w:val="134074"/>
          <w:sz w:val="25"/>
          <w:szCs w:val="25"/>
        </w:rPr>
        <w:t xml:space="preserve">13.4  Non-functional targets at week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Property</w:t>
            </w:r>
          </w:p>
        </w:tc>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Target</w:t>
            </w:r>
          </w:p>
        </w:tc>
        <w:tc>
          <w:tcPr>
            <w:tcW w:type="dxa" w:w="40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How it is measured</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Availability</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99.5% for the conversation API, measured monthly</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Prometheus service-down and error-rate rules already defined</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Latency</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p95 under 2.5s to first token; p99 under 8s for a single-tool completion</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Existing p99 latency alert plus k6 profiles</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Throughput</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200 concurrent agent executions per tenant without cross-tenant degradation</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Load test with an adversarial tenant profile</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Cold start</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Full platform boot under 45 minutes per the declared sequence</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Timed cold-start run against a clean namespace</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Degradation</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Every fallback in the map occurs as declared</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Chaos experiment per fallback</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Recovery</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MTTR under 60 minutes for Sev-1</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Game day plus incident record</w:t>
            </w:r>
          </w:p>
        </w:tc>
      </w:tr>
      <w:tr>
        <w:tc>
          <w:tcPr>
            <w:tcW w:type="dxa" w:w="1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Cost attribution</w:t>
            </w:r>
          </w:p>
        </w:tc>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Metered usage within 2% of provider-reported usage</w:t>
            </w:r>
          </w:p>
        </w:tc>
        <w:tc>
          <w:tcPr>
            <w:tcW w:type="dxa" w:w="4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Reconciliation over a full billing period</w:t>
            </w:r>
          </w:p>
        </w:tc>
      </w:tr>
      <w:tr>
        <w:tc>
          <w:tcPr>
            <w:tcW w:type="dxa" w:w="1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Isolation</w:t>
            </w:r>
          </w:p>
        </w:tc>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 cross-tenant access in test or in production audit</w:t>
            </w:r>
          </w:p>
        </w:tc>
        <w:tc>
          <w:tcPr>
            <w:tcW w:type="dxa" w:w="4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Blocking CI gate plus audit log review</w:t>
            </w:r>
          </w:p>
        </w:tc>
      </w:tr>
    </w:tbl>
    <w:p>
      <w:pPr>
        <w:pStyle w:val="Heading2"/>
        <w:keepNext/>
        <w:spacing w:after="130" w:before="300"/>
      </w:pPr>
      <w:r>
        <w:rPr>
          <w:rFonts w:ascii="Calibri" w:cs="Calibri" w:eastAsia="Calibri" w:hAnsi="Calibri"/>
          <w:b/>
          <w:bCs/>
          <w:color w:val="134074"/>
          <w:sz w:val="25"/>
          <w:szCs w:val="25"/>
        </w:rPr>
        <w:t xml:space="preserve">13.5  Declared divergences from the constitution</w:t>
      </w:r>
    </w:p>
    <w:p>
      <w:pPr>
        <w:spacing w:after="140" w:before="0" w:line="276"/>
        <w:jc w:val="both"/>
      </w:pPr>
      <w:r>
        <w:rPr>
          <w:rFonts w:ascii="Calibri" w:cs="Calibri" w:eastAsia="Calibri" w:hAnsi="Calibri"/>
          <w:color w:val="1A1A1A"/>
          <w:sz w:val="20"/>
          <w:szCs w:val="20"/>
        </w:rPr>
        <w:t xml:space="preserve">Three, each deliberate.</w:t>
      </w:r>
    </w:p>
    <w:p>
      <w:pPr>
        <w:pStyle w:val="ListParagraph"/>
        <w:numPr>
          <w:ilvl w:val="0"/>
          <w:numId w:val="2"/>
        </w:numPr>
        <w:spacing w:after="70" w:line="268"/>
      </w:pPr>
      <w:r>
        <w:rPr>
          <w:rFonts w:ascii="Calibri" w:cs="Calibri" w:eastAsia="Calibri" w:hAnsi="Calibri"/>
          <w:b/>
          <w:bCs/>
          <w:color w:val="1A1A1A"/>
          <w:sz w:val="20"/>
          <w:szCs w:val="20"/>
        </w:rPr>
        <w:t xml:space="preserve">Tier 2's HiveGateway may be delivered by ingress plus in-service verification rather than by a distinct Rust service. </w:t>
      </w:r>
      <w:r>
        <w:rPr>
          <w:rFonts w:ascii="Calibri" w:cs="Calibri" w:eastAsia="Calibri" w:hAnsi="Calibri"/>
          <w:color w:val="1A1A1A"/>
          <w:sz w:val="20"/>
          <w:szCs w:val="20"/>
        </w:rPr>
        <w:t xml:space="preserve">The constitution names HiveGateway as a tier-2 product. The implementation question — dedicated service or ingress-plus-library — is an engineering choice and should not be forced by the diagram. The property that matters is that verification is unavoidable, not where the code lives.</w:t>
      </w:r>
    </w:p>
    <w:p>
      <w:pPr>
        <w:pStyle w:val="ListParagraph"/>
        <w:numPr>
          <w:ilvl w:val="0"/>
          <w:numId w:val="2"/>
        </w:numPr>
        <w:spacing w:after="70" w:line="268"/>
      </w:pPr>
      <w:r>
        <w:rPr>
          <w:rFonts w:ascii="Calibri" w:cs="Calibri" w:eastAsia="Calibri" w:hAnsi="Calibri"/>
          <w:b/>
          <w:bCs/>
          <w:color w:val="1A1A1A"/>
          <w:sz w:val="20"/>
          <w:szCs w:val="20"/>
        </w:rPr>
        <w:t xml:space="preserve">Sixty-plus tier-3 and tier-4 products remain unimplemented and are not represented in the week-24 architecture. </w:t>
      </w:r>
      <w:r>
        <w:rPr>
          <w:rFonts w:ascii="Calibri" w:cs="Calibri" w:eastAsia="Calibri" w:hAnsi="Calibri"/>
          <w:color w:val="1A1A1A"/>
          <w:sz w:val="20"/>
          <w:szCs w:val="20"/>
        </w:rPr>
        <w:t xml:space="preserve">The capability matrix should be annotated with implementation status so that the architecture document stops reading as a description of what exists.</w:t>
      </w:r>
    </w:p>
    <w:p>
      <w:pPr>
        <w:pStyle w:val="ListParagraph"/>
        <w:numPr>
          <w:ilvl w:val="0"/>
          <w:numId w:val="2"/>
        </w:numPr>
        <w:spacing w:after="70" w:line="268"/>
      </w:pPr>
      <w:r>
        <w:rPr>
          <w:rFonts w:ascii="Calibri" w:cs="Calibri" w:eastAsia="Calibri" w:hAnsi="Calibri"/>
          <w:b/>
          <w:bCs/>
          <w:color w:val="1A1A1A"/>
          <w:sz w:val="20"/>
          <w:szCs w:val="20"/>
        </w:rPr>
        <w:t xml:space="preserve">HiveExchange, HiveBilling and HiveLicense at tier 5 are represented only by metering events. </w:t>
      </w:r>
      <w:r>
        <w:rPr>
          <w:rFonts w:ascii="Calibri" w:cs="Calibri" w:eastAsia="Calibri" w:hAnsi="Calibri"/>
          <w:color w:val="1A1A1A"/>
          <w:sz w:val="20"/>
          <w:szCs w:val="20"/>
        </w:rPr>
        <w:t xml:space="preserve">Full commerce infrastructure follows this programme. The metering event schema is designed to be their input, so this is a deferral rather than a divergence in direction.</w:t>
      </w:r>
    </w:p>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14  </w:t>
      </w:r>
      <w:r>
        <w:rPr>
          <w:rFonts w:ascii="Calibri Light" w:cs="Calibri Light" w:eastAsia="Calibri Light" w:hAnsi="Calibri Light"/>
          <w:b/>
          <w:bCs/>
          <w:color w:val="0B2545"/>
          <w:sz w:val="34"/>
          <w:szCs w:val="34"/>
        </w:rPr>
        <w:t xml:space="preserve">Product Roadmap Beyond the Programme</w:t>
      </w:r>
    </w:p>
    <w:p>
      <w:pPr>
        <w:spacing w:after="140" w:before="0" w:line="276"/>
        <w:jc w:val="both"/>
      </w:pPr>
      <w:r>
        <w:rPr>
          <w:rFonts w:ascii="Calibri" w:cs="Calibri" w:eastAsia="Calibri" w:hAnsi="Calibri"/>
          <w:color w:val="1A1A1A"/>
          <w:sz w:val="20"/>
          <w:szCs w:val="20"/>
        </w:rPr>
        <w:t xml:space="preserve">The constitution's eight-phase roadmap is a decade-scale artefact and remains the strategic frame. What follows locates this programme within it and states what the two horizons after it actually require, in the same evidence-based register as the rest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200"/>
        <w:gridCol w:w="3060"/>
      </w:tblGrid>
      <w:tr>
        <w:trPr>
          <w:tblHeader/>
        </w:trPr>
        <w:tc>
          <w:tcPr>
            <w:tcW w:type="dxa" w:w="1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Horizon</w:t>
            </w:r>
          </w:p>
        </w:tc>
        <w:tc>
          <w:tcPr>
            <w:tcW w:type="dxa" w:w="13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Window</w:t>
            </w:r>
          </w:p>
        </w:tc>
        <w:tc>
          <w:tcPr>
            <w:tcW w:type="dxa" w:w="3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Objective</w:t>
            </w:r>
          </w:p>
        </w:tc>
        <w:tc>
          <w:tcPr>
            <w:tcW w:type="dxa" w:w="30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Principal prerequisites</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H1 — Trustworthy core</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This programme, weeks 1–24</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Verified identity, real agent runtime, memory, one orchestration path, three products at GA</w:t>
            </w:r>
          </w:p>
        </w:tc>
        <w:tc>
          <w:tcPr>
            <w:tcW w:type="dxa" w:w="3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six decisions in Section 1.4</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H2 — Enterprise platform</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Months 7–12</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Governance depth, SOC 2 Type II, Enterprise edition deployability, CerebroInsight and CerebroArchive to GA</w:t>
            </w:r>
          </w:p>
        </w:tc>
        <w:tc>
          <w:tcPr>
            <w:tcW w:type="dxa" w:w="3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Private-cloud deployment model; a self-serve provisioning path; support scaling</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H3 — Intelligence mesh</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Months 12–24</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Knowledge graph at enterprise scale, cross-product memory, CerebroERP and CerebroCRM to beta</w:t>
            </w:r>
          </w:p>
        </w:tc>
        <w:tc>
          <w:tcPr>
            <w:tcW w:type="dxa" w:w="3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knowledge graph moat requires sustained investment starting in H2, not H3</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H4 — Marketplace</w:t>
            </w:r>
          </w:p>
        </w:tc>
        <w:tc>
          <w:tcPr>
            <w:tcW w:type="dxa" w:w="1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Year 2–3</w:t>
            </w:r>
          </w:p>
        </w:tc>
        <w:tc>
          <w:tcPr>
            <w:tcW w:type="dxa" w:w="3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HiveExchange with partner-authored assets and a 20% platform fee</w:t>
            </w:r>
          </w:p>
        </w:tc>
        <w:tc>
          <w:tcPr>
            <w:tcW w:type="dxa" w:w="30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stable SDK at liquidity, billing infrastructure, a partner programme, and enough tenants to make listing worthwhile</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H5 — Developer platform and verticals</w:t>
            </w:r>
          </w:p>
        </w:tc>
        <w:tc>
          <w:tcPr>
            <w:tcW w:type="dxa" w:w="1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Year 3–5</w:t>
            </w:r>
          </w:p>
        </w:tc>
        <w:tc>
          <w:tcPr>
            <w:tcW w:type="dxa" w:w="3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HiveForge and HiveAPI public; vertical SKUs</w:t>
            </w:r>
          </w:p>
        </w:tc>
        <w:tc>
          <w:tcPr>
            <w:tcW w:type="dxa" w:w="30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Public API stability guarantees; industry compliance programmes per vertical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7F0A" w:sz="24"/>
              <w:bottom w:val="none" w:color="FFFFFF" w:sz="0"/>
              <w:right w:val="none" w:color="FFFFFF" w:sz="0"/>
            </w:tcBorders>
            <w:shd w:fill="F5F7FA" w:color="auto" w:val="clear"/>
            <w:tcMar>
              <w:top w:type="dxa" w:w="150"/>
              <w:left w:type="dxa" w:w="180"/>
              <w:bottom w:type="dxa" w:w="150"/>
              <w:right w:type="dxa" w:w="180"/>
            </w:tcMar>
          </w:tcPr>
          <w:p>
            <w:pPr>
              <w:spacing w:after="70"/>
            </w:pPr>
            <w:r>
              <w:rPr>
                <w:rFonts w:ascii="Calibri" w:cs="Calibri" w:eastAsia="Calibri" w:hAnsi="Calibri"/>
                <w:b/>
                <w:bCs/>
                <w:caps/>
                <w:color w:val="C77F0A"/>
                <w:sz w:val="19"/>
                <w:szCs w:val="19"/>
              </w:rPr>
              <w:t xml:space="preserve">The sequencing risk that matters most</w:t>
            </w:r>
          </w:p>
          <w:p>
            <w:pPr>
              <w:spacing w:after="60" w:line="264"/>
              <w:jc w:val="both"/>
            </w:pPr>
            <w:r>
              <w:rPr>
                <w:rFonts w:ascii="Calibri" w:cs="Calibri" w:eastAsia="Calibri" w:hAnsi="Calibri"/>
                <w:color w:val="1A1A1A"/>
                <w:sz w:val="19"/>
                <w:szCs w:val="19"/>
              </w:rPr>
              <w:t xml:space="preserve">The knowledge graph is identified in Section 2.4 as the most durable moat in the portfolio and is currently the least built. It is scheduled in H3 by the constitution's phasing. If it is genuinely the moat, investment should begin in H2 — a graph accumulates value only through time in production, and starting it a year later delays the defensibility by a year with no way to compress it later.</w:t>
            </w:r>
          </w:p>
        </w:tc>
      </w:tr>
    </w:tbl>
    <w:p>
      <w:pPr>
        <w:pStyle w:val="Heading1"/>
        <w:pageBreakBefore/>
        <w:pBdr>
          <w:bottom w:val="single" w:color="0B2545" w:sz="10" w:space="8"/>
        </w:pBdr>
        <w:spacing w:after="260" w:before="0"/>
      </w:pPr>
      <w:r>
        <w:rPr>
          <w:rFonts w:ascii="Calibri Light" w:cs="Calibri Light" w:eastAsia="Calibri Light" w:hAnsi="Calibri Light"/>
          <w:b/>
          <w:bCs/>
          <w:color w:val="3E6E9E"/>
          <w:sz w:val="34"/>
          <w:szCs w:val="34"/>
        </w:rPr>
        <w:t xml:space="preserve">15  </w:t>
      </w:r>
      <w:r>
        <w:rPr>
          <w:rFonts w:ascii="Calibri Light" w:cs="Calibri Light" w:eastAsia="Calibri Light" w:hAnsi="Calibri Light"/>
          <w:b/>
          <w:bCs/>
          <w:color w:val="0B2545"/>
          <w:sz w:val="34"/>
          <w:szCs w:val="34"/>
        </w:rPr>
        <w:t xml:space="preserve">Launch and Go-to-Market Plan</w:t>
      </w:r>
    </w:p>
    <w:p>
      <w:pPr>
        <w:spacing w:after="140" w:before="0" w:line="276"/>
        <w:jc w:val="both"/>
      </w:pPr>
      <w:r>
        <w:rPr>
          <w:rFonts w:ascii="Calibri" w:cs="Calibri" w:eastAsia="Calibri" w:hAnsi="Calibri"/>
          <w:color w:val="1A1A1A"/>
          <w:sz w:val="20"/>
          <w:szCs w:val="20"/>
        </w:rPr>
        <w:t xml:space="preserve">The launch plan is deliberately narrow, for the same reason the engineering plan is: a controlled launch that three customers succeed with is worth more than an open launch that fifty evaluate and abandon. The plan runs in parallel with engineering from week 5 and is gated by the same milestones.</w:t>
      </w:r>
    </w:p>
    <w:p>
      <w:pPr>
        <w:pStyle w:val="Heading2"/>
        <w:keepNext/>
        <w:spacing w:after="130" w:before="300"/>
      </w:pPr>
      <w:r>
        <w:rPr>
          <w:rFonts w:ascii="Calibri" w:cs="Calibri" w:eastAsia="Calibri" w:hAnsi="Calibri"/>
          <w:b/>
          <w:bCs/>
          <w:color w:val="134074"/>
          <w:sz w:val="25"/>
          <w:szCs w:val="25"/>
        </w:rPr>
        <w:t xml:space="preserve">15.1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900"/>
        <w:gridCol w:w="2560"/>
      </w:tblGrid>
      <w:tr>
        <w:trPr>
          <w:tblHeader/>
        </w:trPr>
        <w:tc>
          <w:tcPr>
            <w:tcW w:type="dxa" w:w="2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Phase</w:t>
            </w:r>
          </w:p>
        </w:tc>
        <w:tc>
          <w:tcPr>
            <w:tcW w:type="dxa" w:w="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Weeks</w:t>
            </w:r>
          </w:p>
        </w:tc>
        <w:tc>
          <w:tcPr>
            <w:tcW w:type="dxa" w:w="39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Objective</w:t>
            </w:r>
          </w:p>
        </w:tc>
        <w:tc>
          <w:tcPr>
            <w:tcW w:type="dxa" w:w="25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Gate</w:t>
            </w:r>
          </w:p>
        </w:tc>
      </w:tr>
      <w:tr>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partner selection</w:t>
            </w:r>
          </w:p>
        </w:tc>
        <w:tc>
          <w:tcPr>
            <w:tcW w:type="dxa" w:w="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5–8</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Three named accounts under a design-partner agreement with defined success criteria and feedback obligations</w:t>
            </w:r>
          </w:p>
        </w:tc>
        <w:tc>
          <w:tcPr>
            <w:tcW w:type="dxa" w:w="2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D6 decided by week 5</w:t>
            </w:r>
          </w:p>
        </w:tc>
      </w:tr>
      <w:tr>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Guided onboarding</w:t>
            </w:r>
          </w:p>
        </w:tc>
        <w:tc>
          <w:tcPr>
            <w:tcW w:type="dxa" w:w="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12–16</w:t>
            </w:r>
          </w:p>
        </w:tc>
        <w:tc>
          <w:tcPr>
            <w:tcW w:type="dxa" w:w="3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Partners authenticate and run agents in their own tenants with hands-on support</w:t>
            </w:r>
          </w:p>
        </w:tc>
        <w:tc>
          <w:tcPr>
            <w:tcW w:type="dxa" w:w="2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MS3 passed</w:t>
            </w:r>
          </w:p>
        </w:tc>
      </w:tr>
      <w:tr>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Production workloads</w:t>
            </w:r>
          </w:p>
        </w:tc>
        <w:tc>
          <w:tcPr>
            <w:tcW w:type="dxa" w:w="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16–22</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Partners run real work; usage is metered; feedback drives the backlog</w:t>
            </w:r>
          </w:p>
        </w:tc>
        <w:tc>
          <w:tcPr>
            <w:tcW w:type="dxa" w:w="2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MS4 passed</w:t>
            </w:r>
          </w:p>
        </w:tc>
      </w:tr>
      <w:tr>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Beta readiness</w:t>
            </w:r>
          </w:p>
        </w:tc>
        <w:tc>
          <w:tcPr>
            <w:tcW w:type="dxa" w:w="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19–22</w:t>
            </w:r>
          </w:p>
        </w:tc>
        <w:tc>
          <w:tcPr>
            <w:tcW w:type="dxa" w:w="39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Documentation, runbooks, support paths and pricing enforcement complete</w:t>
            </w:r>
          </w:p>
        </w:tc>
        <w:tc>
          <w:tcPr>
            <w:tcW w:type="dxa" w:w="2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MS5 passed</w:t>
            </w:r>
          </w:p>
        </w:tc>
      </w:tr>
      <w:tr>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Controlled GA</w:t>
            </w:r>
          </w:p>
        </w:tc>
        <w:tc>
          <w:tcPr>
            <w:tcW w:type="dxa" w:w="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23–24</w:t>
            </w:r>
          </w:p>
        </w:tc>
        <w:tc>
          <w:tcPr>
            <w:tcW w:type="dxa" w:w="39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Contracts signed, billing accurate, waitlist opened</w:t>
            </w:r>
          </w:p>
        </w:tc>
        <w:tc>
          <w:tcPr>
            <w:tcW w:type="dxa" w:w="2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MS6 passed</w:t>
            </w:r>
          </w:p>
        </w:tc>
      </w:tr>
    </w:tbl>
    <w:p>
      <w:pPr>
        <w:pStyle w:val="Heading2"/>
        <w:keepNext/>
        <w:spacing w:after="130" w:before="300"/>
      </w:pPr>
      <w:r>
        <w:rPr>
          <w:rFonts w:ascii="Calibri" w:cs="Calibri" w:eastAsia="Calibri" w:hAnsi="Calibri"/>
          <w:b/>
          <w:bCs/>
          <w:color w:val="134074"/>
          <w:sz w:val="25"/>
          <w:szCs w:val="25"/>
        </w:rPr>
        <w:t xml:space="preserve">15.2  Design partner criteria</w:t>
      </w:r>
    </w:p>
    <w:p>
      <w:pPr>
        <w:spacing w:after="140" w:before="0" w:line="276"/>
        <w:jc w:val="both"/>
      </w:pPr>
      <w:r>
        <w:rPr>
          <w:rFonts w:ascii="Calibri" w:cs="Calibri" w:eastAsia="Calibri" w:hAnsi="Calibri"/>
          <w:color w:val="1A1A1A"/>
          <w:sz w:val="20"/>
          <w:szCs w:val="20"/>
        </w:rPr>
        <w:t xml:space="preserve">Three partners, selected against criteria rather than availability. The wrong partner costs more than no partner, because their feedback distorts the backlog for the remainder of the programme.</w:t>
      </w:r>
    </w:p>
    <w:p>
      <w:pPr>
        <w:pStyle w:val="ListParagraph"/>
        <w:numPr>
          <w:ilvl w:val="0"/>
          <w:numId w:val="2"/>
        </w:numPr>
        <w:spacing w:after="70" w:line="268"/>
      </w:pPr>
      <w:r>
        <w:rPr>
          <w:rFonts w:ascii="Calibri" w:cs="Calibri" w:eastAsia="Calibri" w:hAnsi="Calibri"/>
          <w:color w:val="1A1A1A"/>
          <w:sz w:val="20"/>
          <w:szCs w:val="20"/>
        </w:rPr>
        <w:t xml:space="preserve">A mid-market or enterprise-department buyer matching the Business edition profile, since that is the edition this programme makes deliverable.</w:t>
      </w:r>
    </w:p>
    <w:p>
      <w:pPr>
        <w:pStyle w:val="ListParagraph"/>
        <w:numPr>
          <w:ilvl w:val="0"/>
          <w:numId w:val="2"/>
        </w:numPr>
        <w:spacing w:after="70" w:line="268"/>
      </w:pPr>
      <w:r>
        <w:rPr>
          <w:rFonts w:ascii="Calibri" w:cs="Calibri" w:eastAsia="Calibri" w:hAnsi="Calibri"/>
          <w:color w:val="1A1A1A"/>
          <w:sz w:val="20"/>
          <w:szCs w:val="20"/>
        </w:rPr>
        <w:t xml:space="preserve">A real, bounded, recurring workflow with a measurable baseline — not an exploratory pilot. Without a baseline there is no ROI story at MS6.</w:t>
      </w:r>
    </w:p>
    <w:p>
      <w:pPr>
        <w:pStyle w:val="ListParagraph"/>
        <w:numPr>
          <w:ilvl w:val="0"/>
          <w:numId w:val="2"/>
        </w:numPr>
        <w:spacing w:after="70" w:line="268"/>
      </w:pPr>
      <w:r>
        <w:rPr>
          <w:rFonts w:ascii="Calibri" w:cs="Calibri" w:eastAsia="Calibri" w:hAnsi="Calibri"/>
          <w:color w:val="1A1A1A"/>
          <w:sz w:val="20"/>
          <w:szCs w:val="20"/>
        </w:rPr>
        <w:t xml:space="preserve">A technical sponsor willing to run a security review, because surviving one before GA is more valuable than a favourable reference.</w:t>
      </w:r>
    </w:p>
    <w:p>
      <w:pPr>
        <w:pStyle w:val="ListParagraph"/>
        <w:numPr>
          <w:ilvl w:val="0"/>
          <w:numId w:val="2"/>
        </w:numPr>
        <w:spacing w:after="70" w:line="268"/>
      </w:pPr>
      <w:r>
        <w:rPr>
          <w:rFonts w:ascii="Calibri" w:cs="Calibri" w:eastAsia="Calibri" w:hAnsi="Calibri"/>
          <w:color w:val="1A1A1A"/>
          <w:sz w:val="20"/>
          <w:szCs w:val="20"/>
        </w:rPr>
        <w:t xml:space="preserve">Tolerance for a controlled release, expressed contractually, including a defined support model and explicit limitations.</w:t>
      </w:r>
    </w:p>
    <w:p>
      <w:pPr>
        <w:pStyle w:val="ListParagraph"/>
        <w:numPr>
          <w:ilvl w:val="0"/>
          <w:numId w:val="2"/>
        </w:numPr>
        <w:spacing w:after="70" w:line="268"/>
      </w:pPr>
      <w:r>
        <w:rPr>
          <w:rFonts w:ascii="Calibri" w:cs="Calibri" w:eastAsia="Calibri" w:hAnsi="Calibri"/>
          <w:color w:val="1A1A1A"/>
          <w:sz w:val="20"/>
          <w:szCs w:val="20"/>
        </w:rPr>
        <w:t xml:space="preserve">Diversity of workload shape across the three: one document-and-retrieval heavy, one automation heavy, one analysis heavy. Three similar partners produce one data point.</w:t>
      </w:r>
    </w:p>
    <w:p>
      <w:pPr>
        <w:pStyle w:val="Heading2"/>
        <w:keepNext/>
        <w:spacing w:after="130" w:before="300"/>
      </w:pPr>
      <w:r>
        <w:rPr>
          <w:rFonts w:ascii="Calibri" w:cs="Calibri" w:eastAsia="Calibri" w:hAnsi="Calibri"/>
          <w:b/>
          <w:bCs/>
          <w:color w:val="134074"/>
          <w:sz w:val="25"/>
          <w:szCs w:val="25"/>
        </w:rPr>
        <w:t xml:space="preserve">15.3  Positioning</w:t>
      </w:r>
    </w:p>
    <w:p>
      <w:pPr>
        <w:spacing w:after="140" w:before="0" w:line="276"/>
        <w:jc w:val="both"/>
      </w:pPr>
      <w:r>
        <w:rPr>
          <w:rFonts w:ascii="Calibri" w:cs="Calibri" w:eastAsia="Calibri" w:hAnsi="Calibri"/>
          <w:b/>
          <w:bCs/>
          <w:color w:val="1A1A1A"/>
          <w:sz w:val="20"/>
          <w:szCs w:val="20"/>
        </w:rPr>
        <w:t xml:space="preserve">The positioning must track the maturity model rather than lead it. </w:t>
      </w:r>
      <w:r>
        <w:rPr>
          <w:rFonts w:ascii="Calibri" w:cs="Calibri" w:eastAsia="Calibri" w:hAnsi="Calibri"/>
          <w:color w:val="1A1A1A"/>
          <w:sz w:val="20"/>
          <w:szCs w:val="20"/>
        </w:rPr>
        <w:t xml:space="preserve">At MS6 the platform credibly delivers levels one through four — assistant, copilot, autonomous agent and multi-agent team. It does not deliver level five department automation or level six intelligence mesh. Selling those is the fastest available way to lose a reference account permanently, and reference accounts are the entire asset this programme is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Audience</w:t>
            </w:r>
          </w:p>
        </w:tc>
        <w:tc>
          <w:tcPr>
            <w:tcW w:type="dxa" w:w="3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Message</w:t>
            </w:r>
          </w:p>
        </w:tc>
        <w:tc>
          <w:tcPr>
            <w:tcW w:type="dxa" w:w="41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Proof point available at MS6</w:t>
            </w:r>
          </w:p>
        </w:tc>
      </w:tr>
      <w:tr>
        <w:tc>
          <w:tcPr>
            <w:tcW w:type="dxa" w:w="1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Enterprise buyer</w:t>
            </w:r>
          </w:p>
        </w:tc>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Governed multi-agent automation with verified identity, per-action audit and attributable cost</w:t>
            </w:r>
          </w:p>
        </w:tc>
        <w:tc>
          <w:tcPr>
            <w:tcW w:type="dxa" w:w="4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Penetration test report, SOC 2 Type I evidence package, published SLOs with 30 days of attainment</w:t>
            </w:r>
          </w:p>
        </w:tc>
      </w:tr>
      <w:tr>
        <w:tc>
          <w:tcPr>
            <w:tcW w:type="dxa" w:w="1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Technical evaluator</w:t>
            </w:r>
          </w:p>
        </w:tc>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One API, one identity model, real tool execution, retrieval-backed memory, open deployment</w:t>
            </w:r>
          </w:p>
        </w:tc>
        <w:tc>
          <w:tcPr>
            <w:tcW w:type="dxa" w:w="4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Live SDK, generated API reference, degradation map validated by chaos testing</w:t>
            </w:r>
          </w:p>
        </w:tc>
      </w:tr>
      <w:tr>
        <w:tc>
          <w:tcPr>
            <w:tcW w:type="dxa" w:w="1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Economic buyer</w:t>
            </w:r>
          </w:p>
        </w:tc>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Consumption pricing that does not penalise automation; consumer seats free</w:t>
            </w:r>
          </w:p>
        </w:tc>
        <w:tc>
          <w:tcPr>
            <w:tcW w:type="dxa" w:w="4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Metering reconciled to within 2% of provider invoices</w:t>
            </w:r>
          </w:p>
        </w:tc>
      </w:tr>
      <w:tr>
        <w:tc>
          <w:tcPr>
            <w:tcW w:type="dxa" w:w="1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Partner or ISV</w:t>
            </w:r>
          </w:p>
        </w:tc>
        <w:tc>
          <w:tcPr>
            <w:tcW w:type="dxa" w:w="3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Embeddable platform via a frozen SDK</w:t>
            </w:r>
          </w:p>
        </w:tc>
        <w:tc>
          <w:tcPr>
            <w:tcW w:type="dxa" w:w="41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SDK stability commitment and a versioning policy</w:t>
            </w:r>
          </w:p>
        </w:tc>
      </w:tr>
      <w:tr>
        <w:tc>
          <w:tcPr>
            <w:tcW w:type="dxa" w:w="1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Investor</w:t>
            </w:r>
          </w:p>
        </w:tc>
        <w:tc>
          <w:tcPr>
            <w:tcW w:type="dxa" w:w="3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platform whose principal technical risks are retired and whose commercial model is now executable</w:t>
            </w:r>
          </w:p>
        </w:tc>
        <w:tc>
          <w:tcPr>
            <w:tcW w:type="dxa" w:w="41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Six passed gates with published evidence; three accounts in production</w:t>
            </w:r>
          </w:p>
        </w:tc>
      </w:tr>
    </w:tbl>
    <w:p>
      <w:pPr>
        <w:pStyle w:val="Heading2"/>
        <w:keepNext/>
        <w:spacing w:after="130" w:before="300"/>
      </w:pPr>
      <w:r>
        <w:rPr>
          <w:rFonts w:ascii="Calibri" w:cs="Calibri" w:eastAsia="Calibri" w:hAnsi="Calibri"/>
          <w:b/>
          <w:bCs/>
          <w:color w:val="134074"/>
          <w:sz w:val="25"/>
          <w:szCs w:val="25"/>
        </w:rPr>
        <w:t xml:space="preserve">15.4  Prerequisites the launch plan depends on</w:t>
      </w:r>
    </w:p>
    <w:p>
      <w:pPr>
        <w:spacing w:after="140" w:before="0" w:line="276"/>
        <w:jc w:val="both"/>
      </w:pPr>
      <w:r>
        <w:rPr>
          <w:rFonts w:ascii="Calibri" w:cs="Calibri" w:eastAsia="Calibri" w:hAnsi="Calibri"/>
          <w:color w:val="1A1A1A"/>
          <w:sz w:val="20"/>
          <w:szCs w:val="20"/>
        </w:rPr>
        <w:t xml:space="preserve">Three are outside engineering and are frequently forgotten until they are urgent.</w:t>
      </w:r>
    </w:p>
    <w:p>
      <w:pPr>
        <w:pStyle w:val="ListParagraph"/>
        <w:numPr>
          <w:ilvl w:val="0"/>
          <w:numId w:val="2"/>
        </w:numPr>
        <w:spacing w:after="70" w:line="268"/>
      </w:pPr>
      <w:r>
        <w:rPr>
          <w:rFonts w:ascii="Calibri" w:cs="Calibri" w:eastAsia="Calibri" w:hAnsi="Calibri"/>
          <w:b/>
          <w:bCs/>
          <w:color w:val="1A1A1A"/>
          <w:sz w:val="20"/>
          <w:szCs w:val="20"/>
        </w:rPr>
        <w:t xml:space="preserve">Analytics instrumentation. </w:t>
      </w:r>
      <w:r>
        <w:rPr>
          <w:rFonts w:ascii="Calibri" w:cs="Calibri" w:eastAsia="Calibri" w:hAnsi="Calibri"/>
          <w:color w:val="1A1A1A"/>
          <w:sz w:val="20"/>
          <w:szCs w:val="20"/>
        </w:rPr>
        <w:t xml:space="preserve">Coverage is at 8%. Until calls to action are tracked, no funnel or campaign claim can be supported by data. This must be fixed before, not during, the launch phase.</w:t>
      </w:r>
    </w:p>
    <w:p>
      <w:pPr>
        <w:pStyle w:val="ListParagraph"/>
        <w:numPr>
          <w:ilvl w:val="0"/>
          <w:numId w:val="2"/>
        </w:numPr>
        <w:spacing w:after="70" w:line="268"/>
      </w:pPr>
      <w:r>
        <w:rPr>
          <w:rFonts w:ascii="Calibri" w:cs="Calibri" w:eastAsia="Calibri" w:hAnsi="Calibri"/>
          <w:b/>
          <w:bCs/>
          <w:color w:val="1A1A1A"/>
          <w:sz w:val="20"/>
          <w:szCs w:val="20"/>
        </w:rPr>
        <w:t xml:space="preserve">SEO and metadata. </w:t>
      </w:r>
      <w:r>
        <w:rPr>
          <w:rFonts w:ascii="Calibri" w:cs="Calibri" w:eastAsia="Calibri" w:hAnsi="Calibri"/>
          <w:color w:val="1A1A1A"/>
          <w:sz w:val="20"/>
          <w:szCs w:val="20"/>
        </w:rPr>
        <w:t xml:space="preserve">62% of pages lack generated metadata. Organic discovery is effectively disabled, which matters most for the waitlist opened at MS6.</w:t>
      </w:r>
    </w:p>
    <w:p>
      <w:pPr>
        <w:pStyle w:val="ListParagraph"/>
        <w:numPr>
          <w:ilvl w:val="0"/>
          <w:numId w:val="2"/>
        </w:numPr>
        <w:spacing w:after="70" w:line="268"/>
      </w:pPr>
      <w:r>
        <w:rPr>
          <w:rFonts w:ascii="Calibri" w:cs="Calibri" w:eastAsia="Calibri" w:hAnsi="Calibri"/>
          <w:b/>
          <w:bCs/>
          <w:color w:val="1A1A1A"/>
          <w:sz w:val="20"/>
          <w:szCs w:val="20"/>
        </w:rPr>
        <w:t xml:space="preserve">Support model. </w:t>
      </w:r>
      <w:r>
        <w:rPr>
          <w:rFonts w:ascii="Calibri" w:cs="Calibri" w:eastAsia="Calibri" w:hAnsi="Calibri"/>
          <w:color w:val="1A1A1A"/>
          <w:sz w:val="20"/>
          <w:szCs w:val="20"/>
        </w:rPr>
        <w:t xml:space="preserve">Business edition commits to 24/7 support with a four-hour response. Meeting that commitment for three tenants requires a defined rota and runbooks, both of which are in scope, and a staffing decision, which is not.</w:t>
      </w:r>
    </w:p>
    <w:p>
      <w:pPr>
        <w:pStyle w:val="Heading2"/>
        <w:keepNext/>
        <w:spacing w:after="130" w:before="300"/>
      </w:pPr>
      <w:r>
        <w:rPr>
          <w:rFonts w:ascii="Calibri" w:cs="Calibri" w:eastAsia="Calibri" w:hAnsi="Calibri"/>
          <w:b/>
          <w:bCs/>
          <w:color w:val="134074"/>
          <w:sz w:val="25"/>
          <w:szCs w:val="25"/>
        </w:rPr>
        <w:t xml:space="preserve">15.5  Success measures for the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Measure</w:t>
            </w:r>
          </w:p>
        </w:tc>
        <w:tc>
          <w:tcPr>
            <w:tcW w:type="dxa" w:w="20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Target at week 24</w:t>
            </w:r>
          </w:p>
        </w:tc>
        <w:tc>
          <w:tcPr>
            <w:tcW w:type="dxa" w:w="4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Why this measure</w:t>
            </w:r>
          </w:p>
        </w:tc>
      </w:tr>
      <w:tr>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partners in production under contract</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 of 3</w:t>
            </w:r>
          </w:p>
        </w:tc>
        <w:tc>
          <w:tcPr>
            <w:tcW w:type="dxa" w:w="4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binary test of whether the platform is usable by someone who did not build it</w:t>
            </w:r>
          </w:p>
        </w:tc>
      </w:tr>
      <w:tr>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Partner-reported blocking defects open at GA</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Zero critical, fewer than 5 high</w:t>
            </w:r>
          </w:p>
        </w:tc>
        <w:tc>
          <w:tcPr>
            <w:tcW w:type="dxa" w:w="4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Distinguishes a controlled launch from an early one</w:t>
            </w:r>
          </w:p>
        </w:tc>
      </w:tr>
      <w:tr>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Security reviews passed</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At least 1 of 3 partners completing a full review</w:t>
            </w:r>
          </w:p>
        </w:tc>
        <w:tc>
          <w:tcPr>
            <w:tcW w:type="dxa" w:w="4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diligence risk this programme exists to retire</w:t>
            </w:r>
          </w:p>
        </w:tc>
      </w:tr>
      <w:tr>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Metering accuracy</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Within 2%</w:t>
            </w:r>
          </w:p>
        </w:tc>
        <w:tc>
          <w:tcPr>
            <w:tcW w:type="dxa" w:w="4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Billing you cannot reconcile is worse than billing you cannot issue</w:t>
            </w:r>
          </w:p>
        </w:tc>
      </w:tr>
      <w:tr>
        <w:tc>
          <w:tcPr>
            <w:tcW w:type="dxa" w:w="26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Measured SLO attainment</w:t>
            </w:r>
          </w:p>
        </w:tc>
        <w:tc>
          <w:tcPr>
            <w:tcW w:type="dxa" w:w="20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30 continuous days meeting published targets</w:t>
            </w:r>
          </w:p>
        </w:tc>
        <w:tc>
          <w:tcPr>
            <w:tcW w:type="dxa" w:w="4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Converts an availability claim into an availability record</w:t>
            </w:r>
          </w:p>
        </w:tc>
      </w:tr>
      <w:tr>
        <w:tc>
          <w:tcPr>
            <w:tcW w:type="dxa" w:w="26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Waitlist qualified leads</w:t>
            </w:r>
          </w:p>
        </w:tc>
        <w:tc>
          <w:tcPr>
            <w:tcW w:type="dxa" w:w="20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40 or more matching the Business profile</w:t>
            </w:r>
          </w:p>
        </w:tc>
        <w:tc>
          <w:tcPr>
            <w:tcW w:type="dxa" w:w="4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Evidence that horizon two has demand to build against</w:t>
            </w:r>
          </w:p>
        </w:tc>
      </w:tr>
    </w:tbl>
    <w:p>
      <w:pPr>
        <w:pStyle w:val="Heading2"/>
        <w:keepNext/>
        <w:spacing w:after="130" w:before="300"/>
      </w:pPr>
      <w:r>
        <w:rPr>
          <w:rFonts w:ascii="Calibri" w:cs="Calibri" w:eastAsia="Calibri" w:hAnsi="Calibri"/>
          <w:b/>
          <w:bCs/>
          <w:color w:val="134074"/>
          <w:sz w:val="25"/>
          <w:szCs w:val="25"/>
        </w:rPr>
        <w:t xml:space="preserve">15.6  Closing statement</w:t>
      </w:r>
    </w:p>
    <w:p>
      <w:pPr>
        <w:spacing w:after="140" w:before="0" w:line="276"/>
        <w:jc w:val="both"/>
      </w:pPr>
      <w:r>
        <w:rPr>
          <w:rFonts w:ascii="Calibri" w:cs="Calibri" w:eastAsia="Calibri" w:hAnsi="Calibri"/>
          <w:b/>
          <w:bCs/>
          <w:color w:val="1A1A1A"/>
          <w:sz w:val="20"/>
          <w:szCs w:val="20"/>
        </w:rPr>
        <w:t xml:space="preserve">The proposition of this programme is narrow and testable. </w:t>
      </w:r>
      <w:r>
        <w:rPr>
          <w:rFonts w:ascii="Calibri" w:cs="Calibri" w:eastAsia="Calibri" w:hAnsi="Calibri"/>
          <w:color w:val="1A1A1A"/>
          <w:sz w:val="20"/>
          <w:szCs w:val="20"/>
        </w:rPr>
        <w:t xml:space="preserve">At week 24, CerebroHive will be able to put a customer's data behind a verified identity, run a multi-agent workflow that genuinely plans rather than replays a fixture, remember what it did, prove what it did to an auditor, and bill for it accurately. None of those six things is true today. All six are prerequisites for every other ambition in the constitution, and none of them requires a new product to be invented.</w:t>
      </w:r>
    </w:p>
    <w:p>
      <w:pPr>
        <w:spacing w:after="140" w:before="0" w:line="276"/>
        <w:jc w:val="both"/>
      </w:pPr>
      <w:r>
        <w:rPr>
          <w:rFonts w:ascii="Calibri" w:cs="Calibri" w:eastAsia="Calibri" w:hAnsi="Calibri"/>
          <w:color w:val="1A1A1A"/>
          <w:sz w:val="20"/>
          <w:szCs w:val="20"/>
        </w:rPr>
        <w:t xml:space="preserve">That is the whole argument. The architecture is already good enough to build on; the specifications are already written; the data model is already correct. What is missing is depth in a narrow vertical slice and the discipline not to widen it. Twenty-four weeks, one slice, six gates, and a published record of what was actually true at each of them.</w:t>
      </w:r>
    </w:p>
    <w:p>
      <w:pPr>
        <w:pStyle w:val="Heading1"/>
        <w:pageBreakBefore/>
        <w:pBdr>
          <w:bottom w:val="single" w:color="0B2545" w:sz="10" w:space="8"/>
        </w:pBdr>
        <w:spacing w:after="260" w:before="0"/>
      </w:pPr>
      <w:r>
        <w:rPr>
          <w:rFonts w:ascii="Calibri Light" w:cs="Calibri Light" w:eastAsia="Calibri Light" w:hAnsi="Calibri Light"/>
          <w:b/>
          <w:bCs/>
          <w:color w:val="0B2545"/>
          <w:sz w:val="34"/>
          <w:szCs w:val="34"/>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Term</w:t>
            </w:r>
          </w:p>
        </w:tc>
        <w:tc>
          <w:tcPr>
            <w:tcW w:type="dxa" w:w="75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Definition</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ADR</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Architecture Decision Record. A dated, owned document stating a decision, the options rejected and the reasoning. Required for every structural change in this programme.</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Cerebro applications</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business-facing product family: Studio, Flow, Agent, Search, Archive, Insight, ERP, CRM and the rest.</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DAG</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Directed acyclic graph. The form a planner emits: nodes of work with dependency edges and no cycles.</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Definition of done</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programme-wide standard in Section 4.4. Not negotiable per item.</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Design partner</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An early customer under a contract that exchanges preferential terms for structured feedback and a security review.</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Exit signal</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single observable fact that determines whether a week in Section 6 succeeded.</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 Credits</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consumption unit in the commercial model, burned by inference, agent compute, vector storage and completed workflow tasks.</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 platform</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developer and operator product family: Forge, Ops, API, Identity, Shield, Data, Vector, Govern and the rest.</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HiveSwarm</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internal name for the Python, Go and TypeScript multi-agent orchestration system discovered in the polyglot audit.</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Intelligence Mesh</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product vision: a unified intelligence layer connecting people, data, models, agents, workflows and infrastructure.</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M10.1–M10.7</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seven phases of the agent runtime programme, from real execution through to the public SDK.</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Platform Runtime</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TypeScript single-agent path: platform-api plus the agent-builder capability plus the AI gateway.</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pgvector</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Postgres extension providing vector similarity search. Already installed and modelled at 1,536 dimensions.</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RBAC</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Role-based access control. Five organisation roles and roughly 28 permissions already exist in the auth package.</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Scaffold hit</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regex match on a marker such as TODO, Mock or placeholder. A search heuristic, not a verdict.</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System of record</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single authoritative implementation of a capability. Decision D3 names one for agent orchestration.</w:t>
            </w:r>
          </w:p>
        </w:tc>
      </w:tr>
      <w:tr>
        <w:tc>
          <w:tcPr>
            <w:tcW w:type="dxa" w:w="1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Tier 0–5</w:t>
            </w:r>
          </w:p>
        </w:tc>
        <w:tc>
          <w:tcPr>
            <w:tcW w:type="dxa" w:w="75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five-layer architecture in Figure 1. Dependencies flow downward only.</w:t>
            </w:r>
          </w:p>
        </w:tc>
      </w:tr>
      <w:tr>
        <w:tc>
          <w:tcPr>
            <w:tcW w:type="dxa" w:w="1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WS0–WS6</w:t>
            </w:r>
          </w:p>
        </w:tc>
        <w:tc>
          <w:tcPr>
            <w:tcW w:type="dxa" w:w="75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seven programme workstreams defined in Section 4.1.</w:t>
            </w:r>
          </w:p>
        </w:tc>
      </w:tr>
    </w:tbl>
    <w:p>
      <w:pPr>
        <w:pStyle w:val="Heading1"/>
        <w:pageBreakBefore/>
        <w:pBdr>
          <w:bottom w:val="single" w:color="0B2545" w:sz="10" w:space="8"/>
        </w:pBdr>
        <w:spacing w:after="260" w:before="0"/>
      </w:pPr>
      <w:r>
        <w:rPr>
          <w:rFonts w:ascii="Calibri Light" w:cs="Calibri Light" w:eastAsia="Calibri Light" w:hAnsi="Calibri Light"/>
          <w:b/>
          <w:bCs/>
          <w:color w:val="0B2545"/>
          <w:sz w:val="34"/>
          <w:szCs w:val="34"/>
        </w:rPr>
        <w:t xml:space="preserve">Appendix B — Engineering Standards</w:t>
      </w:r>
    </w:p>
    <w:p>
      <w:pPr>
        <w:pStyle w:val="Heading2"/>
        <w:keepNext/>
        <w:spacing w:after="130" w:before="300"/>
      </w:pPr>
      <w:r>
        <w:rPr>
          <w:rFonts w:ascii="Calibri" w:cs="Calibri" w:eastAsia="Calibri" w:hAnsi="Calibri"/>
          <w:b/>
          <w:bCs/>
          <w:color w:val="134074"/>
          <w:sz w:val="25"/>
          <w:szCs w:val="25"/>
        </w:rPr>
        <w:t xml:space="preserve">B.1  Platform-wide required standards</w:t>
      </w:r>
    </w:p>
    <w:p>
      <w:pPr>
        <w:spacing w:after="140" w:before="0" w:line="276"/>
        <w:jc w:val="both"/>
      </w:pPr>
      <w:r>
        <w:rPr>
          <w:rFonts w:ascii="Calibri" w:cs="Calibri" w:eastAsia="Calibri" w:hAnsi="Calibri"/>
          <w:color w:val="1A1A1A"/>
          <w:sz w:val="20"/>
          <w:szCs w:val="20"/>
        </w:rPr>
        <w:t xml:space="preserve">Inherited by every product per the constitution. These are enforcement obligations, not aspirations, and every one of them is testable.</w:t>
      </w:r>
    </w:p>
    <w:p>
      <w:pPr>
        <w:pStyle w:val="ListParagraph"/>
        <w:numPr>
          <w:ilvl w:val="0"/>
          <w:numId w:val="2"/>
        </w:numPr>
        <w:spacing w:after="70" w:line="268"/>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Every externally exposed endpoint verifies a token. No exceptions, including internal-only services, on defence-in-depth grounds.</w:t>
      </w:r>
    </w:p>
    <w:p>
      <w:pPr>
        <w:pStyle w:val="ListParagraph"/>
        <w:numPr>
          <w:ilvl w:val="0"/>
          <w:numId w:val="2"/>
        </w:numPr>
        <w:spacing w:after="70" w:line="268"/>
      </w:pPr>
      <w:r>
        <w:rPr>
          <w:rFonts w:ascii="Calibri" w:cs="Calibri" w:eastAsia="Calibri" w:hAnsi="Calibri"/>
          <w:b/>
          <w:bCs/>
          <w:color w:val="1A1A1A"/>
          <w:sz w:val="20"/>
          <w:szCs w:val="20"/>
        </w:rPr>
        <w:t xml:space="preserve">Authorisation. </w:t>
      </w:r>
      <w:r>
        <w:rPr>
          <w:rFonts w:ascii="Calibri" w:cs="Calibri" w:eastAsia="Calibri" w:hAnsi="Calibri"/>
          <w:color w:val="1A1A1A"/>
          <w:sz w:val="20"/>
          <w:szCs w:val="20"/>
        </w:rPr>
        <w:t xml:space="preserve">Role and permission checks are separate from authentication and are applied per resource, not per route family.</w:t>
      </w:r>
    </w:p>
    <w:p>
      <w:pPr>
        <w:pStyle w:val="ListParagraph"/>
        <w:numPr>
          <w:ilvl w:val="0"/>
          <w:numId w:val="2"/>
        </w:numPr>
        <w:spacing w:after="70" w:line="268"/>
      </w:pPr>
      <w:r>
        <w:rPr>
          <w:rFonts w:ascii="Calibri" w:cs="Calibri" w:eastAsia="Calibri" w:hAnsi="Calibri"/>
          <w:b/>
          <w:bCs/>
          <w:color w:val="1A1A1A"/>
          <w:sz w:val="20"/>
          <w:szCs w:val="20"/>
        </w:rPr>
        <w:t xml:space="preserve">Audit. </w:t>
      </w:r>
      <w:r>
        <w:rPr>
          <w:rFonts w:ascii="Calibri" w:cs="Calibri" w:eastAsia="Calibri" w:hAnsi="Calibri"/>
          <w:color w:val="1A1A1A"/>
          <w:sz w:val="20"/>
          <w:szCs w:val="20"/>
        </w:rPr>
        <w:t xml:space="preserve">Immutable logging keyed on the verified subject for every mutating action.</w:t>
      </w:r>
    </w:p>
    <w:p>
      <w:pPr>
        <w:pStyle w:val="ListParagraph"/>
        <w:numPr>
          <w:ilvl w:val="0"/>
          <w:numId w:val="2"/>
        </w:numPr>
        <w:spacing w:after="70" w:line="268"/>
      </w:pPr>
      <w:r>
        <w:rPr>
          <w:rFonts w:ascii="Calibri" w:cs="Calibri" w:eastAsia="Calibri" w:hAnsi="Calibri"/>
          <w:b/>
          <w:bCs/>
          <w:color w:val="1A1A1A"/>
          <w:sz w:val="20"/>
          <w:szCs w:val="20"/>
        </w:rPr>
        <w:t xml:space="preserve">Events. </w:t>
      </w:r>
      <w:r>
        <w:rPr>
          <w:rFonts w:ascii="Calibri" w:cs="Calibri" w:eastAsia="Calibri" w:hAnsi="Calibri"/>
          <w:color w:val="1A1A1A"/>
          <w:sz w:val="20"/>
          <w:szCs w:val="20"/>
        </w:rPr>
        <w:t xml:space="preserve">State changes publish to the event bus with a stable schema.</w:t>
      </w:r>
    </w:p>
    <w:p>
      <w:pPr>
        <w:pStyle w:val="ListParagraph"/>
        <w:numPr>
          <w:ilvl w:val="0"/>
          <w:numId w:val="2"/>
        </w:numPr>
        <w:spacing w:after="70" w:line="268"/>
      </w:pPr>
      <w:r>
        <w:rPr>
          <w:rFonts w:ascii="Calibri" w:cs="Calibri" w:eastAsia="Calibri" w:hAnsi="Calibri"/>
          <w:b/>
          <w:bCs/>
          <w:color w:val="1A1A1A"/>
          <w:sz w:val="20"/>
          <w:szCs w:val="20"/>
        </w:rPr>
        <w:t xml:space="preserve">Observability. </w:t>
      </w:r>
      <w:r>
        <w:rPr>
          <w:rFonts w:ascii="Calibri" w:cs="Calibri" w:eastAsia="Calibri" w:hAnsi="Calibri"/>
          <w:color w:val="1A1A1A"/>
          <w:sz w:val="20"/>
          <w:szCs w:val="20"/>
        </w:rPr>
        <w:t xml:space="preserve">An OTEL span per request hop; a metrics endpoint per service; alert rules for every declared failure mode.</w:t>
      </w:r>
    </w:p>
    <w:p>
      <w:pPr>
        <w:pStyle w:val="ListParagraph"/>
        <w:numPr>
          <w:ilvl w:val="0"/>
          <w:numId w:val="2"/>
        </w:numPr>
        <w:spacing w:after="70" w:line="268"/>
      </w:pPr>
      <w:r>
        <w:rPr>
          <w:rFonts w:ascii="Calibri" w:cs="Calibri" w:eastAsia="Calibri" w:hAnsi="Calibri"/>
          <w:b/>
          <w:bCs/>
          <w:color w:val="1A1A1A"/>
          <w:sz w:val="20"/>
          <w:szCs w:val="20"/>
        </w:rPr>
        <w:t xml:space="preserve">API. </w:t>
      </w:r>
      <w:r>
        <w:rPr>
          <w:rFonts w:ascii="Calibri" w:cs="Calibri" w:eastAsia="Calibri" w:hAnsi="Calibri"/>
          <w:color w:val="1A1A1A"/>
          <w:sz w:val="20"/>
          <w:szCs w:val="20"/>
        </w:rPr>
        <w:t xml:space="preserve">OpenAPI specification generated from source, published in CI.</w:t>
      </w:r>
    </w:p>
    <w:p>
      <w:pPr>
        <w:pStyle w:val="ListParagraph"/>
        <w:numPr>
          <w:ilvl w:val="0"/>
          <w:numId w:val="2"/>
        </w:numPr>
        <w:spacing w:after="70" w:line="268"/>
      </w:pPr>
      <w:r>
        <w:rPr>
          <w:rFonts w:ascii="Calibri" w:cs="Calibri" w:eastAsia="Calibri" w:hAnsi="Calibri"/>
          <w:b/>
          <w:bCs/>
          <w:color w:val="1A1A1A"/>
          <w:sz w:val="20"/>
          <w:szCs w:val="20"/>
        </w:rPr>
        <w:t xml:space="preserve">Telemetry. </w:t>
      </w:r>
      <w:r>
        <w:rPr>
          <w:rFonts w:ascii="Calibri" w:cs="Calibri" w:eastAsia="Calibri" w:hAnsi="Calibri"/>
          <w:color w:val="1A1A1A"/>
          <w:sz w:val="20"/>
          <w:szCs w:val="20"/>
        </w:rPr>
        <w:t xml:space="preserve">Usage tracked and attributable to a verified tenant. This is a commercial requirement, not only an operational one.</w:t>
      </w:r>
    </w:p>
    <w:p>
      <w:pPr>
        <w:pStyle w:val="ListParagraph"/>
        <w:numPr>
          <w:ilvl w:val="0"/>
          <w:numId w:val="2"/>
        </w:numPr>
        <w:spacing w:after="70" w:line="268"/>
      </w:pPr>
      <w:r>
        <w:rPr>
          <w:rFonts w:ascii="Calibri" w:cs="Calibri" w:eastAsia="Calibri" w:hAnsi="Calibri"/>
          <w:b/>
          <w:bCs/>
          <w:color w:val="1A1A1A"/>
          <w:sz w:val="20"/>
          <w:szCs w:val="20"/>
        </w:rPr>
        <w:t xml:space="preserve">Documentation. </w:t>
      </w:r>
      <w:r>
        <w:rPr>
          <w:rFonts w:ascii="Calibri" w:cs="Calibri" w:eastAsia="Calibri" w:hAnsi="Calibri"/>
          <w:color w:val="1A1A1A"/>
          <w:sz w:val="20"/>
          <w:szCs w:val="20"/>
        </w:rPr>
        <w:t xml:space="preserve">Generated where possible; updated in the same pull request where not.</w:t>
      </w:r>
    </w:p>
    <w:p>
      <w:pPr>
        <w:pStyle w:val="ListParagraph"/>
        <w:numPr>
          <w:ilvl w:val="0"/>
          <w:numId w:val="2"/>
        </w:numPr>
        <w:spacing w:after="70" w:line="268"/>
      </w:pPr>
      <w:r>
        <w:rPr>
          <w:rFonts w:ascii="Calibri" w:cs="Calibri" w:eastAsia="Calibri" w:hAnsi="Calibri"/>
          <w:b/>
          <w:bCs/>
          <w:color w:val="1A1A1A"/>
          <w:sz w:val="20"/>
          <w:szCs w:val="20"/>
        </w:rPr>
        <w:t xml:space="preserve">Multi-tenancy. </w:t>
      </w:r>
      <w:r>
        <w:rPr>
          <w:rFonts w:ascii="Calibri" w:cs="Calibri" w:eastAsia="Calibri" w:hAnsi="Calibri"/>
          <w:color w:val="1A1A1A"/>
          <w:sz w:val="20"/>
          <w:szCs w:val="20"/>
        </w:rPr>
        <w:t xml:space="preserve">Every query is tenant-scoped at the data layer, not at the route layer.</w:t>
      </w:r>
    </w:p>
    <w:p>
      <w:pPr>
        <w:pStyle w:val="ListParagraph"/>
        <w:numPr>
          <w:ilvl w:val="0"/>
          <w:numId w:val="2"/>
        </w:numPr>
        <w:spacing w:after="70" w:line="268"/>
      </w:pPr>
      <w:r>
        <w:rPr>
          <w:rFonts w:ascii="Calibri" w:cs="Calibri" w:eastAsia="Calibri" w:hAnsi="Calibri"/>
          <w:b/>
          <w:bCs/>
          <w:color w:val="1A1A1A"/>
          <w:sz w:val="20"/>
          <w:szCs w:val="20"/>
        </w:rPr>
        <w:t xml:space="preserve">Explainability. </w:t>
      </w:r>
      <w:r>
        <w:rPr>
          <w:rFonts w:ascii="Calibri" w:cs="Calibri" w:eastAsia="Calibri" w:hAnsi="Calibri"/>
          <w:color w:val="1A1A1A"/>
          <w:sz w:val="20"/>
          <w:szCs w:val="20"/>
        </w:rPr>
        <w:t xml:space="preserve">Every agent decision is traceable to the prompt, context and tools that produced it.</w:t>
      </w:r>
    </w:p>
    <w:p>
      <w:pPr>
        <w:pStyle w:val="Heading2"/>
        <w:keepNext/>
        <w:spacing w:after="130" w:before="300"/>
      </w:pPr>
      <w:r>
        <w:rPr>
          <w:rFonts w:ascii="Calibri" w:cs="Calibri" w:eastAsia="Calibri" w:hAnsi="Calibri"/>
          <w:b/>
          <w:bCs/>
          <w:color w:val="134074"/>
          <w:sz w:val="25"/>
          <w:szCs w:val="25"/>
        </w:rPr>
        <w:t xml:space="preserve">B.2  Code review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Change type</w:t>
            </w:r>
          </w:p>
        </w:tc>
        <w:tc>
          <w:tcPr>
            <w:tcW w:type="dxa" w:w="22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Reviewers</w:t>
            </w:r>
          </w:p>
        </w:tc>
        <w:tc>
          <w:tcPr>
            <w:tcW w:type="dxa" w:w="4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Additional requirement</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Authentication, authorisation or tenancy</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 one from Security</w:t>
            </w:r>
          </w:p>
        </w:tc>
        <w:tc>
          <w:tcPr>
            <w:tcW w:type="dxa" w:w="4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 cross-tenant negative test in the same pull request</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Prisma schema or migration</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 one from Platform</w:t>
            </w:r>
          </w:p>
        </w:tc>
        <w:tc>
          <w:tcPr>
            <w:tcW w:type="dxa" w:w="4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Migration rehearsed against a production-shaped dataset</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Gateway, provider or routing</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 one from Runtime</w:t>
            </w:r>
          </w:p>
        </w:tc>
        <w:tc>
          <w:tcPr>
            <w:tcW w:type="dxa" w:w="4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Cost impact stated in the description</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Infrastructure or Helm</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 one from Platform</w:t>
            </w:r>
          </w:p>
        </w:tc>
        <w:tc>
          <w:tcPr>
            <w:tcW w:type="dxa" w:w="4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Render diff attached</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Public SDK surface (after MS5)</w:t>
            </w:r>
          </w:p>
        </w:tc>
        <w:tc>
          <w:tcPr>
            <w:tcW w:type="dxa" w:w="22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2, one Principal</w:t>
            </w:r>
          </w:p>
        </w:tc>
        <w:tc>
          <w:tcPr>
            <w:tcW w:type="dxa" w:w="4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Versioning impact stated; breaking changes require an ADR</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Anything else</w:t>
            </w:r>
          </w:p>
        </w:tc>
        <w:tc>
          <w:tcPr>
            <w:tcW w:type="dxa" w:w="22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1</w:t>
            </w:r>
          </w:p>
        </w:tc>
        <w:tc>
          <w:tcPr>
            <w:tcW w:type="dxa" w:w="4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Definition of done met</w:t>
            </w:r>
          </w:p>
        </w:tc>
      </w:tr>
    </w:tbl>
    <w:p>
      <w:pPr>
        <w:pStyle w:val="Heading2"/>
        <w:keepNext/>
        <w:spacing w:after="130" w:before="300"/>
      </w:pPr>
      <w:r>
        <w:rPr>
          <w:rFonts w:ascii="Calibri" w:cs="Calibri" w:eastAsia="Calibri" w:hAnsi="Calibri"/>
          <w:b/>
          <w:bCs/>
          <w:color w:val="134074"/>
          <w:sz w:val="25"/>
          <w:szCs w:val="25"/>
        </w:rPr>
        <w:t xml:space="preserve">B.3  Testing standards</w:t>
      </w:r>
    </w:p>
    <w:p>
      <w:pPr>
        <w:pStyle w:val="ListParagraph"/>
        <w:numPr>
          <w:ilvl w:val="0"/>
          <w:numId w:val="2"/>
        </w:numPr>
        <w:spacing w:after="70" w:line="268"/>
      </w:pPr>
      <w:r>
        <w:rPr>
          <w:rFonts w:ascii="Calibri" w:cs="Calibri" w:eastAsia="Calibri" w:hAnsi="Calibri"/>
          <w:color w:val="1A1A1A"/>
          <w:sz w:val="20"/>
          <w:szCs w:val="20"/>
        </w:rPr>
        <w:t xml:space="preserve">Unit tests cover the happy path and at least two failure modes.</w:t>
      </w:r>
    </w:p>
    <w:p>
      <w:pPr>
        <w:pStyle w:val="ListParagraph"/>
        <w:numPr>
          <w:ilvl w:val="0"/>
          <w:numId w:val="2"/>
        </w:numPr>
        <w:spacing w:after="70" w:line="268"/>
      </w:pPr>
      <w:r>
        <w:rPr>
          <w:rFonts w:ascii="Calibri" w:cs="Calibri" w:eastAsia="Calibri" w:hAnsi="Calibri"/>
          <w:color w:val="1A1A1A"/>
          <w:sz w:val="20"/>
          <w:szCs w:val="20"/>
        </w:rPr>
        <w:t xml:space="preserve">Integration tests exercise the real dependency. A test that passes against a mock proves the mock works.</w:t>
      </w:r>
    </w:p>
    <w:p>
      <w:pPr>
        <w:pStyle w:val="ListParagraph"/>
        <w:numPr>
          <w:ilvl w:val="0"/>
          <w:numId w:val="2"/>
        </w:numPr>
        <w:spacing w:after="70" w:line="268"/>
      </w:pPr>
      <w:r>
        <w:rPr>
          <w:rFonts w:ascii="Calibri" w:cs="Calibri" w:eastAsia="Calibri" w:hAnsi="Calibri"/>
          <w:color w:val="1A1A1A"/>
          <w:sz w:val="20"/>
          <w:szCs w:val="20"/>
        </w:rPr>
        <w:t xml:space="preserve">Every security-relevant change adds to the four-scenario suite: authenticated, unauthenticated, invalid token, cross-tenant.</w:t>
      </w:r>
    </w:p>
    <w:p>
      <w:pPr>
        <w:pStyle w:val="ListParagraph"/>
        <w:numPr>
          <w:ilvl w:val="0"/>
          <w:numId w:val="2"/>
        </w:numPr>
        <w:spacing w:after="70" w:line="268"/>
      </w:pPr>
      <w:r>
        <w:rPr>
          <w:rFonts w:ascii="Calibri" w:cs="Calibri" w:eastAsia="Calibri" w:hAnsi="Calibri"/>
          <w:color w:val="1A1A1A"/>
          <w:sz w:val="20"/>
          <w:szCs w:val="20"/>
        </w:rPr>
        <w:t xml:space="preserve">Evaluation tests gate merges on model-facing changes from week 10, with thresholds for hallucination, accuracy and safety.</w:t>
      </w:r>
    </w:p>
    <w:p>
      <w:pPr>
        <w:pStyle w:val="ListParagraph"/>
        <w:numPr>
          <w:ilvl w:val="0"/>
          <w:numId w:val="2"/>
        </w:numPr>
        <w:spacing w:after="70" w:line="268"/>
      </w:pPr>
      <w:r>
        <w:rPr>
          <w:rFonts w:ascii="Calibri" w:cs="Calibri" w:eastAsia="Calibri" w:hAnsi="Calibri"/>
          <w:color w:val="1A1A1A"/>
          <w:sz w:val="20"/>
          <w:szCs w:val="20"/>
        </w:rPr>
        <w:t xml:space="preserve">Load profiles run nightly against staging from week 16.</w:t>
      </w:r>
    </w:p>
    <w:p>
      <w:pPr>
        <w:pStyle w:val="ListParagraph"/>
        <w:numPr>
          <w:ilvl w:val="0"/>
          <w:numId w:val="2"/>
        </w:numPr>
        <w:spacing w:after="70" w:line="268"/>
      </w:pPr>
      <w:r>
        <w:rPr>
          <w:rFonts w:ascii="Calibri" w:cs="Calibri" w:eastAsia="Calibri" w:hAnsi="Calibri"/>
          <w:color w:val="1A1A1A"/>
          <w:sz w:val="20"/>
          <w:szCs w:val="20"/>
        </w:rPr>
        <w:t xml:space="preserve">Chaos experiments validate every declared fallback in the degradation map before MS4 closes.</w:t>
      </w:r>
    </w:p>
    <w:p>
      <w:pPr>
        <w:pStyle w:val="Heading1"/>
        <w:pageBreakBefore/>
        <w:pBdr>
          <w:bottom w:val="single" w:color="0B2545" w:sz="10" w:space="8"/>
        </w:pBdr>
        <w:spacing w:after="260" w:before="0"/>
      </w:pPr>
      <w:r>
        <w:rPr>
          <w:rFonts w:ascii="Calibri Light" w:cs="Calibri Light" w:eastAsia="Calibri Light" w:hAnsi="Calibri Light"/>
          <w:b/>
          <w:bCs/>
          <w:color w:val="0B2545"/>
          <w:sz w:val="34"/>
          <w:szCs w:val="34"/>
        </w:rPr>
        <w:t xml:space="preserve">Appendix C — Evidence Index</w:t>
      </w:r>
    </w:p>
    <w:p>
      <w:pPr>
        <w:spacing w:after="140" w:before="0" w:line="276"/>
        <w:jc w:val="both"/>
      </w:pPr>
      <w:r>
        <w:rPr>
          <w:rFonts w:ascii="Calibri" w:cs="Calibri" w:eastAsia="Calibri" w:hAnsi="Calibri"/>
          <w:color w:val="1A1A1A"/>
          <w:sz w:val="20"/>
          <w:szCs w:val="20"/>
        </w:rPr>
        <w:t xml:space="preserve">Every substantive claim in Section 3 traces to one of the following. This index exists so that any reader can verify the assessment independently rather than taking it on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Claim</w:t>
            </w:r>
          </w:p>
        </w:tc>
        <w:tc>
          <w:tcPr>
            <w:tcW w:type="dxa" w:w="5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Source</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Tenant identity read from client-supplied headers</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apps/platform-api/src/middleware/RequestContextMiddleware.ts</w:t>
            </w:r>
          </w:p>
          <w:p>
            <w:pPr>
              <w:spacing w:after="0" w:line="240"/>
              <w:jc w:val="left"/>
            </w:pPr>
            <w:r>
              <w:rPr>
                <w:rFonts w:ascii="Calibri" w:cs="Calibri" w:eastAsia="Calibri" w:hAnsi="Calibri"/>
                <w:color w:val="1A1A1A"/>
                <w:sz w:val="15"/>
                <w:szCs w:val="15"/>
              </w:rPr>
              <w:t xml:space="preserve">; full trace in </w:t>
            </w:r>
          </w:p>
          <w:p>
            <w:pPr>
              <w:spacing w:after="0" w:line="240"/>
              <w:jc w:val="left"/>
            </w:pPr>
            <w:r>
              <w:rPr>
                <w:rFonts w:ascii="Consolas" w:cs="Consolas" w:eastAsia="Consolas" w:hAnsi="Consolas"/>
                <w:color w:val="1F3864"/>
                <w:sz w:val="17"/>
                <w:szCs w:val="17"/>
              </w:rPr>
              <w:t xml:space="preserve">audit/P0-AUTH-AUTHZ-GAP.md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No auth library in platform-api's dependency tree</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apps/platform-api/package.json</w:t>
            </w:r>
          </w:p>
          <w:p>
            <w:pPr>
              <w:spacing w:after="0" w:line="240"/>
              <w:jc w:val="left"/>
            </w:pPr>
            <w:r>
              <w:rPr>
                <w:rFonts w:ascii="Calibri" w:cs="Calibri" w:eastAsia="Calibri" w:hAnsi="Calibri"/>
                <w:color w:val="1A1A1A"/>
                <w:sz w:val="15"/>
                <w:szCs w:val="15"/>
              </w:rPr>
              <w:t xml:space="preserve">; confirmed in </w:t>
            </w:r>
          </w:p>
          <w:p>
            <w:pPr>
              <w:spacing w:after="0" w:line="240"/>
              <w:jc w:val="left"/>
            </w:pPr>
            <w:r>
              <w:rPr>
                <w:rFonts w:ascii="Consolas" w:cs="Consolas" w:eastAsia="Consolas" w:hAnsi="Consolas"/>
                <w:color w:val="1F3864"/>
                <w:sz w:val="17"/>
                <w:szCs w:val="17"/>
              </w:rPr>
              <w:t xml:space="preserve">audit/MILESTONE-25.5-PRODUCTION-READINESS.md</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forge-api uses the auth package correctly</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services/forge-api/src/auth/jwt.guard.ts</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Auth package contains real JWKS verification and RBAC</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packages/auth/src/jwt/verify.ts</w:t>
            </w:r>
          </w:p>
          <w:p>
            <w:pPr>
              <w:spacing w:after="0" w:line="240"/>
              <w:jc w:val="left"/>
            </w:pPr>
            <w:r>
              <w:rPr>
                <w:rFonts w:ascii="Calibri" w:cs="Calibri" w:eastAsia="Calibri" w:hAnsi="Calibri"/>
                <w:color w:val="1A1A1A"/>
                <w:sz w:val="15"/>
                <w:szCs w:val="15"/>
              </w:rPr>
              <w:t xml:space="preserve">, </w:t>
            </w:r>
          </w:p>
          <w:p>
            <w:pPr>
              <w:spacing w:after="0" w:line="240"/>
              <w:jc w:val="left"/>
            </w:pPr>
            <w:r>
              <w:rPr>
                <w:rFonts w:ascii="Consolas" w:cs="Consolas" w:eastAsia="Consolas" w:hAnsi="Consolas"/>
                <w:color w:val="1F3864"/>
                <w:sz w:val="17"/>
                <w:szCs w:val="17"/>
              </w:rPr>
              <w:t xml:space="preserve">packages/auth/src/rbac/permissions.ts</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AI gateway resilience is real</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packages/ai-gateway/src/gateway.ts</w:t>
            </w:r>
          </w:p>
          <w:p>
            <w:pPr>
              <w:spacing w:after="0" w:line="240"/>
              <w:jc w:val="left"/>
            </w:pPr>
            <w:r>
              <w:rPr>
                <w:rFonts w:ascii="Calibri" w:cs="Calibri" w:eastAsia="Calibri" w:hAnsi="Calibri"/>
                <w:color w:val="1A1A1A"/>
                <w:sz w:val="15"/>
                <w:szCs w:val="15"/>
              </w:rPr>
              <w:t xml:space="preserve"> and the providers directory; </w:t>
            </w:r>
          </w:p>
          <w:p>
            <w:pPr>
              <w:spacing w:after="0" w:line="240"/>
              <w:jc w:val="left"/>
            </w:pPr>
            <w:r>
              <w:rPr>
                <w:rFonts w:ascii="Consolas" w:cs="Consolas" w:eastAsia="Consolas" w:hAnsi="Consolas"/>
                <w:color w:val="1F3864"/>
                <w:sz w:val="17"/>
                <w:szCs w:val="17"/>
              </w:rPr>
              <w:t xml:space="preserve">audit/RESILIENCE-AUDIT.md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AI gateway container has no HTTP server</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packages/ai-gateway/src/index.ts</w:t>
            </w:r>
          </w:p>
          <w:p>
            <w:pPr>
              <w:spacing w:after="0" w:line="240"/>
              <w:jc w:val="left"/>
            </w:pPr>
            <w:r>
              <w:rPr>
                <w:rFonts w:ascii="Calibri" w:cs="Calibri" w:eastAsia="Calibri" w:hAnsi="Calibri"/>
                <w:color w:val="1A1A1A"/>
                <w:sz w:val="15"/>
                <w:szCs w:val="15"/>
              </w:rPr>
              <w:t xml:space="preserve"> is a pure barrel export; </w:t>
            </w:r>
          </w:p>
          <w:p>
            <w:pPr>
              <w:spacing w:after="0" w:line="240"/>
              <w:jc w:val="left"/>
            </w:pPr>
            <w:r>
              <w:rPr>
                <w:rFonts w:ascii="Consolas" w:cs="Consolas" w:eastAsia="Consolas" w:hAnsi="Consolas"/>
                <w:color w:val="1F3864"/>
                <w:sz w:val="17"/>
                <w:szCs w:val="17"/>
              </w:rPr>
              <w:t xml:space="preserve">packages/ai-gateway/Dockerfile</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Two Helm generations render into one release</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infra/helm/cerebro-hive/templates/</w:t>
            </w:r>
          </w:p>
          <w:p>
            <w:pPr>
              <w:spacing w:after="0" w:line="240"/>
              <w:jc w:val="left"/>
            </w:pPr>
            <w:r>
              <w:rPr>
                <w:rFonts w:ascii="Calibri" w:cs="Calibri" w:eastAsia="Calibri" w:hAnsi="Calibri"/>
                <w:color w:val="1A1A1A"/>
                <w:sz w:val="15"/>
                <w:szCs w:val="15"/>
              </w:rPr>
              <w:t xml:space="preserve"> — service.yaml, deployment.yaml, rollout.yaml versus deployments.yaml; </w:t>
            </w:r>
          </w:p>
          <w:p>
            <w:pPr>
              <w:spacing w:after="0" w:line="240"/>
              <w:jc w:val="left"/>
            </w:pPr>
            <w:r>
              <w:rPr>
                <w:rFonts w:ascii="Consolas" w:cs="Consolas" w:eastAsia="Consolas" w:hAnsi="Consolas"/>
                <w:color w:val="1F3864"/>
                <w:sz w:val="17"/>
                <w:szCs w:val="17"/>
              </w:rPr>
              <w:t xml:space="preserve">audit/INFRA-RECONCILIATION-PLAN.md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platform-api never receives the AI secret</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Helm conditional traced in </w:t>
            </w:r>
          </w:p>
          <w:p>
            <w:pPr>
              <w:spacing w:after="0" w:line="240"/>
              <w:jc w:val="left"/>
            </w:pPr>
            <w:r>
              <w:rPr>
                <w:rFonts w:ascii="Consolas" w:cs="Consolas" w:eastAsia="Consolas" w:hAnsi="Consolas"/>
                <w:color w:val="1F3864"/>
                <w:sz w:val="17"/>
                <w:szCs w:val="17"/>
              </w:rPr>
              <w:t xml:space="preserve">audit/MILESTONE-25.5-PRODUCTION-READINESS.md</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swarm planner is hard-coded</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services/swarm-runtime/src/Planner.ts</w:t>
            </w:r>
          </w:p>
          <w:p>
            <w:pPr>
              <w:spacing w:after="0" w:line="240"/>
              <w:jc w:val="left"/>
            </w:pPr>
            <w:r>
              <w:rPr>
                <w:rFonts w:ascii="Calibri" w:cs="Calibri" w:eastAsia="Calibri" w:hAnsi="Calibri"/>
                <w:color w:val="1A1A1A"/>
                <w:sz w:val="15"/>
                <w:szCs w:val="15"/>
              </w:rPr>
              <w:t xml:space="preserve">; </w:t>
            </w:r>
          </w:p>
          <w:p>
            <w:pPr>
              <w:spacing w:after="0" w:line="240"/>
              <w:jc w:val="left"/>
            </w:pPr>
            <w:r>
              <w:rPr>
                <w:rFonts w:ascii="Consolas" w:cs="Consolas" w:eastAsia="Consolas" w:hAnsi="Consolas"/>
                <w:color w:val="1F3864"/>
                <w:sz w:val="17"/>
                <w:szCs w:val="17"/>
              </w:rPr>
              <w:t xml:space="preserve">audit/RESILIENCE-AUDIT.md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execution engine's worker provider is simulated</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services/swarm-runtime/src/ExecutionEngine.ts</w:t>
            </w:r>
          </w:p>
          <w:p>
            <w:pPr>
              <w:spacing w:after="0" w:line="240"/>
              <w:jc w:val="left"/>
            </w:pPr>
            <w:r>
              <w:rPr>
                <w:rFonts w:ascii="Calibri" w:cs="Calibri" w:eastAsia="Calibri" w:hAnsi="Calibri"/>
                <w:color w:val="1A1A1A"/>
                <w:sz w:val="15"/>
                <w:szCs w:val="15"/>
              </w:rPr>
              <w:t xml:space="preserve"> — 800ms timeout and a magic failure string</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PolicyEngine runs with zero registered policies</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apps/platform-api/src/server.ts</w:t>
            </w:r>
          </w:p>
          <w:p>
            <w:pPr>
              <w:spacing w:after="0" w:line="240"/>
              <w:jc w:val="left"/>
            </w:pPr>
            <w:r>
              <w:rPr>
                <w:rFonts w:ascii="Calibri" w:cs="Calibri" w:eastAsia="Calibri" w:hAnsi="Calibri"/>
                <w:color w:val="1A1A1A"/>
                <w:sz w:val="15"/>
                <w:szCs w:val="15"/>
              </w:rPr>
              <w:t xml:space="preserve">; </w:t>
            </w:r>
          </w:p>
          <w:p>
            <w:pPr>
              <w:spacing w:after="0" w:line="240"/>
              <w:jc w:val="left"/>
            </w:pPr>
            <w:r>
              <w:rPr>
                <w:rFonts w:ascii="Consolas" w:cs="Consolas" w:eastAsia="Consolas" w:hAnsi="Consolas"/>
                <w:color w:val="1F3864"/>
                <w:sz w:val="17"/>
                <w:szCs w:val="17"/>
              </w:rPr>
              <w:t xml:space="preserve">audit/RESPONSIBILITY-MATRIX.md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RAG data layer is modelled and live</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packages/db/prisma/schema.prisma</w:t>
            </w:r>
          </w:p>
          <w:p>
            <w:pPr>
              <w:spacing w:after="0" w:line="240"/>
              <w:jc w:val="left"/>
            </w:pPr>
            <w:r>
              <w:rPr>
                <w:rFonts w:ascii="Calibri" w:cs="Calibri" w:eastAsia="Calibri" w:hAnsi="Calibri"/>
                <w:color w:val="1A1A1A"/>
                <w:sz w:val="15"/>
                <w:szCs w:val="15"/>
              </w:rPr>
              <w:t xml:space="preserve">; migration </w:t>
            </w:r>
          </w:p>
          <w:p>
            <w:pPr>
              <w:spacing w:after="0" w:line="240"/>
              <w:jc w:val="left"/>
            </w:pPr>
            <w:r>
              <w:rPr>
                <w:rFonts w:ascii="Consolas" w:cs="Consolas" w:eastAsia="Consolas" w:hAnsi="Consolas"/>
                <w:color w:val="1F3864"/>
                <w:sz w:val="17"/>
                <w:szCs w:val="17"/>
              </w:rPr>
              <w:t xml:space="preserve">20260719202458_talent_os_architecture</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HiveSwarm is real and spans three languages</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audit/POLYGLOT-ARCHITECTURE-MAP.md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Eight services are CI-built and Helm-absent</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Cross-reference of values.yaml, both ArgoCD applications and docker-build.yml; </w:t>
            </w:r>
          </w:p>
          <w:p>
            <w:pPr>
              <w:spacing w:after="0" w:line="240"/>
              <w:jc w:val="left"/>
            </w:pPr>
            <w:r>
              <w:rPr>
                <w:rFonts w:ascii="Consolas" w:cs="Consolas" w:eastAsia="Consolas" w:hAnsi="Consolas"/>
                <w:color w:val="1F3864"/>
                <w:sz w:val="17"/>
                <w:szCs w:val="17"/>
              </w:rPr>
              <w:t xml:space="preserve">audit/MILESTONE-25.4C-RUNTIME-INTEGRATION.md</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Studio carries 421 flagged files of 1,163</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audit/scaffold-ranking.md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Web readiness composite is 67 of 100</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audit/executive-dashboard.md</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Observability is real: five alerts, six panels</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infra/helm/cerebro-hive/templates/observability.yaml</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M10.1–M10.7 phasing and its reuse analysis</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AGENT-RUNTIME-BACKLOG.md</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Five-tier model, boot order, degradation map</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CAPABILITY_ARCHITECTURE.md</w:t>
            </w:r>
          </w:p>
        </w:tc>
      </w:tr>
      <w:tr>
        <w:tc>
          <w:tcPr>
            <w:tcW w:type="dxa" w:w="3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Editions, licensing philosophy, marketplace fee</w:t>
            </w:r>
          </w:p>
        </w:tc>
        <w:tc>
          <w:tcPr>
            <w:tcW w:type="dxa" w:w="5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COMMERCIAL_STRATEGY.md</w:t>
            </w:r>
          </w:p>
        </w:tc>
      </w:tr>
      <w:tr>
        <w:tc>
          <w:tcPr>
            <w:tcW w:type="dxa" w:w="3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Vision, portfolio, maturity model, eight phases</w:t>
            </w:r>
          </w:p>
        </w:tc>
        <w:tc>
          <w:tcPr>
            <w:tcW w:type="dxa" w:w="5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onsolas" w:cs="Consolas" w:eastAsia="Consolas" w:hAnsi="Consolas"/>
                <w:color w:val="1F3864"/>
                <w:sz w:val="17"/>
                <w:szCs w:val="17"/>
              </w:rPr>
              <w:t xml:space="preserve">CEREBROHIVE_CONSTITUTION.md</w:t>
            </w:r>
          </w:p>
        </w:tc>
      </w:tr>
    </w:tbl>
    <w:p>
      <w:pPr>
        <w:pStyle w:val="Heading1"/>
        <w:pageBreakBefore/>
        <w:pBdr>
          <w:bottom w:val="single" w:color="0B2545" w:sz="10" w:space="8"/>
        </w:pBdr>
        <w:spacing w:after="260" w:before="0"/>
      </w:pPr>
      <w:r>
        <w:rPr>
          <w:rFonts w:ascii="Calibri Light" w:cs="Calibri Light" w:eastAsia="Calibri Light" w:hAnsi="Calibri Light"/>
          <w:b/>
          <w:bCs/>
          <w:color w:val="0B2545"/>
          <w:sz w:val="34"/>
          <w:szCs w:val="34"/>
        </w:rPr>
        <w:t xml:space="preserve">Appendix D — Assumptions Register</w:t>
      </w:r>
    </w:p>
    <w:p>
      <w:pPr>
        <w:spacing w:after="140" w:before="0" w:line="276"/>
        <w:jc w:val="both"/>
      </w:pPr>
      <w:r>
        <w:rPr>
          <w:rFonts w:ascii="Calibri" w:cs="Calibri" w:eastAsia="Calibri" w:hAnsi="Calibri"/>
          <w:color w:val="1A1A1A"/>
          <w:sz w:val="20"/>
          <w:szCs w:val="20"/>
        </w:rPr>
        <w:t xml:space="preserve">Every estimate in this document rests on the following. Each carries an owner and a validation date; an assumption that proves false triggers a re-baseline at the next gate rather than a silent absorption into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800"/>
        <w:gridCol w:w="1760"/>
      </w:tblGrid>
      <w:tr>
        <w:trPr>
          <w:tblHeader/>
        </w:trPr>
        <w:tc>
          <w:tcPr>
            <w:tcW w:type="dxa" w:w="5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ID</w:t>
            </w:r>
          </w:p>
        </w:tc>
        <w:tc>
          <w:tcPr>
            <w:tcW w:type="dxa" w:w="33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Assumption</w:t>
            </w:r>
          </w:p>
        </w:tc>
        <w:tc>
          <w:tcPr>
            <w:tcW w:type="dxa" w:w="38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Impact if false</w:t>
            </w:r>
          </w:p>
        </w:tc>
        <w:tc>
          <w:tcPr>
            <w:tcW w:type="dxa" w:w="17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5"/>
                <w:szCs w:val="15"/>
              </w:rPr>
              <w:t xml:space="preserve">Validate by</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A1</w:t>
            </w:r>
          </w:p>
        </w:tc>
        <w:tc>
          <w:tcPr>
            <w:tcW w:type="dxa" w:w="3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live cluster's authentication posture matches what the repository implies</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Incident response scope changes materially; R1 escalates immediately</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1 (D1)</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A2</w:t>
            </w:r>
          </w:p>
        </w:tc>
        <w:tc>
          <w:tcPr>
            <w:tcW w:type="dxa" w:w="3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Prisma schema requires no migration for conversations, memory or retrieval</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Adds roughly 200 hours and pushes MS3 by one to two weeks</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2</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A3</w:t>
            </w:r>
          </w:p>
        </w:tc>
        <w:tc>
          <w:tcPr>
            <w:tcW w:type="dxa" w:w="3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One Helm generation can be deleted without losing required behaviour</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Reconciliation becomes a merge rather than a deletion; roughly 200 additional hours</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2 (D2)</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A4</w:t>
            </w:r>
          </w:p>
        </w:tc>
        <w:tc>
          <w:tcPr>
            <w:tcW w:type="dxa" w:w="3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HiveSwarm and the platform runtime can converge without a rewrite of either</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Convergence exceeds its 1,020-hour estimate materially; MS4 is at risk</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8</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A5</w:t>
            </w:r>
          </w:p>
        </w:tc>
        <w:tc>
          <w:tcPr>
            <w:tcW w:type="dxa" w:w="3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Studio audit finds remediable scaffolding rather than a required rewrite</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Re-platform exceeds 1,180 hours; the facade compression option is exercised</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8 (re-baseline at MS2)</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A6</w:t>
            </w:r>
          </w:p>
        </w:tc>
        <w:tc>
          <w:tcPr>
            <w:tcW w:type="dxa" w:w="3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blended fully loaded engineering rate of $198 per hour is achievable</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Payroll scales linearly; a 10% variance is roughly $327,000</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3 (D5)</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A7</w:t>
            </w:r>
          </w:p>
        </w:tc>
        <w:tc>
          <w:tcPr>
            <w:tcW w:type="dxa" w:w="3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Nine permanent hires close within fourteen weeks</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5"/>
                <w:szCs w:val="15"/>
              </w:rPr>
              <w:t xml:space="preserve">The most commonly optimistic assumption in plans of this shape. </w:t>
            </w:r>
          </w:p>
          <w:p>
            <w:pPr>
              <w:spacing w:after="0" w:line="240"/>
              <w:jc w:val="left"/>
            </w:pPr>
            <w:r>
              <w:rPr>
                <w:rFonts w:ascii="Calibri" w:cs="Calibri" w:eastAsia="Calibri" w:hAnsi="Calibri"/>
                <w:color w:val="1A1A1A"/>
                <w:sz w:val="15"/>
                <w:szCs w:val="15"/>
              </w:rPr>
              <w:t xml:space="preserve">A four-to-six week slip pushes MS4 onward</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Weeks 4, 8 and 14 by wave</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A8</w:t>
            </w:r>
          </w:p>
        </w:tc>
        <w:tc>
          <w:tcPr>
            <w:tcW w:type="dxa" w:w="3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Inference costs approximate 340M tokens at current blended provider pricing</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Direct effect on the $468,000 line; mitigated by routing by task class</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6 (first full cost review)</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A9</w:t>
            </w:r>
          </w:p>
        </w:tc>
        <w:tc>
          <w:tcPr>
            <w:tcW w:type="dxa" w:w="3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Three suitable design partners can be contracted by week 8</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GTM track loses its feedback loop; MS6's proof points weaken</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5 (D6)</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A10</w:t>
            </w:r>
          </w:p>
        </w:tc>
        <w:tc>
          <w:tcPr>
            <w:tcW w:type="dxa" w:w="3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Penetration testing yields no architectural finding requiring redesign</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Remediation exceeds two cycles; MS6 slips</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20</w:t>
            </w:r>
          </w:p>
        </w:tc>
      </w:tr>
      <w:tr>
        <w:tc>
          <w:tcPr>
            <w:tcW w:type="dxa" w:w="5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A11</w:t>
            </w:r>
          </w:p>
        </w:tc>
        <w:tc>
          <w:tcPr>
            <w:tcW w:type="dxa" w:w="33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 velocity of 82 rising to 92 points per sprint is achievable at the planned ramp</w:t>
            </w:r>
          </w:p>
        </w:tc>
        <w:tc>
          <w:tcPr>
            <w:tcW w:type="dxa" w:w="38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Sprint 12's contingency is insufficient; scope compression is required</w:t>
            </w:r>
          </w:p>
        </w:tc>
        <w:tc>
          <w:tcPr>
            <w:tcW w:type="dxa" w:w="17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Continuous from sprint 2</w:t>
            </w:r>
          </w:p>
        </w:tc>
      </w:tr>
      <w:tr>
        <w:tc>
          <w:tcPr>
            <w:tcW w:type="dxa" w:w="5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A12</w:t>
            </w:r>
          </w:p>
        </w:tc>
        <w:tc>
          <w:tcPr>
            <w:tcW w:type="dxa" w:w="33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eight CI-built, Helm-absent services are not carrying production traffic</w:t>
            </w:r>
          </w:p>
        </w:tc>
        <w:tc>
          <w:tcPr>
            <w:tcW w:type="dxa" w:w="38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The consolidation decision changes shape and the estate is larger than assumed</w:t>
            </w:r>
          </w:p>
        </w:tc>
        <w:tc>
          <w:tcPr>
            <w:tcW w:type="dxa" w:w="17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5"/>
                <w:szCs w:val="15"/>
              </w:rPr>
              <w:t xml:space="preserve">Week 6 (D4)</w:t>
            </w:r>
          </w:p>
        </w:tc>
      </w:tr>
    </w:tbl>
    <w:p>
      <w:pPr>
        <w:pStyle w:val="Heading1"/>
        <w:pageBreakBefore/>
        <w:pBdr>
          <w:bottom w:val="single" w:color="0B2545" w:sz="10" w:space="8"/>
        </w:pBdr>
        <w:spacing w:after="260" w:before="0"/>
      </w:pPr>
      <w:r>
        <w:rPr>
          <w:rFonts w:ascii="Calibri Light" w:cs="Calibri Light" w:eastAsia="Calibri Light" w:hAnsi="Calibri Light"/>
          <w:b/>
          <w:bCs/>
          <w:color w:val="0B2545"/>
          <w:sz w:val="34"/>
          <w:szCs w:val="34"/>
        </w:rPr>
        <w:t xml:space="preserve">Appendix E — Decision Log Template</w:t>
      </w:r>
    </w:p>
    <w:p>
      <w:pPr>
        <w:spacing w:after="140" w:before="0" w:line="276"/>
        <w:jc w:val="both"/>
      </w:pPr>
      <w:r>
        <w:rPr>
          <w:rFonts w:ascii="Calibri" w:cs="Calibri" w:eastAsia="Calibri" w:hAnsi="Calibri"/>
          <w:color w:val="1A1A1A"/>
          <w:sz w:val="20"/>
          <w:szCs w:val="20"/>
        </w:rPr>
        <w:t xml:space="preserve">Every decision in Section 1.4, and every structural decision taken during the programme, is recorded in this form. The rejected-options section is the part that retains value: six months later, the question is almost never what was decided but why the alternative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Field</w:t>
            </w:r>
          </w:p>
        </w:tc>
        <w:tc>
          <w:tcPr>
            <w:tcW w:type="dxa" w:w="6960"/>
            <w:tcBorders>
              <w:top w:val="single" w:color="C9D2DC" w:sz="2"/>
              <w:left w:val="single" w:color="C9D2DC" w:sz="2"/>
              <w:bottom w:val="single" w:color="C9D2DC" w:sz="2"/>
              <w:right w:val="single" w:color="C9D2DC" w:sz="2"/>
            </w:tcBorders>
            <w:shd w:fill="0B2545" w:color="auto" w:val="clear"/>
            <w:tcMar>
              <w:top w:type="dxa" w:w="70"/>
              <w:left w:type="dxa" w:w="100"/>
              <w:bottom w:type="dxa" w:w="70"/>
              <w:right w:type="dxa" w:w="100"/>
            </w:tcMar>
            <w:vAlign w:val="center"/>
          </w:tcPr>
          <w:p>
            <w:pPr>
              <w:spacing w:after="0" w:line="240"/>
              <w:jc w:val="left"/>
            </w:pPr>
            <w:r>
              <w:rPr>
                <w:rFonts w:ascii="Calibri" w:cs="Calibri" w:eastAsia="Calibri" w:hAnsi="Calibri"/>
                <w:b/>
                <w:bCs/>
                <w:color w:val="FFFFFF"/>
                <w:sz w:val="16"/>
                <w:szCs w:val="16"/>
              </w:rPr>
              <w:t xml:space="preserve">Content</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Identifier and title</w:t>
            </w:r>
          </w:p>
        </w:tc>
        <w:tc>
          <w:tcPr>
            <w:tcW w:type="dxa" w:w="6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ADR-nnnn, a short imperative title</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Date and owner</w:t>
            </w:r>
          </w:p>
        </w:tc>
        <w:tc>
          <w:tcPr>
            <w:tcW w:type="dxa" w:w="6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date the decision became binding and the individual accountable for it</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Status</w:t>
            </w:r>
          </w:p>
        </w:tc>
        <w:tc>
          <w:tcPr>
            <w:tcW w:type="dxa" w:w="6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Proposed, accepted, superseded by ADR-nnnn, or rejected</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Context</w:t>
            </w:r>
          </w:p>
        </w:tc>
        <w:tc>
          <w:tcPr>
            <w:tcW w:type="dxa" w:w="6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The situation requiring a decision, with evidence. Links to source files or audit reports where the claim is technical</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Options considered</w:t>
            </w:r>
          </w:p>
        </w:tc>
        <w:tc>
          <w:tcPr>
            <w:tcW w:type="dxa" w:w="6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At least two, each with cost, risk and reversibility stated</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Decision</w:t>
            </w:r>
          </w:p>
        </w:tc>
        <w:tc>
          <w:tcPr>
            <w:tcW w:type="dxa" w:w="6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What was chosen, in one sentence</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Rejected options and why</w:t>
            </w:r>
          </w:p>
        </w:tc>
        <w:tc>
          <w:tcPr>
            <w:tcW w:type="dxa" w:w="6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b/>
                <w:bCs/>
                <w:color w:val="1A1A1A"/>
                <w:sz w:val="16"/>
                <w:szCs w:val="16"/>
              </w:rPr>
              <w:t xml:space="preserve">Mandatory. </w:t>
            </w:r>
          </w:p>
          <w:p>
            <w:pPr>
              <w:spacing w:after="0" w:line="240"/>
              <w:jc w:val="left"/>
            </w:pPr>
            <w:r>
              <w:rPr>
                <w:rFonts w:ascii="Calibri" w:cs="Calibri" w:eastAsia="Calibri" w:hAnsi="Calibri"/>
                <w:color w:val="1A1A1A"/>
                <w:sz w:val="16"/>
                <w:szCs w:val="16"/>
              </w:rPr>
              <w:t xml:space="preserve">An ADR without this section is a note, not a record</w:t>
            </w:r>
          </w:p>
        </w:tc>
      </w:tr>
      <w:tr>
        <w:tc>
          <w:tcPr>
            <w:tcW w:type="dxa" w:w="240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Consequences</w:t>
            </w:r>
          </w:p>
        </w:tc>
        <w:tc>
          <w:tcPr>
            <w:tcW w:type="dxa" w:w="6960"/>
            <w:tcBorders>
              <w:top w:val="single" w:color="C9D2DC" w:sz="2"/>
              <w:left w:val="single" w:color="C9D2DC" w:sz="2"/>
              <w:bottom w:val="single" w:color="C9D2DC" w:sz="2"/>
              <w:right w:val="single" w:color="C9D2DC" w:sz="2"/>
            </w:tcBorders>
            <w:shd w:fill="F5F7FA" w:color="auto" w:val="clear"/>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What becomes easier, what becomes harder, and what becomes impossible</w:t>
            </w:r>
          </w:p>
        </w:tc>
      </w:tr>
      <w:tr>
        <w:tc>
          <w:tcPr>
            <w:tcW w:type="dxa" w:w="240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Reversal cost</w:t>
            </w:r>
          </w:p>
        </w:tc>
        <w:tc>
          <w:tcPr>
            <w:tcW w:type="dxa" w:w="6960"/>
            <w:tcBorders>
              <w:top w:val="single" w:color="C9D2DC" w:sz="2"/>
              <w:left w:val="single" w:color="C9D2DC" w:sz="2"/>
              <w:bottom w:val="single" w:color="C9D2DC" w:sz="2"/>
              <w:right w:val="single" w:color="C9D2DC" w:sz="2"/>
            </w:tcBorders>
            <w:tcMar>
              <w:top w:type="dxa" w:w="70"/>
              <w:left w:type="dxa" w:w="100"/>
              <w:bottom w:type="dxa" w:w="70"/>
              <w:right w:type="dxa" w:w="100"/>
            </w:tcMar>
            <w:vAlign w:val="center"/>
          </w:tcPr>
          <w:p>
            <w:pPr>
              <w:spacing w:after="0" w:line="240"/>
              <w:jc w:val="left"/>
            </w:pPr>
            <w:r>
              <w:rPr>
                <w:rFonts w:ascii="Calibri" w:cs="Calibri" w:eastAsia="Calibri" w:hAnsi="Calibri"/>
                <w:color w:val="1A1A1A"/>
                <w:sz w:val="16"/>
                <w:szCs w:val="16"/>
              </w:rPr>
              <w:t xml:space="preserve">What it would take to undo this later, stated honestly</w:t>
            </w:r>
          </w:p>
        </w:tc>
      </w:tr>
    </w:tbl>
    <w:p>
      <w:pPr>
        <w:spacing w:after="120"/>
      </w:pPr>
    </w:p>
    <w:p>
      <w:pPr>
        <w:spacing w:after="120"/>
      </w:pPr>
    </w:p>
    <w:p>
      <w:pPr>
        <w:spacing w:after="140" w:before="0" w:line="276"/>
        <w:jc w:val="center"/>
      </w:pPr>
      <w:r>
        <w:rPr>
          <w:rFonts w:ascii="Calibri" w:cs="Calibri" w:eastAsia="Calibri" w:hAnsi="Calibri"/>
          <w:i/>
          <w:iCs/>
          <w:color w:val="6B7280"/>
          <w:sz w:val="17"/>
          <w:szCs w:val="17"/>
        </w:rPr>
        <w:t xml:space="preserve">End of document. Version 1.0, 28 July 2026. Prepared against the CerebroHive monorepo and audit series. Financial and schedule figures are planning estimates subject to Appendix D.</w:t>
      </w:r>
    </w:p>
    <w:sectPr>
      <w:headerReference w:type="default" r:id="rId11"/>
      <w:footerReference w:type="default" r:id="rId12"/>
      <w:type w:val="nextPage"/>
      <w:pgSz w:w="12240" w:h="15840" w:orient="portrait"/>
      <w:pgMar w:top="1440" w:right="1440" w:bottom="1296" w:left="1440" w:header="720" w:footer="6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center"/>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6" w:space="6"/>
      </w:pBdr>
      <w:tabs>
        <w:tab w:val="right" w:pos="9360"/>
      </w:tabs>
      <w:jc w:val="left"/>
    </w:pPr>
    <w:r>
      <w:rPr>
        <w:rFonts w:ascii="Calibri" w:cs="Calibri" w:eastAsia="Calibri" w:hAnsi="Calibri"/>
        <w:color w:val="6B7280"/>
        <w:sz w:val="15"/>
        <w:szCs w:val="15"/>
      </w:rPr>
      <w:t xml:space="preserve">CerebroHive™  ·  Product Strategy and Execution Plan</w:t>
    </w:r>
    <w:r>
      <w:rPr>
        <w:rFonts w:ascii="Calibri" w:cs="Calibri" w:eastAsia="Calibri" w:hAnsi="Calibri"/>
        <w:color w:val="6B7280"/>
        <w:sz w:val="15"/>
        <w:szCs w:val="15"/>
      </w:rPr>
      <w:t xml:space="preserve">	Version 1.0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6" w:space="6"/>
      </w:pBdr>
      <w:tabs>
        <w:tab w:val="right" w:pos="9360"/>
      </w:tabs>
      <w:jc w:val="left"/>
    </w:pPr>
    <w:r>
      <w:rPr>
        <w:rFonts w:ascii="Calibri" w:cs="Calibri" w:eastAsia="Calibri" w:hAnsi="Calibri"/>
        <w:color w:val="6B7280"/>
        <w:sz w:val="15"/>
        <w:szCs w:val="15"/>
      </w:rPr>
      <w:t xml:space="preserve">CerebroHive™  ·  Product Strategy and Execution Plan</w:t>
    </w:r>
    <w:r>
      <w:rPr>
        <w:rFonts w:ascii="Calibri" w:cs="Calibri" w:eastAsia="Calibri" w:hAnsi="Calibri"/>
        <w:color w:val="6B7280"/>
        <w:sz w:val="15"/>
        <w:szCs w:val="15"/>
      </w:rPr>
      <w:t xml:space="preserve">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rPr>
        <w:color w:val="3E6E9E"/>
      </w:rPr>
    </w:lvl>
    <w:lvl w:ilvl="1" w15:tentative="1">
      <w:start w:val="1"/>
      <w:numFmt w:val="bullet"/>
      <w:lvlText w:val="–"/>
      <w:lvlJc w:val="left"/>
      <w:pPr>
        <w:ind w:left="740" w:hanging="230"/>
      </w:pPr>
      <w:rPr>
        <w:color w:val="6B7280"/>
      </w:rPr>
    </w:lvl>
  </w:abstractNum>
  <w:abstractNum w:abstractNumId="3" w15:restartNumberingAfterBreak="0">
    <w:multiLevelType w:val="hybridMultilevel"/>
    <w:lvl w:ilvl="0" w15:tentative="1">
      <w:start w:val="1"/>
      <w:numFmt w:val="decimal"/>
      <w:lvlText w:val="%1."/>
      <w:lvlJc w:val="left"/>
      <w:pPr>
        <w:ind w:left="400" w:hanging="250"/>
      </w:pPr>
      <w:rPr>
        <w:b/>
        <w:bCs/>
        <w:color w:val="1340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0B2545"/>
      <w:sz w:val="34"/>
      <w:szCs w:val="34"/>
    </w:rPr>
  </w:style>
  <w:style w:type="paragraph" w:styleId="Heading2">
    <w:name w:val="Heading 2"/>
    <w:basedOn w:val="Normal"/>
    <w:next w:val="Normal"/>
    <w:qFormat/>
    <w:rPr>
      <w:rFonts w:ascii="Calibri" w:cs="Calibri" w:eastAsia="Calibri" w:hAnsi="Calibri"/>
      <w:b/>
      <w:bCs/>
      <w:color w:val="134074"/>
      <w:sz w:val="25"/>
      <w:szCs w:val="25"/>
    </w:rPr>
  </w:style>
  <w:style w:type="paragraph" w:styleId="Heading3">
    <w:name w:val="Heading 3"/>
    <w:basedOn w:val="Normal"/>
    <w:next w:val="Normal"/>
    <w:qFormat/>
    <w:rPr>
      <w:rFonts w:ascii="Calibri" w:cs="Calibri" w:eastAsia="Calibri" w:hAnsi="Calibri"/>
      <w:b/>
      <w:bCs/>
      <w:color w:val="2E3A4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22871eaf99538d53662f0b2dbd90d0c79ece7ed.png"/><Relationship Id="rId14" Type="http://schemas.openxmlformats.org/officeDocument/2006/relationships/image" Target="media/30a277b1394216691a844ec30c8a54701123c0c3.png"/><Relationship Id="rId15" Type="http://schemas.openxmlformats.org/officeDocument/2006/relationships/image" Target="media/32642bdd8a4373a0018633bb0cf5ecfe517f5acf.png"/><Relationship Id="rId16" Type="http://schemas.openxmlformats.org/officeDocument/2006/relationships/image" Target="media/0d60ad95d2e3b7c55014d75c507bb32e3144cf93.png"/><Relationship Id="rId17" Type="http://schemas.openxmlformats.org/officeDocument/2006/relationships/image" Target="media/69429fadde0a8c5d4b05b52cf457cfcf80967ab9.png"/><Relationship Id="rId18" Type="http://schemas.openxmlformats.org/officeDocument/2006/relationships/image" Target="media/77b6003e8d12b275150f964d1caaf6dd88303e24.png"/><Relationship Id="rId19" Type="http://schemas.openxmlformats.org/officeDocument/2006/relationships/image" Target="media/19bcd16390e862f014ecbbcff55af3cbd87e48de.png"/><Relationship Id="rId20" Type="http://schemas.openxmlformats.org/officeDocument/2006/relationships/image" Target="media/83d32038a4d9532f9cf5271f7edb498128e2259b.png"/><Relationship Id="rId21" Type="http://schemas.openxmlformats.org/officeDocument/2006/relationships/image" Target="media/3bc617f2809cd78f51cd2896bebdf0eefd48eaab.png"/><Relationship Id="rId22" Type="http://schemas.openxmlformats.org/officeDocument/2006/relationships/image" Target="media/2d087eef25c96eb5c595a10378a7c30d357ac58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CerebroHive Product Strategy and Execution Plan</dc:title>
  <dc:creator>CerebroHive Programme Office</dc:creator>
  <dc:description>24-week execution plan for the CerebroHive Enterprise Intelligence Mesh</dc:description>
  <cp:lastModifiedBy>Un-named</cp:lastModifiedBy>
  <cp:revision>1</cp:revision>
  <dcterms:created xsi:type="dcterms:W3CDTF">2026-07-28T00:15:40.902Z</dcterms:created>
  <dcterms:modified xsi:type="dcterms:W3CDTF">2026-07-28T00:15:40.903Z</dcterms:modified>
</cp:coreProperties>
</file>

<file path=docProps/custom.xml><?xml version="1.0" encoding="utf-8"?>
<Properties xmlns="http://schemas.openxmlformats.org/officeDocument/2006/custom-properties" xmlns:vt="http://schemas.openxmlformats.org/officeDocument/2006/docPropsVTypes"/>
</file>