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Заглавие: </w:t>
      </w:r>
      <w:r>
        <w:t xml:space="preserve">Изи Макс</w:t>
      </w:r>
    </w:p>
    <w:p>
      <w:r>
        <w:rPr>
          <w:b/>
          <w:bCs/>
        </w:rPr>
        <w:t xml:space="preserve">Категория: </w:t>
      </w:r>
      <w:r>
        <w:t xml:space="preserve">продукт</w:t>
      </w:r>
    </w:p>
    <w:p>
      <w:r>
        <w:rPr>
          <w:b/>
          <w:bCs/>
        </w:rPr>
        <w:t xml:space="preserve">Валидно от: </w:t>
      </w:r>
      <w:r>
        <w:t xml:space="preserve">01.10.2026</w:t>
      </w:r>
    </w:p>
    <w:p>
      <w:r>
        <w:rPr>
          <w:b/>
          <w:bCs/>
        </w:rPr>
        <w:t xml:space="preserve">Версия: </w:t>
      </w:r>
      <w:r>
        <w:t xml:space="preserve">ОБРАЗЕЦ</w:t>
      </w:r>
    </w:p>
    <w:p>
      <w:r>
        <w:t xml:space="preserve"/>
      </w:r>
    </w:p>
    <w:p>
      <w:pPr>
        <w:spacing w:after="120"/>
      </w:pPr>
      <w:r>
        <w:t xml:space="preserve">ОБРАЗЕЦ С ПРИМЕРНИ ДАННИ. Числата и условията по-долу са измислени, за да покажат как изглежда попълнен документ. Преди да качите свой документ, заменете ги с официалните данни на компанията. Не качвайте образеца в този вид, за да не получава бот и екип невярна информация.</w:t>
      </w:r>
    </w:p>
    <w:p>
      <w:pPr>
        <w:pStyle w:val="Heading2"/>
      </w:pPr>
      <w:r>
        <w:t xml:space="preserve">За кого е</w:t>
      </w:r>
    </w:p>
    <w:p>
      <w:pPr>
        <w:spacing w:after="120"/>
      </w:pPr>
      <w:r>
        <w:t xml:space="preserve">Изи Макс е кредитен продукт с двуседмични вноски за клиенти с редовен доход — заплата, пенсия или друг постоянен приход. Подходящ е за лични нужди, когато клиентът иска малки вноски, известни предварително. Предлага се както на нови, така и на вече обслужвани клиенти с добра история на плащанията.</w:t>
      </w:r>
    </w:p>
    <w:p>
      <w:pPr>
        <w:pStyle w:val="Heading2"/>
      </w:pPr>
      <w:r>
        <w:t xml:space="preserve">Параметри</w:t>
      </w:r>
    </w:p>
    <w:p>
      <w:pPr>
        <w:pStyle w:val="ListParagraph"/>
        <w:numPr>
          <w:ilvl w:val="0"/>
          <w:numId w:val="1"/>
        </w:numPr>
      </w:pPr>
      <w:r>
        <w:t xml:space="preserve">Валута: евро (всички суми са в евро).</w:t>
      </w:r>
    </w:p>
    <w:p>
      <w:pPr>
        <w:pStyle w:val="ListParagraph"/>
        <w:numPr>
          <w:ilvl w:val="0"/>
          <w:numId w:val="1"/>
        </w:numPr>
      </w:pPr>
      <w:r>
        <w:t xml:space="preserve">Сума: от 200 до 5 000 евро.</w:t>
      </w:r>
    </w:p>
    <w:p>
      <w:pPr>
        <w:pStyle w:val="ListParagraph"/>
        <w:numPr>
          <w:ilvl w:val="0"/>
          <w:numId w:val="1"/>
        </w:numPr>
      </w:pPr>
      <w:r>
        <w:t xml:space="preserve">Срок: от 4 до 24 двуседмични вноски.</w:t>
      </w:r>
    </w:p>
    <w:p>
      <w:pPr>
        <w:pStyle w:val="ListParagraph"/>
        <w:numPr>
          <w:ilvl w:val="0"/>
          <w:numId w:val="1"/>
        </w:numPr>
      </w:pPr>
      <w:r>
        <w:t xml:space="preserve">Вноска: двуседмична, с фиксиран размер, посочен в офертата.</w:t>
      </w:r>
    </w:p>
    <w:p>
      <w:pPr>
        <w:pStyle w:val="ListParagraph"/>
        <w:numPr>
          <w:ilvl w:val="0"/>
          <w:numId w:val="1"/>
        </w:numPr>
      </w:pPr>
      <w:r>
        <w:t xml:space="preserve">Примерни заявки: 600 евро за 11 двуседмични вноски; 2 500 евро за 17 двуседмични вноски.</w:t>
      </w:r>
    </w:p>
    <w:p>
      <w:pPr>
        <w:pStyle w:val="ListParagraph"/>
        <w:numPr>
          <w:ilvl w:val="0"/>
          <w:numId w:val="1"/>
        </w:numPr>
      </w:pPr>
      <w:r>
        <w:t xml:space="preserve">Такса за разглеждане: няма.</w:t>
      </w:r>
    </w:p>
    <w:p>
      <w:pPr>
        <w:pStyle w:val="ListParagraph"/>
        <w:numPr>
          <w:ilvl w:val="0"/>
          <w:numId w:val="1"/>
        </w:numPr>
      </w:pPr>
      <w:r>
        <w:t xml:space="preserve">ГПР: изчислява се индивидуално за всяка оферта. Консултантът не го изчислява на ум, а насочва клиента към официалния калкулатор.</w:t>
      </w:r>
    </w:p>
    <w:p>
      <w:pPr>
        <w:pStyle w:val="ListParagraph"/>
        <w:numPr>
          <w:ilvl w:val="0"/>
          <w:numId w:val="1"/>
        </w:numPr>
      </w:pPr>
      <w:r>
        <w:t xml:space="preserve">Предсрочно погасяване: възможно по всяко време, без допълнителна такса.</w:t>
      </w:r>
    </w:p>
    <w:p>
      <w:pPr>
        <w:pStyle w:val="Heading2"/>
      </w:pPr>
      <w:r>
        <w:t xml:space="preserve">Ползи за клиента</w:t>
      </w:r>
    </w:p>
    <w:p>
      <w:pPr>
        <w:pStyle w:val="ListParagraph"/>
        <w:numPr>
          <w:ilvl w:val="0"/>
          <w:numId w:val="1"/>
        </w:numPr>
      </w:pPr>
      <w:r>
        <w:t xml:space="preserve">Малки двуседмични вноски, които е лесно да се планират.</w:t>
      </w:r>
    </w:p>
    <w:p>
      <w:pPr>
        <w:pStyle w:val="ListParagraph"/>
        <w:numPr>
          <w:ilvl w:val="0"/>
          <w:numId w:val="1"/>
        </w:numPr>
      </w:pPr>
      <w:r>
        <w:t xml:space="preserve">Размерът на вноската е известен още при офертата и не се променя.</w:t>
      </w:r>
    </w:p>
    <w:p>
      <w:pPr>
        <w:pStyle w:val="ListParagraph"/>
        <w:numPr>
          <w:ilvl w:val="0"/>
          <w:numId w:val="1"/>
        </w:numPr>
      </w:pPr>
      <w:r>
        <w:t xml:space="preserve">Възможност за предсрочно погасяване без такса.</w:t>
      </w:r>
    </w:p>
    <w:p>
      <w:pPr>
        <w:pStyle w:val="ListParagraph"/>
        <w:numPr>
          <w:ilvl w:val="0"/>
          <w:numId w:val="1"/>
        </w:numPr>
      </w:pPr>
      <w:r>
        <w:t xml:space="preserve">Бързо разглеждане на заявката.</w:t>
      </w:r>
    </w:p>
    <w:p>
      <w:pPr>
        <w:pStyle w:val="Heading2"/>
      </w:pPr>
      <w:r>
        <w:t xml:space="preserve">Условия за одобрение</w:t>
      </w:r>
    </w:p>
    <w:p>
      <w:pPr>
        <w:pStyle w:val="ListParagraph"/>
        <w:numPr>
          <w:ilvl w:val="0"/>
          <w:numId w:val="1"/>
        </w:numPr>
      </w:pPr>
      <w:r>
        <w:t xml:space="preserve">Кандидатът е пълнолетен и има постоянен доход.</w:t>
      </w:r>
    </w:p>
    <w:p>
      <w:pPr>
        <w:pStyle w:val="ListParagraph"/>
        <w:numPr>
          <w:ilvl w:val="0"/>
          <w:numId w:val="1"/>
        </w:numPr>
      </w:pPr>
      <w:r>
        <w:t xml:space="preserve">Решението зависи от проверката на кандидата, а не само от желаната бързина.</w:t>
      </w:r>
    </w:p>
    <w:p>
      <w:pPr>
        <w:pStyle w:val="ListParagraph"/>
        <w:numPr>
          <w:ilvl w:val="0"/>
          <w:numId w:val="1"/>
        </w:numPr>
      </w:pPr>
      <w:r>
        <w:t xml:space="preserve">При нередовна кредитна история заявката може да бъде отказана или одобрена за по-малка сума.</w:t>
      </w:r>
    </w:p>
    <w:p>
      <w:pPr>
        <w:pStyle w:val="Heading2"/>
      </w:pPr>
      <w:r>
        <w:t xml:space="preserve">Необходими документи</w:t>
      </w:r>
    </w:p>
    <w:p>
      <w:pPr>
        <w:pStyle w:val="ListParagraph"/>
        <w:numPr>
          <w:ilvl w:val="0"/>
          <w:numId w:val="1"/>
        </w:numPr>
      </w:pPr>
      <w:r>
        <w:t xml:space="preserve">Документ за самоличност.</w:t>
      </w:r>
    </w:p>
    <w:p>
      <w:pPr>
        <w:pStyle w:val="ListParagraph"/>
        <w:numPr>
          <w:ilvl w:val="0"/>
          <w:numId w:val="1"/>
        </w:numPr>
      </w:pPr>
      <w:r>
        <w:t xml:space="preserve">Документ за доход — когато се изисква при конкретния случай.</w:t>
      </w:r>
    </w:p>
    <w:p>
      <w:pPr>
        <w:pStyle w:val="Heading2"/>
      </w:pPr>
      <w:r>
        <w:t xml:space="preserve">Изключения и ограничения</w:t>
      </w:r>
    </w:p>
    <w:p>
      <w:pPr>
        <w:pStyle w:val="ListParagraph"/>
        <w:numPr>
          <w:ilvl w:val="0"/>
          <w:numId w:val="1"/>
        </w:numPr>
      </w:pPr>
      <w:r>
        <w:t xml:space="preserve">Не се предлага при активни просрочия по предишен кредит в компанията.</w:t>
      </w:r>
    </w:p>
    <w:p>
      <w:pPr>
        <w:pStyle w:val="ListParagraph"/>
        <w:numPr>
          <w:ilvl w:val="0"/>
          <w:numId w:val="1"/>
        </w:numPr>
      </w:pPr>
      <w:r>
        <w:t xml:space="preserve">Максималната сума за нов клиент може да е по-ниска от тази за съществуващ клиент с добра история.</w:t>
      </w:r>
    </w:p>
    <w:p>
      <w:pPr>
        <w:pStyle w:val="Heading2"/>
      </w:pPr>
      <w:r>
        <w:t xml:space="preserve">Какво НЕ е вярно / чести заблуди</w:t>
      </w:r>
    </w:p>
    <w:p>
      <w:pPr>
        <w:pStyle w:val="ListParagraph"/>
        <w:numPr>
          <w:ilvl w:val="0"/>
          <w:numId w:val="1"/>
        </w:numPr>
      </w:pPr>
      <w:r>
        <w:t xml:space="preserve">Грешно: сумите по продукта са в лева — Вярно: всички суми са в евро.</w:t>
      </w:r>
    </w:p>
    <w:p>
      <w:pPr>
        <w:pStyle w:val="ListParagraph"/>
        <w:numPr>
          <w:ilvl w:val="0"/>
          <w:numId w:val="1"/>
        </w:numPr>
      </w:pPr>
      <w:r>
        <w:t xml:space="preserve">Грешно: одобрението е сигурно, ако клиентът бърза — Вярно: одобрението зависи от резултата от проверката.</w:t>
      </w:r>
    </w:p>
    <w:p>
      <w:pPr>
        <w:pStyle w:val="ListParagraph"/>
        <w:numPr>
          <w:ilvl w:val="0"/>
          <w:numId w:val="1"/>
        </w:numPr>
      </w:pPr>
      <w:r>
        <w:t xml:space="preserve">Грешно: вноските са седмични — Вярно: вноските са двуседмични.</w:t>
      </w:r>
    </w:p>
    <w:p>
      <w:pPr>
        <w:pStyle w:val="ListParagraph"/>
        <w:numPr>
          <w:ilvl w:val="0"/>
          <w:numId w:val="1"/>
        </w:numPr>
      </w:pPr>
      <w:r>
        <w:t xml:space="preserve">Грешно: за предсрочно погасяване се плаща такса — Вярно: предсрочното погасяване е без допълнителна такса.</w:t>
      </w:r>
    </w:p>
    <w:p>
      <w:pPr>
        <w:pStyle w:val="Heading2"/>
      </w:pPr>
      <w:r>
        <w:t xml:space="preserve">Често задавани въпроси</w:t>
      </w:r>
    </w:p>
    <w:p>
      <w:pPr>
        <w:spacing w:after="120"/>
      </w:pPr>
      <w:r>
        <w:t xml:space="preserve">Въпрос: Вноската седмична ли е?</w:t>
      </w:r>
    </w:p>
    <w:p>
      <w:pPr>
        <w:spacing w:after="120"/>
      </w:pPr>
      <w:r>
        <w:t xml:space="preserve">Отговор: Не, вноските по Изи Макс са двуседмични.</w:t>
      </w:r>
    </w:p>
    <w:p>
      <w:pPr>
        <w:spacing w:after="120"/>
      </w:pPr>
      <w:r>
        <w:t xml:space="preserve">Въпрос: Каква е максималната сума, която мога да предложа на клиент?</w:t>
      </w:r>
    </w:p>
    <w:p>
      <w:pPr>
        <w:spacing w:after="120"/>
      </w:pPr>
      <w:r>
        <w:t xml:space="preserve">Отговор: До 5 000 евро, като конкретната сума зависи от проверката на кандидата.</w:t>
      </w:r>
    </w:p>
    <w:p>
      <w:pPr>
        <w:spacing w:after="120"/>
      </w:pPr>
      <w:r>
        <w:t xml:space="preserve">Въпрос: Може ли клиентът да погаси кредита по-рано?</w:t>
      </w:r>
    </w:p>
    <w:p>
      <w:pPr>
        <w:spacing w:after="120"/>
      </w:pPr>
      <w:r>
        <w:t xml:space="preserve">Отговор: Да, по всяко време и без допълнителна такса.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2026-09-30T12:43:20.586Z</dcterms:created>
  <dcterms:modified xsi:type="dcterms:W3CDTF">2026-09-30T12:43:20.586Z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