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69269">
      <w:pPr>
        <w:spacing w:before="160" w:after="80"/>
      </w:pPr>
      <w:r>
        <w:rPr>
          <w:rFonts w:ascii="Calibri" w:hAnsi="Calibri" w:eastAsia="Calibri"/>
          <w:b/>
          <w:color w:val="5B697A"/>
          <w:sz w:val="20"/>
        </w:rPr>
        <w:t>课程代码说明</w:t>
      </w:r>
    </w:p>
    <w:p w14:paraId="68E471CC">
      <w:pPr>
        <w:spacing w:before="0" w:after="120"/>
      </w:pPr>
      <w:r>
        <w:rPr>
          <w:rFonts w:ascii="Calibri" w:hAnsi="Calibri" w:eastAsia="Calibri"/>
          <w:b/>
          <w:color w:val="1C2736"/>
          <w:sz w:val="48"/>
        </w:rPr>
        <w:t>LangChain 工具调用与 LLM Function Call</w:t>
      </w:r>
    </w:p>
    <w:p w14:paraId="0E927E2A">
      <w:pPr>
        <w:spacing w:after="280"/>
      </w:pPr>
      <w:r>
        <w:rPr>
          <w:rFonts w:ascii="Calibri" w:hAnsi="Calibri" w:eastAsia="Calibri"/>
          <w:color w:val="5B697A"/>
          <w:sz w:val="22"/>
        </w:rPr>
        <w:t>围绕工具调用机制、底层 function calling 关系，以及运行速度影响因素的简明说明。</w:t>
      </w:r>
    </w:p>
    <w:p w14:paraId="0FE98C61">
      <w:pPr>
        <w:pBdr>
          <w:bottom w:val="single" w:color="B8C5D6" w:sz="8" w:space="6"/>
        </w:pBdr>
        <w:spacing w:after="280"/>
      </w:pPr>
    </w:p>
    <w:tbl>
      <w:tblPr>
        <w:tblStyle w:val="32"/>
        <w:tblW w:w="9360" w:type="dxa"/>
        <w:tblInd w:w="120" w:type="dxa"/>
        <w:tblBorders>
          <w:top w:val="single" w:color="D7DEE8" w:sz="4" w:space="0"/>
          <w:left w:val="single" w:color="D7DEE8" w:sz="4" w:space="0"/>
          <w:bottom w:val="single" w:color="D7DEE8" w:sz="4" w:space="0"/>
          <w:right w:val="single" w:color="D7DEE8" w:sz="4" w:space="0"/>
          <w:insideH w:val="single" w:color="D7DEE8" w:sz="4" w:space="0"/>
          <w:insideV w:val="single" w:color="D7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3119A44">
        <w:tblPrEx>
          <w:tblBorders>
            <w:top w:val="single" w:color="D7DEE8" w:sz="4" w:space="0"/>
            <w:left w:val="single" w:color="D7DEE8" w:sz="4" w:space="0"/>
            <w:bottom w:val="single" w:color="D7DEE8" w:sz="4" w:space="0"/>
            <w:right w:val="single" w:color="D7DEE8" w:sz="4" w:space="0"/>
            <w:insideH w:val="single" w:color="D7DEE8" w:sz="4" w:space="0"/>
            <w:insideV w:val="single" w:color="D7DEE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74700"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一句话结论：</w:t>
            </w:r>
            <w:r>
              <w:rPr>
                <w:rFonts w:ascii="Calibri" w:hAnsi="Calibri" w:eastAsia="Calibri"/>
                <w:color w:val="1C2736"/>
                <w:sz w:val="21"/>
              </w:rPr>
              <w:t>LLM function call 是模型接口的底层能力；LangChain 工具调用是在这个能力之上的统一封装和执行编排。</w:t>
            </w:r>
          </w:p>
        </w:tc>
      </w:tr>
    </w:tbl>
    <w:p w14:paraId="79B4D1B4">
      <w:pPr>
        <w:spacing w:after="40"/>
      </w:pPr>
    </w:p>
    <w:p w14:paraId="7167DF2A">
      <w:pPr>
        <w:pStyle w:val="3"/>
      </w:pPr>
      <w:r>
        <w:t>1. LangChain 工具调用和 LLM Function Call 的区别</w:t>
      </w:r>
    </w:p>
    <w:p w14:paraId="7995FAC4">
      <w:r>
        <w:rPr>
          <w:rFonts w:ascii="Calibri" w:hAnsi="Calibri" w:eastAsia="Calibri"/>
          <w:color w:val="1C2736"/>
        </w:rPr>
        <w:t>二者不是互相替代的关系，而是上下层关系。LLM function call / tool call 是模型厂商提供的协议，模型根据工具说明生成结构化调用请求；LangChain 工具调用则把 Python 函数、参数说明、消息格式、工具执行结果等流程统一包装起来。</w:t>
      </w:r>
    </w:p>
    <w:p w14:paraId="76BB652C">
      <w:r>
        <w:rPr>
          <w:rFonts w:ascii="Calibri" w:hAnsi="Calibri" w:eastAsia="Calibri"/>
          <w:color w:val="1C2736"/>
        </w:rPr>
        <w:t>在你的示例中，get_weather 是一个 Python 函数。LangChain 通过 @tool 把它转换成模型可识别的工具 schema，再通过 bind_tools() 绑定到 ChatOpenAI 模型上。底层真正发生的仍然是 DeepSeek/OpenAI 兼容接口的 tool calling。</w:t>
      </w:r>
    </w:p>
    <w:tbl>
      <w:tblPr>
        <w:tblStyle w:val="32"/>
        <w:tblW w:w="9360" w:type="dxa"/>
        <w:tblInd w:w="120" w:type="dxa"/>
        <w:tblBorders>
          <w:top w:val="single" w:color="B8C5D6" w:sz="6" w:space="0"/>
          <w:left w:val="single" w:color="B8C5D6" w:sz="6" w:space="0"/>
          <w:bottom w:val="single" w:color="B8C5D6" w:sz="6" w:space="0"/>
          <w:right w:val="single" w:color="B8C5D6" w:sz="6" w:space="0"/>
          <w:insideH w:val="single" w:color="B8C5D6" w:sz="6" w:space="0"/>
          <w:insideV w:val="single" w:color="B8C5D6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3528"/>
        <w:gridCol w:w="3744"/>
      </w:tblGrid>
      <w:tr w14:paraId="402F8D5E">
        <w:tblPrEx>
          <w:tblBorders>
            <w:top w:val="single" w:color="B8C5D6" w:sz="6" w:space="0"/>
            <w:left w:val="single" w:color="B8C5D6" w:sz="6" w:space="0"/>
            <w:bottom w:val="single" w:color="B8C5D6" w:sz="6" w:space="0"/>
            <w:right w:val="single" w:color="B8C5D6" w:sz="6" w:space="0"/>
            <w:insideH w:val="single" w:color="B8C5D6" w:sz="6" w:space="0"/>
            <w:insideV w:val="single" w:color="B8C5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2B665"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对比项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84240"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LLM Function Call / Tool Call</w:t>
            </w:r>
          </w:p>
        </w:tc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C2FE2"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LangChain 工具调用</w:t>
            </w:r>
          </w:p>
        </w:tc>
      </w:tr>
      <w:tr w14:paraId="348A1063">
        <w:tblPrEx>
          <w:tblBorders>
            <w:top w:val="single" w:color="B8C5D6" w:sz="6" w:space="0"/>
            <w:left w:val="single" w:color="B8C5D6" w:sz="6" w:space="0"/>
            <w:bottom w:val="single" w:color="B8C5D6" w:sz="6" w:space="0"/>
            <w:right w:val="single" w:color="B8C5D6" w:sz="6" w:space="0"/>
            <w:insideH w:val="single" w:color="B8C5D6" w:sz="6" w:space="0"/>
            <w:insideV w:val="single" w:color="B8C5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83BC"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定位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5B98">
            <w:pPr>
              <w:spacing w:after="0"/>
            </w:pPr>
            <w:r>
              <w:rPr>
                <w:rFonts w:ascii="Calibri" w:hAnsi="Calibri" w:eastAsia="Calibri"/>
                <w:color w:val="1C2736"/>
                <w:sz w:val="21"/>
              </w:rPr>
              <w:t>模型厂商 API 提供的原生结构化调用能力。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DDF4">
            <w:pPr>
              <w:spacing w:after="0"/>
            </w:pPr>
            <w:r>
              <w:rPr>
                <w:rFonts w:ascii="Calibri" w:hAnsi="Calibri" w:eastAsia="Calibri"/>
                <w:color w:val="1C2736"/>
                <w:sz w:val="21"/>
              </w:rPr>
              <w:t>LangChain 对不同模型工具调用协议的统一封装。</w:t>
            </w:r>
          </w:p>
        </w:tc>
      </w:tr>
      <w:tr w14:paraId="6990BEC0">
        <w:tblPrEx>
          <w:tblBorders>
            <w:top w:val="single" w:color="B8C5D6" w:sz="6" w:space="0"/>
            <w:left w:val="single" w:color="B8C5D6" w:sz="6" w:space="0"/>
            <w:bottom w:val="single" w:color="B8C5D6" w:sz="6" w:space="0"/>
            <w:right w:val="single" w:color="B8C5D6" w:sz="6" w:space="0"/>
            <w:insideH w:val="single" w:color="B8C5D6" w:sz="6" w:space="0"/>
            <w:insideV w:val="single" w:color="B8C5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3C69"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函数是否由模型执行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3847">
            <w:pPr>
              <w:spacing w:after="0"/>
            </w:pPr>
            <w:r>
              <w:rPr>
                <w:rFonts w:ascii="Calibri" w:hAnsi="Calibri" w:eastAsia="Calibri"/>
                <w:color w:val="1C2736"/>
                <w:sz w:val="21"/>
              </w:rPr>
              <w:t>不执行。模型只返回要调用哪个函数和参数。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3434">
            <w:pPr>
              <w:spacing w:after="0"/>
            </w:pPr>
            <w:r>
              <w:rPr>
                <w:rFonts w:ascii="Calibri" w:hAnsi="Calibri" w:eastAsia="Calibri"/>
                <w:color w:val="1C2736"/>
                <w:sz w:val="21"/>
              </w:rPr>
              <w:t>工具函数仍由应用代码或 Agent 执行，LangChain 负责包装和编排。</w:t>
            </w:r>
          </w:p>
        </w:tc>
      </w:tr>
      <w:tr w14:paraId="5AFB97DF">
        <w:tblPrEx>
          <w:tblBorders>
            <w:top w:val="single" w:color="B8C5D6" w:sz="6" w:space="0"/>
            <w:left w:val="single" w:color="B8C5D6" w:sz="6" w:space="0"/>
            <w:bottom w:val="single" w:color="B8C5D6" w:sz="6" w:space="0"/>
            <w:right w:val="single" w:color="B8C5D6" w:sz="6" w:space="0"/>
            <w:insideH w:val="single" w:color="B8C5D6" w:sz="6" w:space="0"/>
            <w:insideV w:val="single" w:color="B8C5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B4505"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典型输出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AE1B9">
            <w:pPr>
              <w:spacing w:after="0"/>
            </w:pPr>
            <w:r>
              <w:rPr>
                <w:rFonts w:ascii="Calibri" w:hAnsi="Calibri" w:eastAsia="Calibri"/>
                <w:color w:val="1C2736"/>
                <w:sz w:val="21"/>
              </w:rPr>
              <w:t>tool_calls / function_call，包含 name、args、id。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C6DB">
            <w:pPr>
              <w:spacing w:after="0"/>
            </w:pPr>
            <w:r>
              <w:rPr>
                <w:rFonts w:ascii="Calibri" w:hAnsi="Calibri" w:eastAsia="Calibri"/>
                <w:color w:val="1C2736"/>
                <w:sz w:val="21"/>
              </w:rPr>
              <w:t>AIMessage.tool_calls、ToolMessage 等 LangChain 消息对象。</w:t>
            </w:r>
          </w:p>
        </w:tc>
      </w:tr>
      <w:tr w14:paraId="669A91B2">
        <w:tblPrEx>
          <w:tblBorders>
            <w:top w:val="single" w:color="B8C5D6" w:sz="6" w:space="0"/>
            <w:left w:val="single" w:color="B8C5D6" w:sz="6" w:space="0"/>
            <w:bottom w:val="single" w:color="B8C5D6" w:sz="6" w:space="0"/>
            <w:right w:val="single" w:color="B8C5D6" w:sz="6" w:space="0"/>
            <w:insideH w:val="single" w:color="B8C5D6" w:sz="6" w:space="0"/>
            <w:insideV w:val="single" w:color="B8C5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D4686"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优势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C24D2">
            <w:pPr>
              <w:spacing w:after="0"/>
            </w:pPr>
            <w:r>
              <w:rPr>
                <w:rFonts w:ascii="Calibri" w:hAnsi="Calibri" w:eastAsia="Calibri"/>
                <w:color w:val="1C2736"/>
                <w:sz w:val="21"/>
              </w:rPr>
              <w:t>贴近底层 API，控制细节直接。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66CBE">
            <w:pPr>
              <w:spacing w:after="0"/>
            </w:pPr>
            <w:r>
              <w:rPr>
                <w:rFonts w:ascii="Calibri" w:hAnsi="Calibri" w:eastAsia="Calibri"/>
                <w:color w:val="1C2736"/>
                <w:sz w:val="21"/>
              </w:rPr>
              <w:t>更容易切换模型，工具定义更接近 Python 函数。</w:t>
            </w:r>
          </w:p>
        </w:tc>
      </w:tr>
      <w:tr w14:paraId="65E9673F">
        <w:tblPrEx>
          <w:tblBorders>
            <w:top w:val="single" w:color="B8C5D6" w:sz="6" w:space="0"/>
            <w:left w:val="single" w:color="B8C5D6" w:sz="6" w:space="0"/>
            <w:bottom w:val="single" w:color="B8C5D6" w:sz="6" w:space="0"/>
            <w:right w:val="single" w:color="B8C5D6" w:sz="6" w:space="0"/>
            <w:insideH w:val="single" w:color="B8C5D6" w:sz="6" w:space="0"/>
            <w:insideV w:val="single" w:color="B8C5D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9833E"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常用写法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7BE14">
            <w:pPr>
              <w:spacing w:after="0"/>
            </w:pPr>
            <w:r>
              <w:rPr>
                <w:rFonts w:ascii="Calibri" w:hAnsi="Calibri" w:eastAsia="Calibri"/>
                <w:color w:val="1C2736"/>
                <w:sz w:val="21"/>
              </w:rPr>
              <w:t>直接向模型 API 传 tools/schema。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E3A5">
            <w:pPr>
              <w:spacing w:after="0"/>
            </w:pPr>
            <w:r>
              <w:rPr>
                <w:rFonts w:ascii="Calibri" w:hAnsi="Calibri" w:eastAsia="Calibri"/>
                <w:color w:val="1C2736"/>
                <w:sz w:val="21"/>
              </w:rPr>
              <w:t>@tool、bind_tools()、create_agent()。</w:t>
            </w:r>
          </w:p>
        </w:tc>
      </w:tr>
    </w:tbl>
    <w:p w14:paraId="55E6A7E2">
      <w:pPr>
        <w:pStyle w:val="3"/>
      </w:pPr>
      <w:r>
        <w:t>2. LangChain 工具调用速度受什么影响</w:t>
      </w:r>
    </w:p>
    <w:p w14:paraId="7B24B763">
      <w:r>
        <w:rPr>
          <w:rFonts w:ascii="Calibri" w:hAnsi="Calibri" w:eastAsia="Calibri"/>
          <w:color w:val="1C2736"/>
        </w:rPr>
        <w:t>一次典型工具调用链路通常包含两次模型请求：第一次让模型判断是否调用工具、调用哪个工具以及传什么参数；工具执行完成后，再把工具结果交回模型生成最终回答。因此总耗时可以粗略理解为：第一次模型请求 + 工具执行时</w:t>
      </w:r>
      <w:bookmarkStart w:id="0" w:name="_GoBack"/>
      <w:bookmarkEnd w:id="0"/>
      <w:r>
        <w:rPr>
          <w:rFonts w:ascii="Calibri" w:hAnsi="Calibri" w:eastAsia="Calibri"/>
          <w:color w:val="1C2736"/>
        </w:rPr>
        <w:t>间 + 第二次模型请求 + 网络与框架开销。</w:t>
      </w:r>
    </w:p>
    <w:p w14:paraId="55071724">
      <w:pPr>
        <w:pStyle w:val="4"/>
      </w:pPr>
      <w:r>
        <w:t>主要影响因素</w:t>
      </w:r>
    </w:p>
    <w:p w14:paraId="6EF1BBFB">
      <w:pPr>
        <w:pStyle w:val="16"/>
        <w:spacing w:after="80" w:line="300" w:lineRule="auto"/>
        <w:ind w:left="540" w:hanging="271"/>
      </w:pPr>
      <w:r>
        <w:rPr>
          <w:rFonts w:ascii="Calibri" w:hAnsi="Calibri" w:eastAsia="Calibri"/>
          <w:color w:val="1C2736"/>
        </w:rPr>
        <w:t>模型本身速度：模型大小、服务负载、排队情况、输出 token 数都会影响响应时间。</w:t>
      </w:r>
    </w:p>
    <w:p w14:paraId="023FD2FB">
      <w:pPr>
        <w:pStyle w:val="16"/>
        <w:spacing w:after="80" w:line="300" w:lineRule="auto"/>
        <w:ind w:left="540" w:hanging="271"/>
      </w:pPr>
      <w:r>
        <w:rPr>
          <w:rFonts w:ascii="Calibri" w:hAnsi="Calibri" w:eastAsia="Calibri"/>
          <w:color w:val="1C2736"/>
        </w:rPr>
        <w:t>网络延迟：调用远程 API 时，公网、代理、DNS、接口限流都会带来额外耗时。</w:t>
      </w:r>
    </w:p>
    <w:p w14:paraId="6B12A883">
      <w:pPr>
        <w:pStyle w:val="16"/>
        <w:spacing w:after="80" w:line="300" w:lineRule="auto"/>
        <w:ind w:left="540" w:hanging="271"/>
      </w:pPr>
      <w:r>
        <w:rPr>
          <w:rFonts w:ascii="Calibri" w:hAnsi="Calibri" w:eastAsia="Calibri"/>
          <w:color w:val="1C2736"/>
        </w:rPr>
        <w:t>工具执行时间：本地函数通常很快；如果工具内部查数据库、访问外部 API、读取大文件或爬网页，工具本身会成为主要耗时。</w:t>
      </w:r>
    </w:p>
    <w:p w14:paraId="4EFD2908">
      <w:pPr>
        <w:pStyle w:val="16"/>
        <w:spacing w:after="80" w:line="300" w:lineRule="auto"/>
        <w:ind w:left="540" w:hanging="271"/>
      </w:pPr>
      <w:r>
        <w:rPr>
          <w:rFonts w:ascii="Calibri" w:hAnsi="Calibri" w:eastAsia="Calibri"/>
          <w:color w:val="1C2736"/>
        </w:rPr>
        <w:t>工具调用数量：一次问题可能触发多个工具调用；如果串行执行，耗时会累加；如果可以并行执行，速度通常更好。</w:t>
      </w:r>
    </w:p>
    <w:p w14:paraId="12CD94FD">
      <w:pPr>
        <w:pStyle w:val="16"/>
        <w:spacing w:after="80" w:line="300" w:lineRule="auto"/>
        <w:ind w:left="540" w:hanging="271"/>
      </w:pPr>
      <w:r>
        <w:rPr>
          <w:rFonts w:ascii="Calibri" w:hAnsi="Calibri" w:eastAsia="Calibri"/>
          <w:color w:val="1C2736"/>
        </w:rPr>
        <w:t>工具 schema 数量和复杂度：绑定的工具越多、参数描述越复杂，请求上下文越长，模型选择工具越慢。</w:t>
      </w:r>
    </w:p>
    <w:p w14:paraId="4331A140">
      <w:pPr>
        <w:pStyle w:val="16"/>
        <w:spacing w:after="80" w:line="300" w:lineRule="auto"/>
        <w:ind w:left="540" w:hanging="271"/>
      </w:pPr>
      <w:r>
        <w:rPr>
          <w:rFonts w:ascii="Calibri" w:hAnsi="Calibri" w:eastAsia="Calibri"/>
          <w:color w:val="1C2736"/>
        </w:rPr>
        <w:t>上下文长度：messages 越长，模型处理的 token 越多，延迟越高。</w:t>
      </w:r>
    </w:p>
    <w:p w14:paraId="17463B34">
      <w:pPr>
        <w:pStyle w:val="16"/>
        <w:spacing w:after="80" w:line="300" w:lineRule="auto"/>
        <w:ind w:left="540" w:hanging="271"/>
      </w:pPr>
      <w:r>
        <w:rPr>
          <w:rFonts w:ascii="Calibri" w:hAnsi="Calibri" w:eastAsia="Calibri"/>
          <w:color w:val="1C2736"/>
        </w:rPr>
        <w:t>Agent 循环次数：使用 create_agent() 时，模型可能多轮调用工具，每多一轮通常就多一次模型请求。</w:t>
      </w:r>
    </w:p>
    <w:p w14:paraId="68EC1657">
      <w:pPr>
        <w:pStyle w:val="16"/>
        <w:spacing w:after="80" w:line="300" w:lineRule="auto"/>
        <w:ind w:left="540" w:hanging="271"/>
      </w:pPr>
      <w:r>
        <w:rPr>
          <w:rFonts w:ascii="Calibri" w:hAnsi="Calibri" w:eastAsia="Calibri"/>
          <w:color w:val="1C2736"/>
        </w:rPr>
        <w:t>LangChain 额外开销：消息对象转换、参数校验、回调、tracing、retry 等也会有少量成本。</w:t>
      </w:r>
    </w:p>
    <w:p w14:paraId="04DD53BB">
      <w:pPr>
        <w:spacing w:after="4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3EB71E">
    <w:pPr>
      <w:pStyle w:val="24"/>
      <w:jc w:val="right"/>
    </w:pPr>
    <w:r>
      <w:rPr>
        <w:rFonts w:ascii="Calibri" w:hAnsi="Calibri" w:eastAsia="Calibri"/>
        <w:color w:val="5B697A"/>
        <w:sz w:val="18"/>
      </w:rPr>
      <w:t>工具调用说明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6C1293">
    <w:pPr>
      <w:pStyle w:val="25"/>
      <w:spacing w:after="0"/>
      <w:jc w:val="right"/>
    </w:pPr>
    <w:r>
      <w:rPr>
        <w:rFonts w:ascii="Calibri" w:hAnsi="Calibri" w:eastAsia="Calibri"/>
        <w:color w:val="5B697A"/>
        <w:sz w:val="18"/>
      </w:rPr>
      <w:t>LangChain 课程参考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2FD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Calibri" w:cstheme="minorBidi"/>
      <w:color w:val="1C2736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30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30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30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contextualSpacing/>
    </w:pPr>
    <w:rPr>
      <w:rFonts w:ascii="Calibri" w:hAnsi="Calibri" w:eastAsia="Calibri"/>
      <w:color w:val="1C2736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contextualSpacing/>
    </w:pPr>
    <w:rPr>
      <w:rFonts w:ascii="Calibri" w:hAnsi="Calibri" w:eastAsia="Calibri"/>
      <w:color w:val="1C2736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1099</Words>
  <Characters>1615</Characters>
  <Lines>0</Lines>
  <Paragraphs>0</Paragraphs>
  <TotalTime>0</TotalTime>
  <ScaleCrop>false</ScaleCrop>
  <LinksUpToDate>false</LinksUpToDate>
  <CharactersWithSpaces>1723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涛</cp:lastModifiedBy>
  <dcterms:modified xsi:type="dcterms:W3CDTF">2026-07-30T13:59:50Z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eyJoZGlkIjoiOTc3M2Y5NzIzMDFlZjAyY2Q4Njk5ODkyYjFjNzBiNTQiLCJ1c2VySWQiOiI0MjY0MzIwNzYifQ==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6B2E9930924740DBA2A0802B7E755F5A_12</vt:lpwstr>
  </property>
</Properties>
</file>