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F3E3" w14:textId="77777777" w:rsidR="002D3F49" w:rsidRDefault="002D3F49">
      <w:pPr>
        <w:spacing w:after="480"/>
      </w:pPr>
    </w:p>
    <w:p w14:paraId="02A8F3E4" w14:textId="77777777" w:rsidR="002D3F49" w:rsidRDefault="002B5707">
      <w:pPr>
        <w:spacing w:after="80"/>
      </w:pPr>
      <w:r>
        <w:rPr>
          <w:b/>
          <w:bCs/>
          <w:color w:val="1A7A8A"/>
          <w:sz w:val="22"/>
          <w:szCs w:val="22"/>
        </w:rPr>
        <w:t>🌍  MALAWI · TRADE INTELLIGENCE REPORT</w:t>
      </w:r>
    </w:p>
    <w:p w14:paraId="02A8F3E5" w14:textId="77777777" w:rsidR="002D3F49" w:rsidRDefault="002B5707">
      <w:pPr>
        <w:spacing w:after="40"/>
      </w:pPr>
      <w:r>
        <w:rPr>
          <w:color w:val="1A7A8A"/>
          <w:sz w:val="36"/>
          <w:szCs w:val="36"/>
        </w:rPr>
        <w:t>Export Trade Analysis</w:t>
      </w:r>
    </w:p>
    <w:p w14:paraId="02A8F3E6" w14:textId="77777777" w:rsidR="002D3F49" w:rsidRDefault="002B5707">
      <w:pPr>
        <w:spacing w:after="160"/>
      </w:pPr>
      <w:r>
        <w:rPr>
          <w:b/>
          <w:bCs/>
          <w:color w:val="0D1F3C"/>
          <w:sz w:val="60"/>
          <w:szCs w:val="60"/>
        </w:rPr>
        <w:t>1986 – 2024</w:t>
      </w:r>
    </w:p>
    <w:p w14:paraId="02A8F3E7" w14:textId="77777777" w:rsidR="002D3F49" w:rsidRDefault="002D3F49">
      <w:pPr>
        <w:pBdr>
          <w:bottom w:val="single" w:sz="12" w:space="1" w:color="E8A020"/>
        </w:pBdr>
        <w:spacing w:after="200"/>
      </w:pPr>
    </w:p>
    <w:p w14:paraId="02A8F3E8" w14:textId="206F8F63" w:rsidR="002D3F49" w:rsidRDefault="002B5707">
      <w:pPr>
        <w:spacing w:after="120"/>
        <w:jc w:val="both"/>
      </w:pPr>
      <w:r>
        <w:rPr>
          <w:sz w:val="22"/>
          <w:szCs w:val="22"/>
        </w:rPr>
        <w:t xml:space="preserve">A data-driven investigation into Malawi's export structure, trading partner dynamics, commodity concentration, and five-year market outlook </w:t>
      </w:r>
      <w:r w:rsidR="00A92195">
        <w:rPr>
          <w:sz w:val="22"/>
          <w:szCs w:val="22"/>
        </w:rPr>
        <w:t>-</w:t>
      </w:r>
      <w:r>
        <w:rPr>
          <w:sz w:val="22"/>
          <w:szCs w:val="22"/>
        </w:rPr>
        <w:t xml:space="preserve"> powered by KNIME Analytics Platform.</w:t>
      </w:r>
    </w:p>
    <w:p w14:paraId="02A8F3E9" w14:textId="77777777" w:rsidR="002D3F49" w:rsidRDefault="002D3F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3F49" w14:paraId="02A8F3F0" w14:textId="77777777">
        <w:tc>
          <w:tcPr>
            <w:tcW w:w="4680" w:type="dxa"/>
            <w:tcBorders>
              <w:top w:val="single" w:sz="12" w:space="0" w:color="E8A020"/>
              <w:left w:val="single" w:sz="4" w:space="0" w:color="D0D8E4"/>
              <w:bottom w:val="single" w:sz="4" w:space="0" w:color="D0D8E4"/>
              <w:right w:val="single" w:sz="4" w:space="0" w:color="D0D8E4"/>
            </w:tcBorders>
            <w:shd w:val="clear" w:color="auto" w:fill="F4F7FA"/>
            <w:tcMar>
              <w:top w:w="120" w:type="dxa"/>
              <w:left w:w="160" w:type="dxa"/>
              <w:bottom w:w="120" w:type="dxa"/>
              <w:right w:w="100" w:type="dxa"/>
            </w:tcMar>
          </w:tcPr>
          <w:p w14:paraId="02A8F3EA" w14:textId="77777777" w:rsidR="002D3F49" w:rsidRDefault="002B5707">
            <w:pPr>
              <w:spacing w:after="40"/>
            </w:pPr>
            <w:r>
              <w:rPr>
                <w:b/>
                <w:bCs/>
                <w:color w:val="1A7A8A"/>
                <w:sz w:val="36"/>
                <w:szCs w:val="36"/>
              </w:rPr>
              <w:t>67%</w:t>
            </w:r>
          </w:p>
          <w:p w14:paraId="02A8F3EB" w14:textId="77777777" w:rsidR="002D3F49" w:rsidRDefault="002B5707">
            <w:pPr>
              <w:spacing w:after="20"/>
            </w:pPr>
            <w:r>
              <w:rPr>
                <w:b/>
                <w:bCs/>
                <w:color w:val="0D1F3C"/>
                <w:sz w:val="17"/>
                <w:szCs w:val="17"/>
              </w:rPr>
              <w:t>Tobacco Export Share</w:t>
            </w:r>
          </w:p>
          <w:p w14:paraId="02A8F3EC" w14:textId="77777777" w:rsidR="002D3F49" w:rsidRDefault="002B5707">
            <w:r>
              <w:rPr>
                <w:color w:val="8A96A3"/>
                <w:sz w:val="16"/>
                <w:szCs w:val="16"/>
              </w:rPr>
              <w:t>of total export value</w:t>
            </w:r>
          </w:p>
        </w:tc>
        <w:tc>
          <w:tcPr>
            <w:tcW w:w="4680" w:type="dxa"/>
            <w:tcBorders>
              <w:top w:val="single" w:sz="12" w:space="0" w:color="1A7A8A"/>
              <w:left w:val="single" w:sz="4" w:space="0" w:color="D0D8E4"/>
              <w:bottom w:val="single" w:sz="4" w:space="0" w:color="D0D8E4"/>
              <w:right w:val="single" w:sz="4" w:space="0" w:color="D0D8E4"/>
            </w:tcBorders>
            <w:shd w:val="clear" w:color="auto" w:fill="F4F7FA"/>
            <w:tcMar>
              <w:top w:w="120" w:type="dxa"/>
              <w:left w:w="160" w:type="dxa"/>
              <w:bottom w:w="120" w:type="dxa"/>
              <w:right w:w="100" w:type="dxa"/>
            </w:tcMar>
          </w:tcPr>
          <w:p w14:paraId="02A8F3ED" w14:textId="77777777" w:rsidR="002D3F49" w:rsidRDefault="002B5707">
            <w:pPr>
              <w:spacing w:after="40"/>
            </w:pPr>
            <w:r>
              <w:rPr>
                <w:b/>
                <w:bCs/>
                <w:color w:val="1A7A8A"/>
                <w:sz w:val="36"/>
                <w:szCs w:val="36"/>
              </w:rPr>
              <w:t>#1 Belgium</w:t>
            </w:r>
          </w:p>
          <w:p w14:paraId="02A8F3EE" w14:textId="77777777" w:rsidR="002D3F49" w:rsidRDefault="002B5707">
            <w:pPr>
              <w:spacing w:after="20"/>
            </w:pPr>
            <w:r>
              <w:rPr>
                <w:b/>
                <w:bCs/>
                <w:color w:val="0D1F3C"/>
                <w:sz w:val="17"/>
                <w:szCs w:val="17"/>
              </w:rPr>
              <w:t>Top Trading Partner</w:t>
            </w:r>
          </w:p>
          <w:p w14:paraId="02A8F3EF" w14:textId="77777777" w:rsidR="002D3F49" w:rsidRDefault="002B5707">
            <w:r>
              <w:rPr>
                <w:color w:val="8A96A3"/>
                <w:sz w:val="16"/>
                <w:szCs w:val="16"/>
              </w:rPr>
              <w:t>23.7% of export value</w:t>
            </w:r>
          </w:p>
        </w:tc>
      </w:tr>
    </w:tbl>
    <w:p w14:paraId="02A8F3F1"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D3F49" w14:paraId="02A8F3F8" w14:textId="77777777">
        <w:tc>
          <w:tcPr>
            <w:tcW w:w="4680" w:type="dxa"/>
            <w:tcBorders>
              <w:top w:val="single" w:sz="12" w:space="0" w:color="1A7A8A"/>
              <w:left w:val="single" w:sz="4" w:space="0" w:color="D0D8E4"/>
              <w:bottom w:val="single" w:sz="4" w:space="0" w:color="D0D8E4"/>
              <w:right w:val="single" w:sz="4" w:space="0" w:color="D0D8E4"/>
            </w:tcBorders>
            <w:shd w:val="clear" w:color="auto" w:fill="F4F7FA"/>
            <w:tcMar>
              <w:top w:w="120" w:type="dxa"/>
              <w:left w:w="160" w:type="dxa"/>
              <w:bottom w:w="120" w:type="dxa"/>
              <w:right w:w="100" w:type="dxa"/>
            </w:tcMar>
          </w:tcPr>
          <w:p w14:paraId="02A8F3F2" w14:textId="77777777" w:rsidR="002D3F49" w:rsidRDefault="002B5707">
            <w:pPr>
              <w:spacing w:after="40"/>
            </w:pPr>
            <w:r>
              <w:rPr>
                <w:b/>
                <w:bCs/>
                <w:color w:val="1A7A8A"/>
                <w:sz w:val="36"/>
                <w:szCs w:val="36"/>
              </w:rPr>
              <w:t>38 Years</w:t>
            </w:r>
          </w:p>
          <w:p w14:paraId="02A8F3F3" w14:textId="77777777" w:rsidR="002D3F49" w:rsidRDefault="002B5707">
            <w:pPr>
              <w:spacing w:after="20"/>
            </w:pPr>
            <w:r>
              <w:rPr>
                <w:b/>
                <w:bCs/>
                <w:color w:val="0D1F3C"/>
                <w:sz w:val="17"/>
                <w:szCs w:val="17"/>
              </w:rPr>
              <w:t>Dataset Span</w:t>
            </w:r>
          </w:p>
          <w:p w14:paraId="02A8F3F4" w14:textId="77777777" w:rsidR="002D3F49" w:rsidRDefault="002B5707">
            <w:r>
              <w:rPr>
                <w:color w:val="8A96A3"/>
                <w:sz w:val="16"/>
                <w:szCs w:val="16"/>
              </w:rPr>
              <w:t>FAOSTAT: 1986–2024</w:t>
            </w:r>
          </w:p>
        </w:tc>
        <w:tc>
          <w:tcPr>
            <w:tcW w:w="4680" w:type="dxa"/>
            <w:tcBorders>
              <w:top w:val="single" w:sz="12" w:space="0" w:color="E8A020"/>
              <w:left w:val="single" w:sz="4" w:space="0" w:color="D0D8E4"/>
              <w:bottom w:val="single" w:sz="4" w:space="0" w:color="D0D8E4"/>
              <w:right w:val="single" w:sz="4" w:space="0" w:color="D0D8E4"/>
            </w:tcBorders>
            <w:shd w:val="clear" w:color="auto" w:fill="F4F7FA"/>
            <w:tcMar>
              <w:top w:w="120" w:type="dxa"/>
              <w:left w:w="160" w:type="dxa"/>
              <w:bottom w:w="120" w:type="dxa"/>
              <w:right w:w="100" w:type="dxa"/>
            </w:tcMar>
          </w:tcPr>
          <w:p w14:paraId="02A8F3F5" w14:textId="77777777" w:rsidR="002D3F49" w:rsidRDefault="002B5707">
            <w:pPr>
              <w:spacing w:after="40"/>
            </w:pPr>
            <w:r>
              <w:rPr>
                <w:b/>
                <w:bCs/>
                <w:color w:val="1A7A8A"/>
                <w:sz w:val="36"/>
                <w:szCs w:val="36"/>
              </w:rPr>
              <w:t>2029</w:t>
            </w:r>
          </w:p>
          <w:p w14:paraId="02A8F3F6" w14:textId="77777777" w:rsidR="002D3F49" w:rsidRDefault="002B5707">
            <w:pPr>
              <w:spacing w:after="20"/>
            </w:pPr>
            <w:r>
              <w:rPr>
                <w:b/>
                <w:bCs/>
                <w:color w:val="0D1F3C"/>
                <w:sz w:val="17"/>
                <w:szCs w:val="17"/>
              </w:rPr>
              <w:t>Forecast Horizon</w:t>
            </w:r>
          </w:p>
          <w:p w14:paraId="02A8F3F7" w14:textId="77777777" w:rsidR="002D3F49" w:rsidRDefault="002B5707">
            <w:r>
              <w:rPr>
                <w:color w:val="8A96A3"/>
                <w:sz w:val="16"/>
                <w:szCs w:val="16"/>
              </w:rPr>
              <w:t>Linear regression projection</w:t>
            </w:r>
          </w:p>
        </w:tc>
      </w:tr>
    </w:tbl>
    <w:p w14:paraId="02A8F3FC" w14:textId="77777777" w:rsidR="002D3F49" w:rsidRDefault="002B5707">
      <w:r>
        <w:br w:type="page"/>
      </w:r>
    </w:p>
    <w:p w14:paraId="02A8F3FE" w14:textId="11B434A7" w:rsidR="002D3F49" w:rsidRDefault="002B5707" w:rsidP="00356FD1">
      <w:pPr>
        <w:pStyle w:val="Heading1"/>
      </w:pPr>
      <w:bookmarkStart w:id="0" w:name="_Toc224498843"/>
      <w:r>
        <w:lastRenderedPageBreak/>
        <w:t>Contents</w:t>
      </w:r>
      <w:bookmarkEnd w:id="0"/>
    </w:p>
    <w:sdt>
      <w:sdtPr>
        <w:alias w:val="Table of Contents"/>
        <w:id w:val="704440800"/>
      </w:sdtPr>
      <w:sdtContent>
        <w:p w14:paraId="54157003" w14:textId="174DAF11" w:rsidR="00356FD1" w:rsidRDefault="002B5707">
          <w:pPr>
            <w:pStyle w:val="TOC1"/>
            <w:tabs>
              <w:tab w:val="right" w:leader="dot" w:pos="9638"/>
            </w:tabs>
            <w:rPr>
              <w:noProof/>
            </w:rPr>
          </w:pPr>
          <w:r>
            <w:fldChar w:fldCharType="begin"/>
          </w:r>
          <w:r>
            <w:instrText>TOC \h \o "1-3" \t "Heading 1,1,Heading 2,2"</w:instrText>
          </w:r>
          <w:r>
            <w:fldChar w:fldCharType="separate"/>
          </w:r>
          <w:hyperlink w:anchor="_Toc224498843" w:history="1">
            <w:r w:rsidR="00356FD1" w:rsidRPr="004E1B96">
              <w:rPr>
                <w:rStyle w:val="Hyperlink"/>
                <w:noProof/>
              </w:rPr>
              <w:t>Contents</w:t>
            </w:r>
            <w:r w:rsidR="00356FD1">
              <w:rPr>
                <w:noProof/>
              </w:rPr>
              <w:tab/>
            </w:r>
            <w:r w:rsidR="00356FD1">
              <w:rPr>
                <w:noProof/>
              </w:rPr>
              <w:fldChar w:fldCharType="begin"/>
            </w:r>
            <w:r w:rsidR="00356FD1">
              <w:rPr>
                <w:noProof/>
              </w:rPr>
              <w:instrText xml:space="preserve"> PAGEREF _Toc224498843 \h </w:instrText>
            </w:r>
            <w:r w:rsidR="00356FD1">
              <w:rPr>
                <w:noProof/>
              </w:rPr>
            </w:r>
            <w:r w:rsidR="00356FD1">
              <w:rPr>
                <w:noProof/>
              </w:rPr>
              <w:fldChar w:fldCharType="separate"/>
            </w:r>
            <w:r w:rsidR="00356FD1">
              <w:rPr>
                <w:noProof/>
              </w:rPr>
              <w:t>2</w:t>
            </w:r>
            <w:r w:rsidR="00356FD1">
              <w:rPr>
                <w:noProof/>
              </w:rPr>
              <w:fldChar w:fldCharType="end"/>
            </w:r>
          </w:hyperlink>
        </w:p>
        <w:p w14:paraId="5577065E" w14:textId="6C23CC5A" w:rsidR="00356FD1" w:rsidRDefault="00356FD1">
          <w:pPr>
            <w:pStyle w:val="TOC1"/>
            <w:tabs>
              <w:tab w:val="right" w:leader="dot" w:pos="9638"/>
            </w:tabs>
            <w:rPr>
              <w:noProof/>
            </w:rPr>
          </w:pPr>
          <w:hyperlink w:anchor="_Toc224498844" w:history="1">
            <w:r w:rsidRPr="004E1B96">
              <w:rPr>
                <w:rStyle w:val="Hyperlink"/>
                <w:noProof/>
              </w:rPr>
              <w:t>Project Overview</w:t>
            </w:r>
            <w:r>
              <w:rPr>
                <w:noProof/>
              </w:rPr>
              <w:tab/>
            </w:r>
            <w:r>
              <w:rPr>
                <w:noProof/>
              </w:rPr>
              <w:fldChar w:fldCharType="begin"/>
            </w:r>
            <w:r>
              <w:rPr>
                <w:noProof/>
              </w:rPr>
              <w:instrText xml:space="preserve"> PAGEREF _Toc224498844 \h </w:instrText>
            </w:r>
            <w:r>
              <w:rPr>
                <w:noProof/>
              </w:rPr>
            </w:r>
            <w:r>
              <w:rPr>
                <w:noProof/>
              </w:rPr>
              <w:fldChar w:fldCharType="separate"/>
            </w:r>
            <w:r>
              <w:rPr>
                <w:noProof/>
              </w:rPr>
              <w:t>3</w:t>
            </w:r>
            <w:r>
              <w:rPr>
                <w:noProof/>
              </w:rPr>
              <w:fldChar w:fldCharType="end"/>
            </w:r>
          </w:hyperlink>
        </w:p>
        <w:p w14:paraId="523C37D6" w14:textId="6A5B1368" w:rsidR="00356FD1" w:rsidRDefault="00356FD1">
          <w:pPr>
            <w:pStyle w:val="TOC2"/>
            <w:tabs>
              <w:tab w:val="right" w:leader="dot" w:pos="9638"/>
            </w:tabs>
            <w:rPr>
              <w:noProof/>
            </w:rPr>
          </w:pPr>
          <w:hyperlink w:anchor="_Toc224498845" w:history="1">
            <w:r w:rsidRPr="004E1B96">
              <w:rPr>
                <w:rStyle w:val="Hyperlink"/>
                <w:noProof/>
              </w:rPr>
              <w:t>Analytical Objectives</w:t>
            </w:r>
            <w:r>
              <w:rPr>
                <w:noProof/>
              </w:rPr>
              <w:tab/>
            </w:r>
            <w:r>
              <w:rPr>
                <w:noProof/>
              </w:rPr>
              <w:fldChar w:fldCharType="begin"/>
            </w:r>
            <w:r>
              <w:rPr>
                <w:noProof/>
              </w:rPr>
              <w:instrText xml:space="preserve"> PAGEREF _Toc224498845 \h </w:instrText>
            </w:r>
            <w:r>
              <w:rPr>
                <w:noProof/>
              </w:rPr>
            </w:r>
            <w:r>
              <w:rPr>
                <w:noProof/>
              </w:rPr>
              <w:fldChar w:fldCharType="separate"/>
            </w:r>
            <w:r>
              <w:rPr>
                <w:noProof/>
              </w:rPr>
              <w:t>3</w:t>
            </w:r>
            <w:r>
              <w:rPr>
                <w:noProof/>
              </w:rPr>
              <w:fldChar w:fldCharType="end"/>
            </w:r>
          </w:hyperlink>
        </w:p>
        <w:p w14:paraId="6B36F7F6" w14:textId="19AF7599" w:rsidR="00356FD1" w:rsidRDefault="00356FD1">
          <w:pPr>
            <w:pStyle w:val="TOC2"/>
            <w:tabs>
              <w:tab w:val="right" w:leader="dot" w:pos="9638"/>
            </w:tabs>
            <w:rPr>
              <w:noProof/>
            </w:rPr>
          </w:pPr>
          <w:hyperlink w:anchor="_Toc224498846" w:history="1">
            <w:r w:rsidRPr="004E1B96">
              <w:rPr>
                <w:rStyle w:val="Hyperlink"/>
                <w:noProof/>
              </w:rPr>
              <w:t>Tools &amp; Technology</w:t>
            </w:r>
            <w:r>
              <w:rPr>
                <w:noProof/>
              </w:rPr>
              <w:tab/>
            </w:r>
            <w:r>
              <w:rPr>
                <w:noProof/>
              </w:rPr>
              <w:fldChar w:fldCharType="begin"/>
            </w:r>
            <w:r>
              <w:rPr>
                <w:noProof/>
              </w:rPr>
              <w:instrText xml:space="preserve"> PAGEREF _Toc224498846 \h </w:instrText>
            </w:r>
            <w:r>
              <w:rPr>
                <w:noProof/>
              </w:rPr>
            </w:r>
            <w:r>
              <w:rPr>
                <w:noProof/>
              </w:rPr>
              <w:fldChar w:fldCharType="separate"/>
            </w:r>
            <w:r>
              <w:rPr>
                <w:noProof/>
              </w:rPr>
              <w:t>3</w:t>
            </w:r>
            <w:r>
              <w:rPr>
                <w:noProof/>
              </w:rPr>
              <w:fldChar w:fldCharType="end"/>
            </w:r>
          </w:hyperlink>
        </w:p>
        <w:p w14:paraId="36D395CC" w14:textId="42E1AA67" w:rsidR="00356FD1" w:rsidRDefault="00356FD1">
          <w:pPr>
            <w:pStyle w:val="TOC1"/>
            <w:tabs>
              <w:tab w:val="right" w:leader="dot" w:pos="9638"/>
            </w:tabs>
            <w:rPr>
              <w:noProof/>
            </w:rPr>
          </w:pPr>
          <w:hyperlink w:anchor="_Toc224498847" w:history="1">
            <w:r w:rsidRPr="004E1B96">
              <w:rPr>
                <w:rStyle w:val="Hyperlink"/>
                <w:noProof/>
              </w:rPr>
              <w:t>Analytical Methodology</w:t>
            </w:r>
            <w:r>
              <w:rPr>
                <w:noProof/>
              </w:rPr>
              <w:tab/>
            </w:r>
            <w:r>
              <w:rPr>
                <w:noProof/>
              </w:rPr>
              <w:fldChar w:fldCharType="begin"/>
            </w:r>
            <w:r>
              <w:rPr>
                <w:noProof/>
              </w:rPr>
              <w:instrText xml:space="preserve"> PAGEREF _Toc224498847 \h </w:instrText>
            </w:r>
            <w:r>
              <w:rPr>
                <w:noProof/>
              </w:rPr>
            </w:r>
            <w:r>
              <w:rPr>
                <w:noProof/>
              </w:rPr>
              <w:fldChar w:fldCharType="separate"/>
            </w:r>
            <w:r>
              <w:rPr>
                <w:noProof/>
              </w:rPr>
              <w:t>4</w:t>
            </w:r>
            <w:r>
              <w:rPr>
                <w:noProof/>
              </w:rPr>
              <w:fldChar w:fldCharType="end"/>
            </w:r>
          </w:hyperlink>
        </w:p>
        <w:p w14:paraId="6E268FA5" w14:textId="19CFC111" w:rsidR="00356FD1" w:rsidRDefault="00356FD1">
          <w:pPr>
            <w:pStyle w:val="TOC2"/>
            <w:tabs>
              <w:tab w:val="right" w:leader="dot" w:pos="9638"/>
            </w:tabs>
            <w:rPr>
              <w:noProof/>
            </w:rPr>
          </w:pPr>
          <w:hyperlink w:anchor="_Toc224498848" w:history="1">
            <w:r w:rsidRPr="004E1B96">
              <w:rPr>
                <w:rStyle w:val="Hyperlink"/>
                <w:noProof/>
              </w:rPr>
              <w:t>Pipeline Architecture</w:t>
            </w:r>
            <w:r>
              <w:rPr>
                <w:noProof/>
              </w:rPr>
              <w:tab/>
            </w:r>
            <w:r>
              <w:rPr>
                <w:noProof/>
              </w:rPr>
              <w:fldChar w:fldCharType="begin"/>
            </w:r>
            <w:r>
              <w:rPr>
                <w:noProof/>
              </w:rPr>
              <w:instrText xml:space="preserve"> PAGEREF _Toc224498848 \h </w:instrText>
            </w:r>
            <w:r>
              <w:rPr>
                <w:noProof/>
              </w:rPr>
            </w:r>
            <w:r>
              <w:rPr>
                <w:noProof/>
              </w:rPr>
              <w:fldChar w:fldCharType="separate"/>
            </w:r>
            <w:r>
              <w:rPr>
                <w:noProof/>
              </w:rPr>
              <w:t>4</w:t>
            </w:r>
            <w:r>
              <w:rPr>
                <w:noProof/>
              </w:rPr>
              <w:fldChar w:fldCharType="end"/>
            </w:r>
          </w:hyperlink>
        </w:p>
        <w:p w14:paraId="5861934B" w14:textId="595FF06C" w:rsidR="00356FD1" w:rsidRDefault="00356FD1">
          <w:pPr>
            <w:pStyle w:val="TOC2"/>
            <w:tabs>
              <w:tab w:val="right" w:leader="dot" w:pos="9638"/>
            </w:tabs>
            <w:rPr>
              <w:noProof/>
            </w:rPr>
          </w:pPr>
          <w:hyperlink w:anchor="_Toc224498849" w:history="1">
            <w:r w:rsidRPr="004E1B96">
              <w:rPr>
                <w:rStyle w:val="Hyperlink"/>
                <w:noProof/>
              </w:rPr>
              <w:t>Data Preprocessing Notes</w:t>
            </w:r>
            <w:r>
              <w:rPr>
                <w:noProof/>
              </w:rPr>
              <w:tab/>
            </w:r>
            <w:r>
              <w:rPr>
                <w:noProof/>
              </w:rPr>
              <w:fldChar w:fldCharType="begin"/>
            </w:r>
            <w:r>
              <w:rPr>
                <w:noProof/>
              </w:rPr>
              <w:instrText xml:space="preserve"> PAGEREF _Toc224498849 \h </w:instrText>
            </w:r>
            <w:r>
              <w:rPr>
                <w:noProof/>
              </w:rPr>
            </w:r>
            <w:r>
              <w:rPr>
                <w:noProof/>
              </w:rPr>
              <w:fldChar w:fldCharType="separate"/>
            </w:r>
            <w:r>
              <w:rPr>
                <w:noProof/>
              </w:rPr>
              <w:t>4</w:t>
            </w:r>
            <w:r>
              <w:rPr>
                <w:noProof/>
              </w:rPr>
              <w:fldChar w:fldCharType="end"/>
            </w:r>
          </w:hyperlink>
        </w:p>
        <w:p w14:paraId="325C82E2" w14:textId="5704C216" w:rsidR="00356FD1" w:rsidRDefault="00356FD1">
          <w:pPr>
            <w:pStyle w:val="TOC1"/>
            <w:tabs>
              <w:tab w:val="right" w:leader="dot" w:pos="9638"/>
            </w:tabs>
            <w:rPr>
              <w:noProof/>
            </w:rPr>
          </w:pPr>
          <w:hyperlink w:anchor="_Toc224498850" w:history="1">
            <w:r w:rsidRPr="004E1B96">
              <w:rPr>
                <w:rStyle w:val="Hyperlink"/>
                <w:noProof/>
              </w:rPr>
              <w:t>Export Concentration Metrics</w:t>
            </w:r>
            <w:r>
              <w:rPr>
                <w:noProof/>
              </w:rPr>
              <w:tab/>
            </w:r>
            <w:r>
              <w:rPr>
                <w:noProof/>
              </w:rPr>
              <w:fldChar w:fldCharType="begin"/>
            </w:r>
            <w:r>
              <w:rPr>
                <w:noProof/>
              </w:rPr>
              <w:instrText xml:space="preserve"> PAGEREF _Toc224498850 \h </w:instrText>
            </w:r>
            <w:r>
              <w:rPr>
                <w:noProof/>
              </w:rPr>
            </w:r>
            <w:r>
              <w:rPr>
                <w:noProof/>
              </w:rPr>
              <w:fldChar w:fldCharType="separate"/>
            </w:r>
            <w:r>
              <w:rPr>
                <w:noProof/>
              </w:rPr>
              <w:t>5</w:t>
            </w:r>
            <w:r>
              <w:rPr>
                <w:noProof/>
              </w:rPr>
              <w:fldChar w:fldCharType="end"/>
            </w:r>
          </w:hyperlink>
        </w:p>
        <w:p w14:paraId="2215DB64" w14:textId="6C589F33" w:rsidR="00356FD1" w:rsidRDefault="00356FD1">
          <w:pPr>
            <w:pStyle w:val="TOC2"/>
            <w:tabs>
              <w:tab w:val="right" w:leader="dot" w:pos="9638"/>
            </w:tabs>
            <w:rPr>
              <w:noProof/>
            </w:rPr>
          </w:pPr>
          <w:hyperlink w:anchor="_Toc224498851" w:history="1">
            <w:r w:rsidRPr="004E1B96">
              <w:rPr>
                <w:rStyle w:val="Hyperlink"/>
                <w:noProof/>
              </w:rPr>
              <w:t>Top Commodity Finding</w:t>
            </w:r>
            <w:r>
              <w:rPr>
                <w:noProof/>
              </w:rPr>
              <w:tab/>
            </w:r>
            <w:r>
              <w:rPr>
                <w:noProof/>
              </w:rPr>
              <w:fldChar w:fldCharType="begin"/>
            </w:r>
            <w:r>
              <w:rPr>
                <w:noProof/>
              </w:rPr>
              <w:instrText xml:space="preserve"> PAGEREF _Toc224498851 \h </w:instrText>
            </w:r>
            <w:r>
              <w:rPr>
                <w:noProof/>
              </w:rPr>
            </w:r>
            <w:r>
              <w:rPr>
                <w:noProof/>
              </w:rPr>
              <w:fldChar w:fldCharType="separate"/>
            </w:r>
            <w:r>
              <w:rPr>
                <w:noProof/>
              </w:rPr>
              <w:t>5</w:t>
            </w:r>
            <w:r>
              <w:rPr>
                <w:noProof/>
              </w:rPr>
              <w:fldChar w:fldCharType="end"/>
            </w:r>
          </w:hyperlink>
        </w:p>
        <w:p w14:paraId="3B8E4326" w14:textId="20435657" w:rsidR="00356FD1" w:rsidRDefault="00356FD1">
          <w:pPr>
            <w:pStyle w:val="TOC2"/>
            <w:tabs>
              <w:tab w:val="right" w:leader="dot" w:pos="9638"/>
            </w:tabs>
            <w:rPr>
              <w:noProof/>
            </w:rPr>
          </w:pPr>
          <w:hyperlink w:anchor="_Toc224498852" w:history="1">
            <w:r w:rsidRPr="004E1B96">
              <w:rPr>
                <w:rStyle w:val="Hyperlink"/>
                <w:noProof/>
              </w:rPr>
              <w:t>Top Partner Finding</w:t>
            </w:r>
            <w:r>
              <w:rPr>
                <w:noProof/>
              </w:rPr>
              <w:tab/>
            </w:r>
            <w:r>
              <w:rPr>
                <w:noProof/>
              </w:rPr>
              <w:fldChar w:fldCharType="begin"/>
            </w:r>
            <w:r>
              <w:rPr>
                <w:noProof/>
              </w:rPr>
              <w:instrText xml:space="preserve"> PAGEREF _Toc224498852 \h </w:instrText>
            </w:r>
            <w:r>
              <w:rPr>
                <w:noProof/>
              </w:rPr>
            </w:r>
            <w:r>
              <w:rPr>
                <w:noProof/>
              </w:rPr>
              <w:fldChar w:fldCharType="separate"/>
            </w:r>
            <w:r>
              <w:rPr>
                <w:noProof/>
              </w:rPr>
              <w:t>5</w:t>
            </w:r>
            <w:r>
              <w:rPr>
                <w:noProof/>
              </w:rPr>
              <w:fldChar w:fldCharType="end"/>
            </w:r>
          </w:hyperlink>
        </w:p>
        <w:p w14:paraId="5BB2EF01" w14:textId="7DB12552" w:rsidR="00356FD1" w:rsidRDefault="00356FD1">
          <w:pPr>
            <w:pStyle w:val="TOC2"/>
            <w:tabs>
              <w:tab w:val="right" w:leader="dot" w:pos="9638"/>
            </w:tabs>
            <w:rPr>
              <w:noProof/>
            </w:rPr>
          </w:pPr>
          <w:hyperlink w:anchor="_Toc224498853" w:history="1">
            <w:r w:rsidRPr="004E1B96">
              <w:rPr>
                <w:rStyle w:val="Hyperlink"/>
                <w:noProof/>
              </w:rPr>
              <w:t>Concentration Metrics - Data Tables</w:t>
            </w:r>
            <w:r>
              <w:rPr>
                <w:noProof/>
              </w:rPr>
              <w:tab/>
            </w:r>
            <w:r>
              <w:rPr>
                <w:noProof/>
              </w:rPr>
              <w:fldChar w:fldCharType="begin"/>
            </w:r>
            <w:r>
              <w:rPr>
                <w:noProof/>
              </w:rPr>
              <w:instrText xml:space="preserve"> PAGEREF _Toc224498853 \h </w:instrText>
            </w:r>
            <w:r>
              <w:rPr>
                <w:noProof/>
              </w:rPr>
            </w:r>
            <w:r>
              <w:rPr>
                <w:noProof/>
              </w:rPr>
              <w:fldChar w:fldCharType="separate"/>
            </w:r>
            <w:r>
              <w:rPr>
                <w:noProof/>
              </w:rPr>
              <w:t>6</w:t>
            </w:r>
            <w:r>
              <w:rPr>
                <w:noProof/>
              </w:rPr>
              <w:fldChar w:fldCharType="end"/>
            </w:r>
          </w:hyperlink>
        </w:p>
        <w:p w14:paraId="7A87F045" w14:textId="454C6EB7" w:rsidR="00356FD1" w:rsidRDefault="00356FD1">
          <w:pPr>
            <w:pStyle w:val="TOC1"/>
            <w:tabs>
              <w:tab w:val="right" w:leader="dot" w:pos="9638"/>
            </w:tabs>
            <w:rPr>
              <w:noProof/>
            </w:rPr>
          </w:pPr>
          <w:hyperlink w:anchor="_Toc224498854" w:history="1">
            <w:r w:rsidRPr="004E1B96">
              <w:rPr>
                <w:rStyle w:val="Hyperlink"/>
                <w:noProof/>
              </w:rPr>
              <w:t>Partner &amp; Commodity Cluster Analysis</w:t>
            </w:r>
            <w:r>
              <w:rPr>
                <w:noProof/>
              </w:rPr>
              <w:tab/>
            </w:r>
            <w:r>
              <w:rPr>
                <w:noProof/>
              </w:rPr>
              <w:fldChar w:fldCharType="begin"/>
            </w:r>
            <w:r>
              <w:rPr>
                <w:noProof/>
              </w:rPr>
              <w:instrText xml:space="preserve"> PAGEREF _Toc224498854 \h </w:instrText>
            </w:r>
            <w:r>
              <w:rPr>
                <w:noProof/>
              </w:rPr>
            </w:r>
            <w:r>
              <w:rPr>
                <w:noProof/>
              </w:rPr>
              <w:fldChar w:fldCharType="separate"/>
            </w:r>
            <w:r>
              <w:rPr>
                <w:noProof/>
              </w:rPr>
              <w:t>7</w:t>
            </w:r>
            <w:r>
              <w:rPr>
                <w:noProof/>
              </w:rPr>
              <w:fldChar w:fldCharType="end"/>
            </w:r>
          </w:hyperlink>
        </w:p>
        <w:p w14:paraId="4C199162" w14:textId="5CA17896" w:rsidR="00356FD1" w:rsidRDefault="00356FD1">
          <w:pPr>
            <w:pStyle w:val="TOC2"/>
            <w:tabs>
              <w:tab w:val="right" w:leader="dot" w:pos="9638"/>
            </w:tabs>
            <w:rPr>
              <w:noProof/>
            </w:rPr>
          </w:pPr>
          <w:hyperlink w:anchor="_Toc224498855" w:history="1">
            <w:r w:rsidRPr="004E1B96">
              <w:rPr>
                <w:rStyle w:val="Hyperlink"/>
                <w:noProof/>
              </w:rPr>
              <w:t>Methodology</w:t>
            </w:r>
            <w:r>
              <w:rPr>
                <w:noProof/>
              </w:rPr>
              <w:tab/>
            </w:r>
            <w:r>
              <w:rPr>
                <w:noProof/>
              </w:rPr>
              <w:fldChar w:fldCharType="begin"/>
            </w:r>
            <w:r>
              <w:rPr>
                <w:noProof/>
              </w:rPr>
              <w:instrText xml:space="preserve"> PAGEREF _Toc224498855 \h </w:instrText>
            </w:r>
            <w:r>
              <w:rPr>
                <w:noProof/>
              </w:rPr>
            </w:r>
            <w:r>
              <w:rPr>
                <w:noProof/>
              </w:rPr>
              <w:fldChar w:fldCharType="separate"/>
            </w:r>
            <w:r>
              <w:rPr>
                <w:noProof/>
              </w:rPr>
              <w:t>7</w:t>
            </w:r>
            <w:r>
              <w:rPr>
                <w:noProof/>
              </w:rPr>
              <w:fldChar w:fldCharType="end"/>
            </w:r>
          </w:hyperlink>
        </w:p>
        <w:p w14:paraId="0BEB426F" w14:textId="316C8085" w:rsidR="00356FD1" w:rsidRDefault="00356FD1">
          <w:pPr>
            <w:pStyle w:val="TOC2"/>
            <w:tabs>
              <w:tab w:val="right" w:leader="dot" w:pos="9638"/>
            </w:tabs>
            <w:rPr>
              <w:noProof/>
            </w:rPr>
          </w:pPr>
          <w:hyperlink w:anchor="_Toc224498856" w:history="1">
            <w:r w:rsidRPr="004E1B96">
              <w:rPr>
                <w:rStyle w:val="Hyperlink"/>
                <w:noProof/>
              </w:rPr>
              <w:t>Cluster Interpretation</w:t>
            </w:r>
            <w:r>
              <w:rPr>
                <w:noProof/>
              </w:rPr>
              <w:tab/>
            </w:r>
            <w:r>
              <w:rPr>
                <w:noProof/>
              </w:rPr>
              <w:fldChar w:fldCharType="begin"/>
            </w:r>
            <w:r>
              <w:rPr>
                <w:noProof/>
              </w:rPr>
              <w:instrText xml:space="preserve"> PAGEREF _Toc224498856 \h </w:instrText>
            </w:r>
            <w:r>
              <w:rPr>
                <w:noProof/>
              </w:rPr>
            </w:r>
            <w:r>
              <w:rPr>
                <w:noProof/>
              </w:rPr>
              <w:fldChar w:fldCharType="separate"/>
            </w:r>
            <w:r>
              <w:rPr>
                <w:noProof/>
              </w:rPr>
              <w:t>7</w:t>
            </w:r>
            <w:r>
              <w:rPr>
                <w:noProof/>
              </w:rPr>
              <w:fldChar w:fldCharType="end"/>
            </w:r>
          </w:hyperlink>
        </w:p>
        <w:p w14:paraId="5B604A07" w14:textId="3CCC1329" w:rsidR="00356FD1" w:rsidRDefault="00356FD1">
          <w:pPr>
            <w:pStyle w:val="TOC1"/>
            <w:tabs>
              <w:tab w:val="right" w:leader="dot" w:pos="9638"/>
            </w:tabs>
            <w:rPr>
              <w:noProof/>
            </w:rPr>
          </w:pPr>
          <w:hyperlink w:anchor="_Toc224498857" w:history="1">
            <w:r w:rsidRPr="004E1B96">
              <w:rPr>
                <w:rStyle w:val="Hyperlink"/>
                <w:noProof/>
              </w:rPr>
              <w:t>Year-Over-Year Growth Analysis</w:t>
            </w:r>
            <w:r>
              <w:rPr>
                <w:noProof/>
              </w:rPr>
              <w:tab/>
            </w:r>
            <w:r>
              <w:rPr>
                <w:noProof/>
              </w:rPr>
              <w:fldChar w:fldCharType="begin"/>
            </w:r>
            <w:r>
              <w:rPr>
                <w:noProof/>
              </w:rPr>
              <w:instrText xml:space="preserve"> PAGEREF _Toc224498857 \h </w:instrText>
            </w:r>
            <w:r>
              <w:rPr>
                <w:noProof/>
              </w:rPr>
            </w:r>
            <w:r>
              <w:rPr>
                <w:noProof/>
              </w:rPr>
              <w:fldChar w:fldCharType="separate"/>
            </w:r>
            <w:r>
              <w:rPr>
                <w:noProof/>
              </w:rPr>
              <w:t>8</w:t>
            </w:r>
            <w:r>
              <w:rPr>
                <w:noProof/>
              </w:rPr>
              <w:fldChar w:fldCharType="end"/>
            </w:r>
          </w:hyperlink>
        </w:p>
        <w:p w14:paraId="1804E71B" w14:textId="54DD1C4A" w:rsidR="00356FD1" w:rsidRDefault="00356FD1">
          <w:pPr>
            <w:pStyle w:val="TOC2"/>
            <w:tabs>
              <w:tab w:val="right" w:leader="dot" w:pos="9638"/>
            </w:tabs>
            <w:rPr>
              <w:noProof/>
            </w:rPr>
          </w:pPr>
          <w:hyperlink w:anchor="_Toc224498858" w:history="1">
            <w:r w:rsidRPr="004E1B96">
              <w:rPr>
                <w:rStyle w:val="Hyperlink"/>
                <w:noProof/>
              </w:rPr>
              <w:t>Key Observation: The 1997–1998 Spike</w:t>
            </w:r>
            <w:r>
              <w:rPr>
                <w:noProof/>
              </w:rPr>
              <w:tab/>
            </w:r>
            <w:r>
              <w:rPr>
                <w:noProof/>
              </w:rPr>
              <w:fldChar w:fldCharType="begin"/>
            </w:r>
            <w:r>
              <w:rPr>
                <w:noProof/>
              </w:rPr>
              <w:instrText xml:space="preserve"> PAGEREF _Toc224498858 \h </w:instrText>
            </w:r>
            <w:r>
              <w:rPr>
                <w:noProof/>
              </w:rPr>
            </w:r>
            <w:r>
              <w:rPr>
                <w:noProof/>
              </w:rPr>
              <w:fldChar w:fldCharType="separate"/>
            </w:r>
            <w:r>
              <w:rPr>
                <w:noProof/>
              </w:rPr>
              <w:t>8</w:t>
            </w:r>
            <w:r>
              <w:rPr>
                <w:noProof/>
              </w:rPr>
              <w:fldChar w:fldCharType="end"/>
            </w:r>
          </w:hyperlink>
        </w:p>
        <w:p w14:paraId="0F22B441" w14:textId="44123342" w:rsidR="00356FD1" w:rsidRDefault="00356FD1">
          <w:pPr>
            <w:pStyle w:val="TOC1"/>
            <w:tabs>
              <w:tab w:val="right" w:leader="dot" w:pos="9638"/>
            </w:tabs>
            <w:rPr>
              <w:noProof/>
            </w:rPr>
          </w:pPr>
          <w:hyperlink w:anchor="_Toc224498859" w:history="1">
            <w:r w:rsidRPr="004E1B96">
              <w:rPr>
                <w:rStyle w:val="Hyperlink"/>
                <w:noProof/>
              </w:rPr>
              <w:t>Rolling Volatility - Belgium (3-Year Window)</w:t>
            </w:r>
            <w:r>
              <w:rPr>
                <w:noProof/>
              </w:rPr>
              <w:tab/>
            </w:r>
            <w:r>
              <w:rPr>
                <w:noProof/>
              </w:rPr>
              <w:fldChar w:fldCharType="begin"/>
            </w:r>
            <w:r>
              <w:rPr>
                <w:noProof/>
              </w:rPr>
              <w:instrText xml:space="preserve"> PAGEREF _Toc224498859 \h </w:instrText>
            </w:r>
            <w:r>
              <w:rPr>
                <w:noProof/>
              </w:rPr>
            </w:r>
            <w:r>
              <w:rPr>
                <w:noProof/>
              </w:rPr>
              <w:fldChar w:fldCharType="separate"/>
            </w:r>
            <w:r>
              <w:rPr>
                <w:noProof/>
              </w:rPr>
              <w:t>10</w:t>
            </w:r>
            <w:r>
              <w:rPr>
                <w:noProof/>
              </w:rPr>
              <w:fldChar w:fldCharType="end"/>
            </w:r>
          </w:hyperlink>
        </w:p>
        <w:p w14:paraId="4169D2FE" w14:textId="415118E4" w:rsidR="00356FD1" w:rsidRDefault="00356FD1">
          <w:pPr>
            <w:pStyle w:val="TOC2"/>
            <w:tabs>
              <w:tab w:val="right" w:leader="dot" w:pos="9638"/>
            </w:tabs>
            <w:rPr>
              <w:noProof/>
            </w:rPr>
          </w:pPr>
          <w:hyperlink w:anchor="_Toc224498860" w:history="1">
            <w:r w:rsidRPr="004E1B96">
              <w:rPr>
                <w:rStyle w:val="Hyperlink"/>
                <w:noProof/>
              </w:rPr>
              <w:t>Findings</w:t>
            </w:r>
            <w:r>
              <w:rPr>
                <w:noProof/>
              </w:rPr>
              <w:tab/>
            </w:r>
            <w:r>
              <w:rPr>
                <w:noProof/>
              </w:rPr>
              <w:fldChar w:fldCharType="begin"/>
            </w:r>
            <w:r>
              <w:rPr>
                <w:noProof/>
              </w:rPr>
              <w:instrText xml:space="preserve"> PAGEREF _Toc224498860 \h </w:instrText>
            </w:r>
            <w:r>
              <w:rPr>
                <w:noProof/>
              </w:rPr>
            </w:r>
            <w:r>
              <w:rPr>
                <w:noProof/>
              </w:rPr>
              <w:fldChar w:fldCharType="separate"/>
            </w:r>
            <w:r>
              <w:rPr>
                <w:noProof/>
              </w:rPr>
              <w:t>10</w:t>
            </w:r>
            <w:r>
              <w:rPr>
                <w:noProof/>
              </w:rPr>
              <w:fldChar w:fldCharType="end"/>
            </w:r>
          </w:hyperlink>
        </w:p>
        <w:p w14:paraId="13D028A7" w14:textId="0592B9A9" w:rsidR="00356FD1" w:rsidRDefault="00356FD1">
          <w:pPr>
            <w:pStyle w:val="TOC1"/>
            <w:tabs>
              <w:tab w:val="right" w:leader="dot" w:pos="9638"/>
            </w:tabs>
            <w:rPr>
              <w:noProof/>
            </w:rPr>
          </w:pPr>
          <w:hyperlink w:anchor="_Toc224498861" w:history="1">
            <w:r w:rsidRPr="004E1B96">
              <w:rPr>
                <w:rStyle w:val="Hyperlink"/>
                <w:noProof/>
              </w:rPr>
              <w:t>5-Year Market Forecast - Tobacco Exports</w:t>
            </w:r>
            <w:r>
              <w:rPr>
                <w:noProof/>
              </w:rPr>
              <w:tab/>
            </w:r>
            <w:r>
              <w:rPr>
                <w:noProof/>
              </w:rPr>
              <w:fldChar w:fldCharType="begin"/>
            </w:r>
            <w:r>
              <w:rPr>
                <w:noProof/>
              </w:rPr>
              <w:instrText xml:space="preserve"> PAGEREF _Toc224498861 \h </w:instrText>
            </w:r>
            <w:r>
              <w:rPr>
                <w:noProof/>
              </w:rPr>
            </w:r>
            <w:r>
              <w:rPr>
                <w:noProof/>
              </w:rPr>
              <w:fldChar w:fldCharType="separate"/>
            </w:r>
            <w:r>
              <w:rPr>
                <w:noProof/>
              </w:rPr>
              <w:t>11</w:t>
            </w:r>
            <w:r>
              <w:rPr>
                <w:noProof/>
              </w:rPr>
              <w:fldChar w:fldCharType="end"/>
            </w:r>
          </w:hyperlink>
        </w:p>
        <w:p w14:paraId="33B441FF" w14:textId="5415896D" w:rsidR="00356FD1" w:rsidRDefault="00356FD1">
          <w:pPr>
            <w:pStyle w:val="TOC2"/>
            <w:tabs>
              <w:tab w:val="right" w:leader="dot" w:pos="9638"/>
            </w:tabs>
            <w:rPr>
              <w:noProof/>
            </w:rPr>
          </w:pPr>
          <w:hyperlink w:anchor="_Toc224498862" w:history="1">
            <w:r w:rsidRPr="004E1B96">
              <w:rPr>
                <w:rStyle w:val="Hyperlink"/>
                <w:noProof/>
              </w:rPr>
              <w:t>Model Findings</w:t>
            </w:r>
            <w:r>
              <w:rPr>
                <w:noProof/>
              </w:rPr>
              <w:tab/>
            </w:r>
            <w:r>
              <w:rPr>
                <w:noProof/>
              </w:rPr>
              <w:fldChar w:fldCharType="begin"/>
            </w:r>
            <w:r>
              <w:rPr>
                <w:noProof/>
              </w:rPr>
              <w:instrText xml:space="preserve"> PAGEREF _Toc224498862 \h </w:instrText>
            </w:r>
            <w:r>
              <w:rPr>
                <w:noProof/>
              </w:rPr>
            </w:r>
            <w:r>
              <w:rPr>
                <w:noProof/>
              </w:rPr>
              <w:fldChar w:fldCharType="separate"/>
            </w:r>
            <w:r>
              <w:rPr>
                <w:noProof/>
              </w:rPr>
              <w:t>11</w:t>
            </w:r>
            <w:r>
              <w:rPr>
                <w:noProof/>
              </w:rPr>
              <w:fldChar w:fldCharType="end"/>
            </w:r>
          </w:hyperlink>
        </w:p>
        <w:p w14:paraId="25549760" w14:textId="6FBE9051" w:rsidR="00356FD1" w:rsidRDefault="00356FD1">
          <w:pPr>
            <w:pStyle w:val="TOC2"/>
            <w:tabs>
              <w:tab w:val="right" w:leader="dot" w:pos="9638"/>
            </w:tabs>
            <w:rPr>
              <w:noProof/>
            </w:rPr>
          </w:pPr>
          <w:hyperlink w:anchor="_Toc224498863" w:history="1">
            <w:r w:rsidRPr="004E1B96">
              <w:rPr>
                <w:rStyle w:val="Hyperlink"/>
                <w:noProof/>
              </w:rPr>
              <w:t>Model Limitations</w:t>
            </w:r>
            <w:r>
              <w:rPr>
                <w:noProof/>
              </w:rPr>
              <w:tab/>
            </w:r>
            <w:r>
              <w:rPr>
                <w:noProof/>
              </w:rPr>
              <w:fldChar w:fldCharType="begin"/>
            </w:r>
            <w:r>
              <w:rPr>
                <w:noProof/>
              </w:rPr>
              <w:instrText xml:space="preserve"> PAGEREF _Toc224498863 \h </w:instrText>
            </w:r>
            <w:r>
              <w:rPr>
                <w:noProof/>
              </w:rPr>
            </w:r>
            <w:r>
              <w:rPr>
                <w:noProof/>
              </w:rPr>
              <w:fldChar w:fldCharType="separate"/>
            </w:r>
            <w:r>
              <w:rPr>
                <w:noProof/>
              </w:rPr>
              <w:t>12</w:t>
            </w:r>
            <w:r>
              <w:rPr>
                <w:noProof/>
              </w:rPr>
              <w:fldChar w:fldCharType="end"/>
            </w:r>
          </w:hyperlink>
        </w:p>
        <w:p w14:paraId="393FF925" w14:textId="09F20A0D" w:rsidR="00356FD1" w:rsidRDefault="00356FD1">
          <w:pPr>
            <w:pStyle w:val="TOC1"/>
            <w:tabs>
              <w:tab w:val="right" w:leader="dot" w:pos="9638"/>
            </w:tabs>
            <w:rPr>
              <w:noProof/>
            </w:rPr>
          </w:pPr>
          <w:hyperlink w:anchor="_Toc224498864" w:history="1">
            <w:r w:rsidRPr="004E1B96">
              <w:rPr>
                <w:rStyle w:val="Hyperlink"/>
                <w:noProof/>
              </w:rPr>
              <w:t>Key Takeaways &amp; Strategic Implications</w:t>
            </w:r>
            <w:r>
              <w:rPr>
                <w:noProof/>
              </w:rPr>
              <w:tab/>
            </w:r>
            <w:r>
              <w:rPr>
                <w:noProof/>
              </w:rPr>
              <w:fldChar w:fldCharType="begin"/>
            </w:r>
            <w:r>
              <w:rPr>
                <w:noProof/>
              </w:rPr>
              <w:instrText xml:space="preserve"> PAGEREF _Toc224498864 \h </w:instrText>
            </w:r>
            <w:r>
              <w:rPr>
                <w:noProof/>
              </w:rPr>
            </w:r>
            <w:r>
              <w:rPr>
                <w:noProof/>
              </w:rPr>
              <w:fldChar w:fldCharType="separate"/>
            </w:r>
            <w:r>
              <w:rPr>
                <w:noProof/>
              </w:rPr>
              <w:t>13</w:t>
            </w:r>
            <w:r>
              <w:rPr>
                <w:noProof/>
              </w:rPr>
              <w:fldChar w:fldCharType="end"/>
            </w:r>
          </w:hyperlink>
        </w:p>
        <w:p w14:paraId="6645CDEA" w14:textId="133FD526" w:rsidR="00356FD1" w:rsidRDefault="00356FD1">
          <w:pPr>
            <w:pStyle w:val="TOC1"/>
            <w:tabs>
              <w:tab w:val="right" w:leader="dot" w:pos="9638"/>
            </w:tabs>
            <w:rPr>
              <w:noProof/>
            </w:rPr>
          </w:pPr>
          <w:hyperlink w:anchor="_Toc224498865" w:history="1">
            <w:r w:rsidRPr="004E1B96">
              <w:rPr>
                <w:rStyle w:val="Hyperlink"/>
                <w:noProof/>
              </w:rPr>
              <w:t>Data Source &amp; Citation</w:t>
            </w:r>
            <w:r>
              <w:rPr>
                <w:noProof/>
              </w:rPr>
              <w:tab/>
            </w:r>
            <w:r>
              <w:rPr>
                <w:noProof/>
              </w:rPr>
              <w:fldChar w:fldCharType="begin"/>
            </w:r>
            <w:r>
              <w:rPr>
                <w:noProof/>
              </w:rPr>
              <w:instrText xml:space="preserve"> PAGEREF _Toc224498865 \h </w:instrText>
            </w:r>
            <w:r>
              <w:rPr>
                <w:noProof/>
              </w:rPr>
            </w:r>
            <w:r>
              <w:rPr>
                <w:noProof/>
              </w:rPr>
              <w:fldChar w:fldCharType="separate"/>
            </w:r>
            <w:r>
              <w:rPr>
                <w:noProof/>
              </w:rPr>
              <w:t>14</w:t>
            </w:r>
            <w:r>
              <w:rPr>
                <w:noProof/>
              </w:rPr>
              <w:fldChar w:fldCharType="end"/>
            </w:r>
          </w:hyperlink>
        </w:p>
        <w:p w14:paraId="1EF9832B" w14:textId="56D56ACA" w:rsidR="00356FD1" w:rsidRDefault="00356FD1">
          <w:pPr>
            <w:pStyle w:val="TOC2"/>
            <w:tabs>
              <w:tab w:val="right" w:leader="dot" w:pos="9638"/>
            </w:tabs>
            <w:rPr>
              <w:noProof/>
            </w:rPr>
          </w:pPr>
          <w:hyperlink w:anchor="_Toc224498866" w:history="1">
            <w:r w:rsidRPr="004E1B96">
              <w:rPr>
                <w:rStyle w:val="Hyperlink"/>
                <w:noProof/>
              </w:rPr>
              <w:t>Acknowledgements</w:t>
            </w:r>
            <w:r>
              <w:rPr>
                <w:noProof/>
              </w:rPr>
              <w:tab/>
            </w:r>
            <w:r>
              <w:rPr>
                <w:noProof/>
              </w:rPr>
              <w:fldChar w:fldCharType="begin"/>
            </w:r>
            <w:r>
              <w:rPr>
                <w:noProof/>
              </w:rPr>
              <w:instrText xml:space="preserve"> PAGEREF _Toc224498866 \h </w:instrText>
            </w:r>
            <w:r>
              <w:rPr>
                <w:noProof/>
              </w:rPr>
            </w:r>
            <w:r>
              <w:rPr>
                <w:noProof/>
              </w:rPr>
              <w:fldChar w:fldCharType="separate"/>
            </w:r>
            <w:r>
              <w:rPr>
                <w:noProof/>
              </w:rPr>
              <w:t>14</w:t>
            </w:r>
            <w:r>
              <w:rPr>
                <w:noProof/>
              </w:rPr>
              <w:fldChar w:fldCharType="end"/>
            </w:r>
          </w:hyperlink>
        </w:p>
        <w:p w14:paraId="02A8F400" w14:textId="6529D772" w:rsidR="002D3F49" w:rsidRDefault="002B5707">
          <w:r>
            <w:fldChar w:fldCharType="end"/>
          </w:r>
        </w:p>
      </w:sdtContent>
    </w:sdt>
    <w:p w14:paraId="02A8F401" w14:textId="77777777" w:rsidR="002D3F49" w:rsidRDefault="002B5707">
      <w:r>
        <w:br w:type="page"/>
      </w:r>
    </w:p>
    <w:p w14:paraId="02A8F402" w14:textId="77777777" w:rsidR="002D3F49" w:rsidRDefault="002B5707">
      <w:pPr>
        <w:shd w:val="clear" w:color="auto" w:fill="1A7A8A"/>
        <w:spacing w:before="240" w:after="60"/>
      </w:pPr>
      <w:r>
        <w:rPr>
          <w:b/>
          <w:bCs/>
          <w:color w:val="FFFFFF"/>
          <w:sz w:val="18"/>
          <w:szCs w:val="18"/>
        </w:rPr>
        <w:lastRenderedPageBreak/>
        <w:t xml:space="preserve">  01  PROJECT OVERVIEW  </w:t>
      </w:r>
    </w:p>
    <w:p w14:paraId="02A8F403" w14:textId="77777777" w:rsidR="002D3F49" w:rsidRDefault="002B5707">
      <w:pPr>
        <w:pStyle w:val="Heading1"/>
      </w:pPr>
      <w:bookmarkStart w:id="1" w:name="_Toc224498844"/>
      <w:r>
        <w:t>Project Overview</w:t>
      </w:r>
      <w:bookmarkEnd w:id="1"/>
    </w:p>
    <w:p w14:paraId="02A8F404" w14:textId="77777777" w:rsidR="002D3F49" w:rsidRDefault="002D3F49">
      <w:pPr>
        <w:pBdr>
          <w:bottom w:val="single" w:sz="6" w:space="1" w:color="1A7A8A"/>
        </w:pBdr>
        <w:spacing w:after="160"/>
      </w:pPr>
    </w:p>
    <w:p w14:paraId="02A8F405" w14:textId="5D8EABA6" w:rsidR="002D3F49" w:rsidRDefault="002B5707">
      <w:pPr>
        <w:spacing w:after="120"/>
        <w:jc w:val="both"/>
      </w:pPr>
      <w:r>
        <w:t xml:space="preserve">Malawi is a landlocked sub-Saharan nation whose export economy is heavily shaped by a small number of agricultural commodities and a concentrated set of trading relationships. This project applies a multi-technique data analytics pipeline </w:t>
      </w:r>
      <w:r w:rsidR="00A92195">
        <w:t>-</w:t>
      </w:r>
      <w:r>
        <w:t xml:space="preserve"> built entirely in KNIME Analytics Platform </w:t>
      </w:r>
      <w:r w:rsidR="00A92195">
        <w:t>-</w:t>
      </w:r>
      <w:r>
        <w:t xml:space="preserve"> to 38 years of FAOSTAT trade data (1986–2024), covering all recorded export transactions between Malawi and its global trading partners.</w:t>
      </w:r>
    </w:p>
    <w:p w14:paraId="02A8F406" w14:textId="77777777" w:rsidR="002D3F49" w:rsidRDefault="002B5707">
      <w:pPr>
        <w:spacing w:after="120"/>
        <w:jc w:val="both"/>
      </w:pPr>
      <w:r>
        <w:t>The goal is to move beyond surface-level descriptive statistics and generate actionable intelligence across five analytical dimensions: trade concentration, partner and commodity clustering, year-over-year growth dynamics, rolling volatility, and forward-looking market prediction.</w:t>
      </w:r>
    </w:p>
    <w:p w14:paraId="02A8F407" w14:textId="77777777" w:rsidR="002D3F49" w:rsidRDefault="002B5707">
      <w:pPr>
        <w:pStyle w:val="Heading2"/>
        <w:spacing w:after="120"/>
      </w:pPr>
      <w:bookmarkStart w:id="2" w:name="_Toc224498845"/>
      <w:r>
        <w:rPr>
          <w:color w:val="0D1F3C"/>
          <w:sz w:val="28"/>
          <w:szCs w:val="28"/>
        </w:rPr>
        <w:t>Analytical Objectives</w:t>
      </w:r>
      <w:bookmarkEnd w:id="2"/>
    </w:p>
    <w:p w14:paraId="02A8F408" w14:textId="41E757F5" w:rsidR="002D3F49" w:rsidRDefault="002B5707">
      <w:pPr>
        <w:pStyle w:val="ListParagraph"/>
        <w:numPr>
          <w:ilvl w:val="0"/>
          <w:numId w:val="2"/>
        </w:numPr>
        <w:spacing w:after="80"/>
      </w:pPr>
      <w:r>
        <w:t xml:space="preserve">Identify structural concentration </w:t>
      </w:r>
      <w:r w:rsidR="00A92195">
        <w:t>-</w:t>
      </w:r>
      <w:r>
        <w:t xml:space="preserve"> quantify how much of Malawi's export value is carried by a single commodity and a single partner.</w:t>
      </w:r>
    </w:p>
    <w:p w14:paraId="02A8F409" w14:textId="4AD16A9D" w:rsidR="002D3F49" w:rsidRDefault="002B5707">
      <w:pPr>
        <w:pStyle w:val="ListParagraph"/>
        <w:numPr>
          <w:ilvl w:val="0"/>
          <w:numId w:val="2"/>
        </w:numPr>
        <w:spacing w:after="80"/>
      </w:pPr>
      <w:r>
        <w:t xml:space="preserve">Reveal natural groupings </w:t>
      </w:r>
      <w:r w:rsidR="00A92195">
        <w:t>-</w:t>
      </w:r>
      <w:r>
        <w:t xml:space="preserve"> use k-Means clustering and PCA to segment both trading partners and commodities into behaviorally similar groups.</w:t>
      </w:r>
    </w:p>
    <w:p w14:paraId="02A8F40A" w14:textId="4EA3CDEA" w:rsidR="002D3F49" w:rsidRDefault="002B5707">
      <w:pPr>
        <w:pStyle w:val="ListParagraph"/>
        <w:numPr>
          <w:ilvl w:val="0"/>
          <w:numId w:val="2"/>
        </w:numPr>
        <w:spacing w:after="80"/>
      </w:pPr>
      <w:r>
        <w:t xml:space="preserve">Track growth trends </w:t>
      </w:r>
      <w:r w:rsidR="00A92195">
        <w:t>-</w:t>
      </w:r>
      <w:r>
        <w:t xml:space="preserve"> compute year-over-year growth rates across the full dataset to identify inflection points and sustained trends.</w:t>
      </w:r>
    </w:p>
    <w:p w14:paraId="02A8F40B" w14:textId="3AB051B3" w:rsidR="002D3F49" w:rsidRDefault="002B5707">
      <w:pPr>
        <w:pStyle w:val="ListParagraph"/>
        <w:numPr>
          <w:ilvl w:val="0"/>
          <w:numId w:val="2"/>
        </w:numPr>
        <w:spacing w:after="80"/>
      </w:pPr>
      <w:r>
        <w:t xml:space="preserve">Measure trade risk </w:t>
      </w:r>
      <w:r w:rsidR="00A92195">
        <w:t>-</w:t>
      </w:r>
      <w:r>
        <w:t xml:space="preserve"> apply a 3-year rolling standard deviation to quantify export volatility with the top partner (Belgium).</w:t>
      </w:r>
    </w:p>
    <w:p w14:paraId="02A8F40C" w14:textId="0AC0F24F" w:rsidR="002D3F49" w:rsidRDefault="002B5707">
      <w:pPr>
        <w:pStyle w:val="ListParagraph"/>
        <w:numPr>
          <w:ilvl w:val="0"/>
          <w:numId w:val="2"/>
        </w:numPr>
        <w:spacing w:after="80"/>
      </w:pPr>
      <w:r>
        <w:t xml:space="preserve">Forecast future performance </w:t>
      </w:r>
      <w:r w:rsidR="00A92195">
        <w:t>-</w:t>
      </w:r>
      <w:r>
        <w:t xml:space="preserve"> train a linear regression model on tobacco export history and project values through 2029.</w:t>
      </w:r>
    </w:p>
    <w:p w14:paraId="02A8F40D" w14:textId="77777777" w:rsidR="002D3F49" w:rsidRDefault="002D3F49">
      <w:pPr>
        <w:spacing w:after="100"/>
      </w:pPr>
    </w:p>
    <w:p w14:paraId="02A8F40E" w14:textId="77777777" w:rsidR="002D3F49" w:rsidRDefault="002B5707">
      <w:pPr>
        <w:pStyle w:val="Heading2"/>
        <w:spacing w:after="120"/>
      </w:pPr>
      <w:bookmarkStart w:id="3" w:name="_Toc224498846"/>
      <w:r>
        <w:rPr>
          <w:color w:val="0D1F3C"/>
          <w:sz w:val="28"/>
          <w:szCs w:val="28"/>
        </w:rPr>
        <w:t>Tools &amp; Technology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D3F49" w14:paraId="02A8F411" w14:textId="77777777">
        <w:tc>
          <w:tcPr>
            <w:tcW w:w="30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0F" w14:textId="77777777" w:rsidR="002D3F49" w:rsidRDefault="002B5707">
            <w:r>
              <w:rPr>
                <w:b/>
                <w:bCs/>
                <w:color w:val="FFFFFF"/>
                <w:sz w:val="18"/>
                <w:szCs w:val="18"/>
              </w:rPr>
              <w:t>Tool</w:t>
            </w:r>
          </w:p>
        </w:tc>
        <w:tc>
          <w:tcPr>
            <w:tcW w:w="636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10" w14:textId="77777777" w:rsidR="002D3F49" w:rsidRDefault="002B5707">
            <w:r>
              <w:rPr>
                <w:b/>
                <w:bCs/>
                <w:color w:val="FFFFFF"/>
                <w:sz w:val="18"/>
                <w:szCs w:val="18"/>
              </w:rPr>
              <w:t>Role in Project</w:t>
            </w:r>
          </w:p>
        </w:tc>
      </w:tr>
      <w:tr w:rsidR="002D3F49" w14:paraId="02A8F414" w14:textId="77777777">
        <w:tc>
          <w:tcPr>
            <w:tcW w:w="3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2" w14:textId="77777777" w:rsidR="002D3F49" w:rsidRDefault="002B5707">
            <w:r>
              <w:rPr>
                <w:sz w:val="18"/>
                <w:szCs w:val="18"/>
              </w:rPr>
              <w:t>KNIME Analytics Platform</w:t>
            </w:r>
          </w:p>
        </w:tc>
        <w:tc>
          <w:tcPr>
            <w:tcW w:w="63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3" w14:textId="77777777" w:rsidR="002D3F49" w:rsidRDefault="002B5707">
            <w:r>
              <w:rPr>
                <w:sz w:val="18"/>
                <w:szCs w:val="18"/>
              </w:rPr>
              <w:t>End-to-end data pipeline: preprocessing, analysis, visualization</w:t>
            </w:r>
          </w:p>
        </w:tc>
      </w:tr>
      <w:tr w:rsidR="002D3F49" w14:paraId="02A8F417" w14:textId="77777777">
        <w:tc>
          <w:tcPr>
            <w:tcW w:w="3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15" w14:textId="77777777" w:rsidR="002D3F49" w:rsidRDefault="002B5707">
            <w:r>
              <w:rPr>
                <w:sz w:val="18"/>
                <w:szCs w:val="18"/>
              </w:rPr>
              <w:t>k-Means Clustering</w:t>
            </w:r>
          </w:p>
        </w:tc>
        <w:tc>
          <w:tcPr>
            <w:tcW w:w="63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16" w14:textId="77777777" w:rsidR="002D3F49" w:rsidRDefault="002B5707">
            <w:r>
              <w:rPr>
                <w:sz w:val="18"/>
                <w:szCs w:val="18"/>
              </w:rPr>
              <w:t>Unsupervised grouping of partners and commodities</w:t>
            </w:r>
          </w:p>
        </w:tc>
      </w:tr>
      <w:tr w:rsidR="002D3F49" w14:paraId="02A8F41A" w14:textId="77777777">
        <w:tc>
          <w:tcPr>
            <w:tcW w:w="3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8" w14:textId="77777777" w:rsidR="002D3F49" w:rsidRDefault="002B5707">
            <w:r>
              <w:rPr>
                <w:sz w:val="18"/>
                <w:szCs w:val="18"/>
              </w:rPr>
              <w:t>PCA (Principal Component Analysis)</w:t>
            </w:r>
          </w:p>
        </w:tc>
        <w:tc>
          <w:tcPr>
            <w:tcW w:w="63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9" w14:textId="77777777" w:rsidR="002D3F49" w:rsidRDefault="002B5707">
            <w:r>
              <w:rPr>
                <w:sz w:val="18"/>
                <w:szCs w:val="18"/>
              </w:rPr>
              <w:t>Dimensionality reduction for cluster visualization</w:t>
            </w:r>
          </w:p>
        </w:tc>
      </w:tr>
      <w:tr w:rsidR="002D3F49" w14:paraId="02A8F41D" w14:textId="77777777">
        <w:tc>
          <w:tcPr>
            <w:tcW w:w="3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1B" w14:textId="77777777" w:rsidR="002D3F49" w:rsidRDefault="002B5707">
            <w:r>
              <w:rPr>
                <w:sz w:val="18"/>
                <w:szCs w:val="18"/>
              </w:rPr>
              <w:t>Linear Regression (Learner/Predictor)</w:t>
            </w:r>
          </w:p>
        </w:tc>
        <w:tc>
          <w:tcPr>
            <w:tcW w:w="63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1C" w14:textId="77777777" w:rsidR="002D3F49" w:rsidRDefault="002B5707">
            <w:r>
              <w:rPr>
                <w:sz w:val="18"/>
                <w:szCs w:val="18"/>
              </w:rPr>
              <w:t>5-year export value forecasting</w:t>
            </w:r>
          </w:p>
        </w:tc>
      </w:tr>
      <w:tr w:rsidR="002D3F49" w14:paraId="02A8F420" w14:textId="77777777">
        <w:tc>
          <w:tcPr>
            <w:tcW w:w="3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E" w14:textId="77777777" w:rsidR="002D3F49" w:rsidRDefault="002B5707">
            <w:r>
              <w:rPr>
                <w:sz w:val="18"/>
                <w:szCs w:val="18"/>
              </w:rPr>
              <w:t>Moving Aggregator Node</w:t>
            </w:r>
          </w:p>
        </w:tc>
        <w:tc>
          <w:tcPr>
            <w:tcW w:w="63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1F" w14:textId="77777777" w:rsidR="002D3F49" w:rsidRDefault="002B5707">
            <w:r>
              <w:rPr>
                <w:sz w:val="18"/>
                <w:szCs w:val="18"/>
              </w:rPr>
              <w:t>Rolling 3-year standard deviation for volatility analysis</w:t>
            </w:r>
          </w:p>
        </w:tc>
      </w:tr>
      <w:tr w:rsidR="002D3F49" w14:paraId="02A8F423" w14:textId="77777777">
        <w:tc>
          <w:tcPr>
            <w:tcW w:w="3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21" w14:textId="77777777" w:rsidR="002D3F49" w:rsidRDefault="002B5707">
            <w:r>
              <w:rPr>
                <w:sz w:val="18"/>
                <w:szCs w:val="18"/>
              </w:rPr>
              <w:t>FAOSTAT (fao.org/</w:t>
            </w:r>
            <w:proofErr w:type="spellStart"/>
            <w:r>
              <w:rPr>
                <w:sz w:val="18"/>
                <w:szCs w:val="18"/>
              </w:rPr>
              <w:t>faostat</w:t>
            </w:r>
            <w:proofErr w:type="spellEnd"/>
            <w:r>
              <w:rPr>
                <w:sz w:val="18"/>
                <w:szCs w:val="18"/>
              </w:rPr>
              <w:t>)</w:t>
            </w:r>
          </w:p>
        </w:tc>
        <w:tc>
          <w:tcPr>
            <w:tcW w:w="63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22" w14:textId="086B41FE" w:rsidR="002D3F49" w:rsidRDefault="002B5707">
            <w:r>
              <w:rPr>
                <w:sz w:val="18"/>
                <w:szCs w:val="18"/>
              </w:rPr>
              <w:t xml:space="preserve">Primary data source </w:t>
            </w:r>
            <w:r w:rsidR="00A92195">
              <w:rPr>
                <w:sz w:val="18"/>
                <w:szCs w:val="18"/>
              </w:rPr>
              <w:t>-</w:t>
            </w:r>
            <w:r>
              <w:rPr>
                <w:sz w:val="18"/>
                <w:szCs w:val="18"/>
              </w:rPr>
              <w:t xml:space="preserve"> international agricultural trade data</w:t>
            </w:r>
          </w:p>
        </w:tc>
      </w:tr>
    </w:tbl>
    <w:p w14:paraId="02A8F424" w14:textId="77777777" w:rsidR="002D3F49" w:rsidRDefault="002B5707">
      <w:r>
        <w:br w:type="page"/>
      </w:r>
    </w:p>
    <w:p w14:paraId="02A8F425" w14:textId="77777777" w:rsidR="002D3F49" w:rsidRDefault="002B5707">
      <w:pPr>
        <w:shd w:val="clear" w:color="auto" w:fill="1A7A8A"/>
        <w:spacing w:before="240" w:after="60"/>
      </w:pPr>
      <w:r>
        <w:rPr>
          <w:b/>
          <w:bCs/>
          <w:color w:val="FFFFFF"/>
          <w:sz w:val="18"/>
          <w:szCs w:val="18"/>
        </w:rPr>
        <w:lastRenderedPageBreak/>
        <w:t xml:space="preserve">  02  METHODOLOGY  </w:t>
      </w:r>
    </w:p>
    <w:p w14:paraId="02A8F426" w14:textId="77777777" w:rsidR="002D3F49" w:rsidRDefault="002B5707">
      <w:pPr>
        <w:pStyle w:val="Heading1"/>
      </w:pPr>
      <w:bookmarkStart w:id="4" w:name="_Toc224498847"/>
      <w:r>
        <w:t>Analytical Methodology</w:t>
      </w:r>
      <w:bookmarkEnd w:id="4"/>
    </w:p>
    <w:p w14:paraId="02A8F427" w14:textId="77777777" w:rsidR="002D3F49" w:rsidRDefault="002D3F49">
      <w:pPr>
        <w:pBdr>
          <w:bottom w:val="single" w:sz="6" w:space="1" w:color="1A7A8A"/>
        </w:pBdr>
        <w:spacing w:after="160"/>
      </w:pPr>
    </w:p>
    <w:p w14:paraId="02A8F428" w14:textId="77777777" w:rsidR="002D3F49" w:rsidRDefault="002B5707">
      <w:pPr>
        <w:spacing w:after="120"/>
        <w:jc w:val="both"/>
      </w:pPr>
      <w:r>
        <w:t>The project was structured as a modular KNIME workflow, with each analytical section receiving a preprocessed data feed from a shared Data Preprocessing branch. This design ensures consistency across all analyses and allows each module to be updated independently.</w:t>
      </w:r>
    </w:p>
    <w:p w14:paraId="02A8F429" w14:textId="77777777" w:rsidR="002D3F49" w:rsidRDefault="002B5707">
      <w:pPr>
        <w:pStyle w:val="Heading2"/>
        <w:spacing w:after="120"/>
      </w:pPr>
      <w:bookmarkStart w:id="5" w:name="_Toc224498848"/>
      <w:r>
        <w:rPr>
          <w:color w:val="0D1F3C"/>
          <w:sz w:val="28"/>
          <w:szCs w:val="28"/>
        </w:rPr>
        <w:t>Pipeline Architecture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960"/>
      </w:tblGrid>
      <w:tr w:rsidR="002D3F49" w14:paraId="02A8F42D" w14:textId="77777777">
        <w:tc>
          <w:tcPr>
            <w:tcW w:w="20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2A" w14:textId="77777777" w:rsidR="002D3F49" w:rsidRDefault="002B5707">
            <w:r>
              <w:rPr>
                <w:b/>
                <w:bCs/>
                <w:color w:val="FFFFFF"/>
                <w:sz w:val="18"/>
                <w:szCs w:val="18"/>
              </w:rPr>
              <w:t>Stage</w:t>
            </w:r>
          </w:p>
        </w:tc>
        <w:tc>
          <w:tcPr>
            <w:tcW w:w="44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2B" w14:textId="77777777" w:rsidR="002D3F49" w:rsidRDefault="002B5707">
            <w:r>
              <w:rPr>
                <w:b/>
                <w:bCs/>
                <w:color w:val="FFFFFF"/>
                <w:sz w:val="18"/>
                <w:szCs w:val="18"/>
              </w:rPr>
              <w:t>Nodes Used</w:t>
            </w:r>
          </w:p>
        </w:tc>
        <w:tc>
          <w:tcPr>
            <w:tcW w:w="296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2C" w14:textId="77777777" w:rsidR="002D3F49" w:rsidRDefault="002B5707">
            <w:r>
              <w:rPr>
                <w:b/>
                <w:bCs/>
                <w:color w:val="FFFFFF"/>
                <w:sz w:val="18"/>
                <w:szCs w:val="18"/>
              </w:rPr>
              <w:t>Output</w:t>
            </w:r>
          </w:p>
        </w:tc>
      </w:tr>
      <w:tr w:rsidR="002D3F49" w14:paraId="02A8F431" w14:textId="77777777">
        <w:tc>
          <w:tcPr>
            <w:tcW w:w="2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2E" w14:textId="77777777" w:rsidR="002D3F49" w:rsidRDefault="002B5707">
            <w:r>
              <w:rPr>
                <w:sz w:val="18"/>
                <w:szCs w:val="18"/>
              </w:rPr>
              <w:t>Data Preprocessing</w:t>
            </w:r>
          </w:p>
        </w:tc>
        <w:tc>
          <w:tcPr>
            <w:tcW w:w="4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2F" w14:textId="77777777" w:rsidR="002D3F49" w:rsidRDefault="002B5707">
            <w:r>
              <w:rPr>
                <w:sz w:val="18"/>
                <w:szCs w:val="18"/>
              </w:rPr>
              <w:t xml:space="preserve">CSV Reader → Row/Column Filter → Unpivot → </w:t>
            </w:r>
            <w:proofErr w:type="spellStart"/>
            <w:r>
              <w:rPr>
                <w:sz w:val="18"/>
                <w:szCs w:val="18"/>
              </w:rPr>
              <w:t>Renamer</w:t>
            </w:r>
            <w:proofErr w:type="spellEnd"/>
            <w:r>
              <w:rPr>
                <w:sz w:val="18"/>
                <w:szCs w:val="18"/>
              </w:rPr>
              <w:t xml:space="preserve"> → String to Date → Auto Type Cast → Math Formula</w:t>
            </w:r>
          </w:p>
        </w:tc>
        <w:tc>
          <w:tcPr>
            <w:tcW w:w="2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0" w14:textId="77777777" w:rsidR="002D3F49" w:rsidRDefault="002B5707">
            <w:r>
              <w:rPr>
                <w:sz w:val="18"/>
                <w:szCs w:val="18"/>
              </w:rPr>
              <w:t>Cleaned, typed, long-format trade table</w:t>
            </w:r>
          </w:p>
        </w:tc>
      </w:tr>
      <w:tr w:rsidR="002D3F49" w14:paraId="02A8F435" w14:textId="77777777">
        <w:tc>
          <w:tcPr>
            <w:tcW w:w="2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2" w14:textId="77777777" w:rsidR="002D3F49" w:rsidRDefault="002B5707">
            <w:r>
              <w:rPr>
                <w:sz w:val="18"/>
                <w:szCs w:val="18"/>
              </w:rPr>
              <w:t>Concentration Metrics</w:t>
            </w:r>
          </w:p>
        </w:tc>
        <w:tc>
          <w:tcPr>
            <w:tcW w:w="4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3" w14:textId="77777777" w:rsidR="002D3F49" w:rsidRDefault="002B5707">
            <w:proofErr w:type="spellStart"/>
            <w:r>
              <w:rPr>
                <w:sz w:val="18"/>
                <w:szCs w:val="18"/>
              </w:rPr>
              <w:t>GroupBy</w:t>
            </w:r>
            <w:proofErr w:type="spellEnd"/>
            <w:r>
              <w:rPr>
                <w:sz w:val="18"/>
                <w:szCs w:val="18"/>
              </w:rPr>
              <w:t xml:space="preserve"> → Sorter → Row Filter → Column </w:t>
            </w:r>
            <w:proofErr w:type="spellStart"/>
            <w:r>
              <w:rPr>
                <w:sz w:val="18"/>
                <w:szCs w:val="18"/>
              </w:rPr>
              <w:t>Appender</w:t>
            </w:r>
            <w:proofErr w:type="spellEnd"/>
            <w:r>
              <w:rPr>
                <w:sz w:val="18"/>
                <w:szCs w:val="18"/>
              </w:rPr>
              <w:t xml:space="preserve"> → </w:t>
            </w:r>
            <w:proofErr w:type="spellStart"/>
            <w:r>
              <w:rPr>
                <w:sz w:val="18"/>
                <w:szCs w:val="18"/>
              </w:rPr>
              <w:t>Renamer</w:t>
            </w:r>
            <w:proofErr w:type="spellEnd"/>
            <w:r>
              <w:rPr>
                <w:sz w:val="18"/>
                <w:szCs w:val="18"/>
              </w:rPr>
              <w:t xml:space="preserve"> → Math Formula → Pie Chart</w:t>
            </w:r>
          </w:p>
        </w:tc>
        <w:tc>
          <w:tcPr>
            <w:tcW w:w="2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4" w14:textId="77777777" w:rsidR="002D3F49" w:rsidRDefault="002B5707">
            <w:r>
              <w:rPr>
                <w:sz w:val="18"/>
                <w:szCs w:val="18"/>
              </w:rPr>
              <w:t>Top 10 partners &amp; commodities by export share</w:t>
            </w:r>
          </w:p>
        </w:tc>
      </w:tr>
      <w:tr w:rsidR="002D3F49" w14:paraId="02A8F439" w14:textId="77777777">
        <w:tc>
          <w:tcPr>
            <w:tcW w:w="2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6" w14:textId="77777777" w:rsidR="002D3F49" w:rsidRDefault="002B5707">
            <w:r>
              <w:rPr>
                <w:sz w:val="18"/>
                <w:szCs w:val="18"/>
              </w:rPr>
              <w:t>Clustering</w:t>
            </w:r>
          </w:p>
        </w:tc>
        <w:tc>
          <w:tcPr>
            <w:tcW w:w="4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7" w14:textId="77777777" w:rsidR="002D3F49" w:rsidRDefault="002B5707">
            <w:r>
              <w:rPr>
                <w:sz w:val="18"/>
                <w:szCs w:val="18"/>
              </w:rPr>
              <w:t>Pivot → Missing Value → Normalizer → k-Means → Color Manager → PCA → Scatter Plot</w:t>
            </w:r>
          </w:p>
        </w:tc>
        <w:tc>
          <w:tcPr>
            <w:tcW w:w="2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8" w14:textId="77777777" w:rsidR="002D3F49" w:rsidRDefault="002B5707">
            <w:r>
              <w:rPr>
                <w:sz w:val="18"/>
                <w:szCs w:val="18"/>
              </w:rPr>
              <w:t>Cluster assignments + PCA scatter plots</w:t>
            </w:r>
          </w:p>
        </w:tc>
      </w:tr>
      <w:tr w:rsidR="002D3F49" w14:paraId="02A8F43D" w14:textId="77777777">
        <w:tc>
          <w:tcPr>
            <w:tcW w:w="2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A" w14:textId="77777777" w:rsidR="002D3F49" w:rsidRDefault="002B5707">
            <w:r>
              <w:rPr>
                <w:sz w:val="18"/>
                <w:szCs w:val="18"/>
              </w:rPr>
              <w:t>YoY Growth</w:t>
            </w:r>
          </w:p>
        </w:tc>
        <w:tc>
          <w:tcPr>
            <w:tcW w:w="4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B" w14:textId="77777777" w:rsidR="002D3F49" w:rsidRDefault="002B5707">
            <w:proofErr w:type="spellStart"/>
            <w:r>
              <w:rPr>
                <w:sz w:val="18"/>
                <w:szCs w:val="18"/>
              </w:rPr>
              <w:t>GroupBy</w:t>
            </w:r>
            <w:proofErr w:type="spellEnd"/>
            <w:r>
              <w:rPr>
                <w:sz w:val="18"/>
                <w:szCs w:val="18"/>
              </w:rPr>
              <w:t xml:space="preserve"> → Lag Column → Math Formula → Line Plot</w:t>
            </w:r>
          </w:p>
        </w:tc>
        <w:tc>
          <w:tcPr>
            <w:tcW w:w="2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3C" w14:textId="77777777" w:rsidR="002D3F49" w:rsidRDefault="002B5707">
            <w:r>
              <w:rPr>
                <w:sz w:val="18"/>
                <w:szCs w:val="18"/>
              </w:rPr>
              <w:t>Annual growth % time series</w:t>
            </w:r>
          </w:p>
        </w:tc>
      </w:tr>
      <w:tr w:rsidR="002D3F49" w14:paraId="02A8F441" w14:textId="77777777">
        <w:tc>
          <w:tcPr>
            <w:tcW w:w="20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E" w14:textId="77777777" w:rsidR="002D3F49" w:rsidRDefault="002B5707">
            <w:r>
              <w:rPr>
                <w:sz w:val="18"/>
                <w:szCs w:val="18"/>
              </w:rPr>
              <w:t>Rolling Volatility</w:t>
            </w:r>
          </w:p>
        </w:tc>
        <w:tc>
          <w:tcPr>
            <w:tcW w:w="4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3F" w14:textId="77777777" w:rsidR="002D3F49" w:rsidRDefault="002B5707">
            <w:r>
              <w:rPr>
                <w:sz w:val="18"/>
                <w:szCs w:val="18"/>
              </w:rPr>
              <w:t>Row Filter → Moving Aggregator → Line Plot</w:t>
            </w:r>
          </w:p>
        </w:tc>
        <w:tc>
          <w:tcPr>
            <w:tcW w:w="2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40" w14:textId="77777777" w:rsidR="002D3F49" w:rsidRDefault="002B5707">
            <w:r>
              <w:rPr>
                <w:sz w:val="18"/>
                <w:szCs w:val="18"/>
              </w:rPr>
              <w:t>3-year rolling std. dev. for Belgium</w:t>
            </w:r>
          </w:p>
        </w:tc>
      </w:tr>
      <w:tr w:rsidR="002D3F49" w14:paraId="02A8F445" w14:textId="77777777">
        <w:tc>
          <w:tcPr>
            <w:tcW w:w="20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42" w14:textId="77777777" w:rsidR="002D3F49" w:rsidRDefault="002B5707">
            <w:r>
              <w:rPr>
                <w:sz w:val="18"/>
                <w:szCs w:val="18"/>
              </w:rPr>
              <w:t>5-Year Forecast</w:t>
            </w:r>
          </w:p>
        </w:tc>
        <w:tc>
          <w:tcPr>
            <w:tcW w:w="4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43" w14:textId="77777777" w:rsidR="002D3F49" w:rsidRDefault="002B5707">
            <w:proofErr w:type="spellStart"/>
            <w:r>
              <w:rPr>
                <w:sz w:val="18"/>
                <w:szCs w:val="18"/>
              </w:rPr>
              <w:t>GroupBy</w:t>
            </w:r>
            <w:proofErr w:type="spellEnd"/>
            <w:r>
              <w:rPr>
                <w:sz w:val="18"/>
                <w:szCs w:val="18"/>
              </w:rPr>
              <w:t xml:space="preserve"> → Table Partitioner → LR Learner → Regression Predictor → Concatenate → Line Plot</w:t>
            </w:r>
          </w:p>
        </w:tc>
        <w:tc>
          <w:tcPr>
            <w:tcW w:w="2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44" w14:textId="77777777" w:rsidR="002D3F49" w:rsidRDefault="002B5707">
            <w:r>
              <w:rPr>
                <w:sz w:val="18"/>
                <w:szCs w:val="18"/>
              </w:rPr>
              <w:t>Tobacco export forecast through 2029</w:t>
            </w:r>
          </w:p>
        </w:tc>
      </w:tr>
    </w:tbl>
    <w:p w14:paraId="02A8F446" w14:textId="77777777" w:rsidR="002D3F49" w:rsidRDefault="002D3F49">
      <w:pPr>
        <w:spacing w:after="120"/>
      </w:pPr>
    </w:p>
    <w:p w14:paraId="02A8F447" w14:textId="77777777" w:rsidR="002D3F49" w:rsidRDefault="002B5707">
      <w:pPr>
        <w:pStyle w:val="Heading2"/>
        <w:spacing w:after="120"/>
      </w:pPr>
      <w:bookmarkStart w:id="6" w:name="_Toc224498849"/>
      <w:r>
        <w:rPr>
          <w:color w:val="0D1F3C"/>
          <w:sz w:val="28"/>
          <w:szCs w:val="28"/>
        </w:rPr>
        <w:t>Data Preprocessing Notes</w:t>
      </w:r>
      <w:bookmarkEnd w:id="6"/>
    </w:p>
    <w:p w14:paraId="02A8F448" w14:textId="77777777" w:rsidR="002D3F49" w:rsidRDefault="002B5707">
      <w:pPr>
        <w:pStyle w:val="ListParagraph"/>
        <w:numPr>
          <w:ilvl w:val="0"/>
          <w:numId w:val="2"/>
        </w:numPr>
        <w:spacing w:after="80"/>
      </w:pPr>
      <w:r>
        <w:t>Raw FAOSTAT data was imported in wide format (one column per year) and unpivoted to long format to enable time-series operations.</w:t>
      </w:r>
    </w:p>
    <w:p w14:paraId="02A8F449" w14:textId="77777777" w:rsidR="002D3F49" w:rsidRDefault="002B5707">
      <w:pPr>
        <w:pStyle w:val="ListParagraph"/>
        <w:numPr>
          <w:ilvl w:val="0"/>
          <w:numId w:val="2"/>
        </w:numPr>
        <w:spacing w:after="80"/>
      </w:pPr>
      <w:r>
        <w:t xml:space="preserve">String date columns were cast to KNIME </w:t>
      </w:r>
      <w:proofErr w:type="spellStart"/>
      <w:r>
        <w:t>Date&amp;Time</w:t>
      </w:r>
      <w:proofErr w:type="spellEnd"/>
      <w:r>
        <w:t xml:space="preserve"> format, and numeric columns were </w:t>
      </w:r>
      <w:proofErr w:type="gramStart"/>
      <w:r>
        <w:t>auto-typed</w:t>
      </w:r>
      <w:proofErr w:type="gramEnd"/>
      <w:r>
        <w:t xml:space="preserve"> for compatibility with downstream math nodes.</w:t>
      </w:r>
    </w:p>
    <w:p w14:paraId="02A8F44A" w14:textId="77777777" w:rsidR="002D3F49" w:rsidRDefault="002B5707">
      <w:pPr>
        <w:pStyle w:val="ListParagraph"/>
        <w:numPr>
          <w:ilvl w:val="0"/>
          <w:numId w:val="2"/>
        </w:numPr>
        <w:spacing w:after="80"/>
      </w:pPr>
      <w:r>
        <w:t>Row and column filters were applied to isolate Malawi as the reporting country and remove non-export trade flow types.</w:t>
      </w:r>
    </w:p>
    <w:p w14:paraId="02A8F44B" w14:textId="77777777" w:rsidR="002D3F49" w:rsidRDefault="002B5707">
      <w:pPr>
        <w:pStyle w:val="ListParagraph"/>
        <w:numPr>
          <w:ilvl w:val="0"/>
          <w:numId w:val="2"/>
        </w:numPr>
        <w:spacing w:after="80"/>
      </w:pPr>
      <w:r>
        <w:t>A Math Formula node computed derived fields including export value aggregations and growth rate percentages.</w:t>
      </w:r>
    </w:p>
    <w:p w14:paraId="02A8F44C" w14:textId="77777777" w:rsidR="002D3F49" w:rsidRDefault="002B5707">
      <w:r>
        <w:br w:type="page"/>
      </w:r>
    </w:p>
    <w:p w14:paraId="02A8F44D" w14:textId="77777777" w:rsidR="002D3F49" w:rsidRDefault="002B5707">
      <w:pPr>
        <w:shd w:val="clear" w:color="auto" w:fill="1A7A8A"/>
        <w:spacing w:before="240" w:after="60"/>
      </w:pPr>
      <w:r>
        <w:rPr>
          <w:b/>
          <w:bCs/>
          <w:color w:val="FFFFFF"/>
          <w:sz w:val="18"/>
          <w:szCs w:val="18"/>
        </w:rPr>
        <w:lastRenderedPageBreak/>
        <w:t xml:space="preserve">  03  CONCENTRATION METRICS  </w:t>
      </w:r>
    </w:p>
    <w:p w14:paraId="02A8F44E" w14:textId="77777777" w:rsidR="002D3F49" w:rsidRDefault="002B5707">
      <w:pPr>
        <w:pStyle w:val="Heading1"/>
      </w:pPr>
      <w:bookmarkStart w:id="7" w:name="_Toc224498850"/>
      <w:r>
        <w:t>Export Concentration Metrics</w:t>
      </w:r>
      <w:bookmarkEnd w:id="7"/>
    </w:p>
    <w:p w14:paraId="02A8F44F" w14:textId="77777777" w:rsidR="002D3F49" w:rsidRDefault="002D3F49">
      <w:pPr>
        <w:pBdr>
          <w:bottom w:val="single" w:sz="6" w:space="1" w:color="1A7A8A"/>
        </w:pBdr>
        <w:spacing w:after="160"/>
      </w:pPr>
    </w:p>
    <w:p w14:paraId="02A8F450" w14:textId="77777777" w:rsidR="002D3F49" w:rsidRDefault="002B5707">
      <w:pPr>
        <w:spacing w:after="120"/>
        <w:jc w:val="both"/>
      </w:pPr>
      <w:r>
        <w:t>The concentration analysis reveals two critical structural features of Malawi's export economy: extreme commodity dependence and a narrow partner base. Both represent significant risk factors for long-term trade stability.</w:t>
      </w:r>
    </w:p>
    <w:p w14:paraId="02A8F451"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4"/>
        <w:gridCol w:w="4824"/>
      </w:tblGrid>
      <w:tr w:rsidR="002D3F49" w14:paraId="02A8F454" w14:textId="77777777">
        <w:tc>
          <w:tcPr>
            <w:tcW w:w="4680" w:type="dxa"/>
            <w:tcBorders>
              <w:top w:val="none" w:sz="0" w:space="0" w:color="FFFFFF"/>
              <w:left w:val="none" w:sz="0" w:space="0" w:color="FFFFFF"/>
              <w:bottom w:val="none" w:sz="0" w:space="0" w:color="FFFFFF"/>
              <w:right w:val="none" w:sz="0" w:space="0" w:color="FFFFFF"/>
            </w:tcBorders>
          </w:tcPr>
          <w:p w14:paraId="02A8F452" w14:textId="77777777" w:rsidR="002D3F49" w:rsidRDefault="002B5707">
            <w:pPr>
              <w:spacing w:after="40"/>
              <w:jc w:val="center"/>
            </w:pPr>
            <w:r>
              <w:rPr>
                <w:noProof/>
              </w:rPr>
              <w:drawing>
                <wp:inline distT="0" distB="0" distL="0" distR="0" wp14:anchorId="02A8F4FA" wp14:editId="02A8F4FB">
                  <wp:extent cx="3933825"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286702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2A8F453" w14:textId="77777777" w:rsidR="002D3F49" w:rsidRDefault="002B5707">
            <w:pPr>
              <w:spacing w:after="40"/>
              <w:jc w:val="center"/>
            </w:pPr>
            <w:r>
              <w:rPr>
                <w:noProof/>
              </w:rPr>
              <w:drawing>
                <wp:inline distT="0" distB="0" distL="0" distR="0" wp14:anchorId="02A8F4FC" wp14:editId="02A8F4FD">
                  <wp:extent cx="3933825" cy="2867025"/>
                  <wp:effectExtent l="0" t="0" r="0" b="0"/>
                  <wp:docPr id="267664168" name="Picture 26766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2867025"/>
                          </a:xfrm>
                          <a:prstGeom prst="rect">
                            <a:avLst/>
                          </a:prstGeom>
                        </pic:spPr>
                      </pic:pic>
                    </a:graphicData>
                  </a:graphic>
                </wp:inline>
              </w:drawing>
            </w:r>
          </w:p>
        </w:tc>
      </w:tr>
      <w:tr w:rsidR="002D3F49" w14:paraId="02A8F457" w14:textId="77777777">
        <w:tc>
          <w:tcPr>
            <w:tcW w:w="4680" w:type="dxa"/>
            <w:tcBorders>
              <w:top w:val="none" w:sz="0" w:space="0" w:color="FFFFFF"/>
              <w:left w:val="none" w:sz="0" w:space="0" w:color="FFFFFF"/>
              <w:bottom w:val="none" w:sz="0" w:space="0" w:color="FFFFFF"/>
              <w:right w:val="none" w:sz="0" w:space="0" w:color="FFFFFF"/>
            </w:tcBorders>
          </w:tcPr>
          <w:p w14:paraId="02A8F455" w14:textId="77777777" w:rsidR="002D3F49" w:rsidRDefault="002B5707">
            <w:pPr>
              <w:spacing w:after="120"/>
              <w:jc w:val="center"/>
            </w:pPr>
            <w:r>
              <w:rPr>
                <w:color w:val="8A96A3"/>
                <w:sz w:val="17"/>
                <w:szCs w:val="17"/>
              </w:rPr>
              <w:t>Figure 1: Top 10 Export Commodities by Share</w:t>
            </w:r>
          </w:p>
        </w:tc>
        <w:tc>
          <w:tcPr>
            <w:tcW w:w="4680" w:type="dxa"/>
            <w:tcBorders>
              <w:top w:val="none" w:sz="0" w:space="0" w:color="FFFFFF"/>
              <w:left w:val="none" w:sz="0" w:space="0" w:color="FFFFFF"/>
              <w:bottom w:val="none" w:sz="0" w:space="0" w:color="FFFFFF"/>
              <w:right w:val="none" w:sz="0" w:space="0" w:color="FFFFFF"/>
            </w:tcBorders>
          </w:tcPr>
          <w:p w14:paraId="02A8F456" w14:textId="77777777" w:rsidR="002D3F49" w:rsidRDefault="002B5707">
            <w:pPr>
              <w:spacing w:after="120"/>
              <w:jc w:val="center"/>
            </w:pPr>
            <w:r>
              <w:rPr>
                <w:color w:val="8A96A3"/>
                <w:sz w:val="17"/>
                <w:szCs w:val="17"/>
              </w:rPr>
              <w:t>Figure 2: Top 10 Trading Partners by Export Value</w:t>
            </w:r>
          </w:p>
        </w:tc>
      </w:tr>
    </w:tbl>
    <w:p w14:paraId="02A8F458" w14:textId="77777777" w:rsidR="002D3F49" w:rsidRDefault="002D3F49">
      <w:pPr>
        <w:spacing w:after="80"/>
      </w:pPr>
    </w:p>
    <w:p w14:paraId="02A8F459" w14:textId="77777777" w:rsidR="002D3F49" w:rsidRDefault="002B5707">
      <w:pPr>
        <w:pStyle w:val="Heading2"/>
        <w:spacing w:after="120"/>
      </w:pPr>
      <w:bookmarkStart w:id="8" w:name="_Toc224498851"/>
      <w:r>
        <w:rPr>
          <w:color w:val="0D1F3C"/>
          <w:sz w:val="28"/>
          <w:szCs w:val="28"/>
        </w:rPr>
        <w:t>Top Commodity Finding</w:t>
      </w:r>
      <w:bookmarkEnd w:id="8"/>
    </w:p>
    <w:p w14:paraId="02A8F45A" w14:textId="4D63D294" w:rsidR="002D3F49" w:rsidRDefault="002B5707">
      <w:pPr>
        <w:spacing w:after="120"/>
        <w:jc w:val="both"/>
      </w:pPr>
      <w:r>
        <w:t xml:space="preserve">Unmanufactured tobacco accounts for </w:t>
      </w:r>
      <w:r>
        <w:rPr>
          <w:b/>
          <w:bCs/>
          <w:color w:val="0D1F3C"/>
        </w:rPr>
        <w:t>67.39%</w:t>
      </w:r>
      <w:r>
        <w:t xml:space="preserve"> of Malawi's recorded export value across the entire 1986–2024 dataset </w:t>
      </w:r>
      <w:r w:rsidR="00A92195">
        <w:t>-</w:t>
      </w:r>
      <w:r>
        <w:t xml:space="preserve"> a strikingly dominant share. The remaining export portfolio is composed of tea leaves (9.78%), raw cane or beet sugar (8.70%), </w:t>
      </w:r>
      <w:proofErr w:type="gramStart"/>
      <w:r>
        <w:t>groundnuts</w:t>
      </w:r>
      <w:proofErr w:type="gramEnd"/>
      <w:r>
        <w:t xml:space="preserve"> shelled (3.26%), and a combined 'other' category (10.87%). This level of monoculture dependency is characteristic of economies where a single cash crop has historically defined the trade identity of the nation.</w:t>
      </w:r>
    </w:p>
    <w:p w14:paraId="02A8F45B" w14:textId="77777777" w:rsidR="002D3F49" w:rsidRDefault="002B5707">
      <w:pPr>
        <w:pStyle w:val="Heading2"/>
        <w:spacing w:after="120"/>
      </w:pPr>
      <w:bookmarkStart w:id="9" w:name="_Toc224498852"/>
      <w:r>
        <w:rPr>
          <w:color w:val="0D1F3C"/>
          <w:sz w:val="28"/>
          <w:szCs w:val="28"/>
        </w:rPr>
        <w:t>Top Partner Finding</w:t>
      </w:r>
      <w:bookmarkEnd w:id="9"/>
    </w:p>
    <w:p w14:paraId="02A8F45C" w14:textId="7802A466" w:rsidR="002D3F49" w:rsidRDefault="002B5707">
      <w:pPr>
        <w:spacing w:after="120"/>
        <w:jc w:val="both"/>
      </w:pPr>
      <w:r>
        <w:t xml:space="preserve">Belgium holds a commanding </w:t>
      </w:r>
      <w:r>
        <w:rPr>
          <w:b/>
          <w:bCs/>
          <w:color w:val="0D1F3C"/>
        </w:rPr>
        <w:t>23.73%</w:t>
      </w:r>
      <w:r>
        <w:t xml:space="preserve"> share of Malawi's export value, nearly double that of the second-ranked partner, South Africa (11.86%). The United States (10.17%), Germany (8.47%), and Egypt (8.48%) round out the top five. European nations collectively account for </w:t>
      </w:r>
      <w:proofErr w:type="gramStart"/>
      <w:r>
        <w:t>a majority of</w:t>
      </w:r>
      <w:proofErr w:type="gramEnd"/>
      <w:r>
        <w:t xml:space="preserve"> the top-tier partner weight, while African regional partners </w:t>
      </w:r>
      <w:r w:rsidR="00A92195">
        <w:t>-</w:t>
      </w:r>
      <w:r>
        <w:t xml:space="preserve"> South Africa, Zimbabwe, Kenya </w:t>
      </w:r>
      <w:r w:rsidR="00A92195">
        <w:t>-</w:t>
      </w:r>
      <w:r>
        <w:t xml:space="preserve"> represent a meaningful but secondary share.</w:t>
      </w:r>
    </w:p>
    <w:p w14:paraId="02A8F45D"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5F" w14:textId="77777777">
        <w:tc>
          <w:tcPr>
            <w:tcW w:w="9360" w:type="dxa"/>
            <w:tcBorders>
              <w:top w:val="none" w:sz="0" w:space="0" w:color="FFFFFF"/>
              <w:left w:val="single" w:sz="16" w:space="0" w:color="1A7A8A"/>
              <w:bottom w:val="none" w:sz="0" w:space="0" w:color="FFFFFF"/>
              <w:right w:val="none" w:sz="0" w:space="0" w:color="FFFFFF"/>
            </w:tcBorders>
            <w:shd w:val="clear" w:color="auto" w:fill="EAF4F6"/>
            <w:tcMar>
              <w:top w:w="120" w:type="dxa"/>
              <w:left w:w="200" w:type="dxa"/>
              <w:bottom w:w="120" w:type="dxa"/>
              <w:right w:w="120" w:type="dxa"/>
            </w:tcMar>
          </w:tcPr>
          <w:p w14:paraId="02A8F45E" w14:textId="77777777" w:rsidR="002D3F49" w:rsidRDefault="002B5707">
            <w:r>
              <w:rPr>
                <w:b/>
                <w:bCs/>
                <w:color w:val="0D1F3C"/>
              </w:rPr>
              <w:t xml:space="preserve">Concentration Risk:  </w:t>
            </w:r>
            <w:r>
              <w:t>Malawi's top commodity (tobacco) and top partner (Belgium) together represent a structural vulnerability. Any disruption in global tobacco demand or Belgium-based trade flows would have outsized consequences on total export revenue.</w:t>
            </w:r>
          </w:p>
        </w:tc>
      </w:tr>
    </w:tbl>
    <w:p w14:paraId="02A8F460" w14:textId="77777777" w:rsidR="002D3F49" w:rsidRDefault="002D3F49">
      <w:pPr>
        <w:spacing w:after="200"/>
      </w:pPr>
    </w:p>
    <w:p w14:paraId="02A8F461" w14:textId="2FF28361" w:rsidR="002D3F49" w:rsidRDefault="002B5707">
      <w:pPr>
        <w:pStyle w:val="Heading2"/>
        <w:spacing w:after="120"/>
      </w:pPr>
      <w:bookmarkStart w:id="10" w:name="_Toc224498853"/>
      <w:r>
        <w:rPr>
          <w:color w:val="0D1F3C"/>
          <w:sz w:val="28"/>
          <w:szCs w:val="28"/>
        </w:rPr>
        <w:lastRenderedPageBreak/>
        <w:t xml:space="preserve">Concentration Metrics </w:t>
      </w:r>
      <w:r w:rsidR="00A92195">
        <w:rPr>
          <w:color w:val="0D1F3C"/>
          <w:sz w:val="28"/>
          <w:szCs w:val="28"/>
        </w:rPr>
        <w:t>-</w:t>
      </w:r>
      <w:r>
        <w:rPr>
          <w:color w:val="0D1F3C"/>
          <w:sz w:val="28"/>
          <w:szCs w:val="28"/>
        </w:rPr>
        <w:t xml:space="preserve"> Data Tables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4"/>
        <w:gridCol w:w="4824"/>
      </w:tblGrid>
      <w:tr w:rsidR="002D3F49" w14:paraId="02A8F464" w14:textId="77777777">
        <w:tc>
          <w:tcPr>
            <w:tcW w:w="4680" w:type="dxa"/>
            <w:tcBorders>
              <w:top w:val="none" w:sz="0" w:space="0" w:color="FFFFFF"/>
              <w:left w:val="none" w:sz="0" w:space="0" w:color="FFFFFF"/>
              <w:bottom w:val="none" w:sz="0" w:space="0" w:color="FFFFFF"/>
              <w:right w:val="none" w:sz="0" w:space="0" w:color="FFFFFF"/>
            </w:tcBorders>
          </w:tcPr>
          <w:p w14:paraId="02A8F462" w14:textId="77777777" w:rsidR="002D3F49" w:rsidRDefault="002B5707">
            <w:pPr>
              <w:spacing w:after="40"/>
              <w:jc w:val="center"/>
            </w:pPr>
            <w:r>
              <w:rPr>
                <w:noProof/>
              </w:rPr>
              <w:drawing>
                <wp:inline distT="0" distB="0" distL="0" distR="0" wp14:anchorId="02A8F4FE" wp14:editId="02A8F4FF">
                  <wp:extent cx="3933825" cy="1409700"/>
                  <wp:effectExtent l="0" t="0" r="0" b="0"/>
                  <wp:docPr id="1423858111" name="Picture 142385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1409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2A8F463" w14:textId="77777777" w:rsidR="002D3F49" w:rsidRDefault="002B5707">
            <w:pPr>
              <w:spacing w:after="40"/>
              <w:jc w:val="center"/>
            </w:pPr>
            <w:r>
              <w:rPr>
                <w:noProof/>
              </w:rPr>
              <w:drawing>
                <wp:inline distT="0" distB="0" distL="0" distR="0" wp14:anchorId="02A8F500" wp14:editId="02A8F501">
                  <wp:extent cx="3933825" cy="1400175"/>
                  <wp:effectExtent l="0" t="0" r="0" b="0"/>
                  <wp:docPr id="1978421262" name="Picture 197842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33825" cy="1400175"/>
                          </a:xfrm>
                          <a:prstGeom prst="rect">
                            <a:avLst/>
                          </a:prstGeom>
                        </pic:spPr>
                      </pic:pic>
                    </a:graphicData>
                  </a:graphic>
                </wp:inline>
              </w:drawing>
            </w:r>
          </w:p>
        </w:tc>
      </w:tr>
      <w:tr w:rsidR="002D3F49" w14:paraId="02A8F467" w14:textId="77777777">
        <w:tc>
          <w:tcPr>
            <w:tcW w:w="4680" w:type="dxa"/>
            <w:tcBorders>
              <w:top w:val="none" w:sz="0" w:space="0" w:color="FFFFFF"/>
              <w:left w:val="none" w:sz="0" w:space="0" w:color="FFFFFF"/>
              <w:bottom w:val="none" w:sz="0" w:space="0" w:color="FFFFFF"/>
              <w:right w:val="none" w:sz="0" w:space="0" w:color="FFFFFF"/>
            </w:tcBorders>
          </w:tcPr>
          <w:p w14:paraId="02A8F465" w14:textId="720B407A" w:rsidR="002D3F49" w:rsidRDefault="002B5707">
            <w:pPr>
              <w:spacing w:after="120"/>
              <w:jc w:val="center"/>
            </w:pPr>
            <w:r>
              <w:rPr>
                <w:color w:val="8A96A3"/>
                <w:sz w:val="17"/>
                <w:szCs w:val="17"/>
              </w:rPr>
              <w:t xml:space="preserve">Table 1: Top 10 Products </w:t>
            </w:r>
            <w:r w:rsidR="00A92195">
              <w:rPr>
                <w:color w:val="8A96A3"/>
                <w:sz w:val="17"/>
                <w:szCs w:val="17"/>
              </w:rPr>
              <w:t>-</w:t>
            </w:r>
            <w:r>
              <w:rPr>
                <w:color w:val="8A96A3"/>
                <w:sz w:val="17"/>
                <w:szCs w:val="17"/>
              </w:rPr>
              <w:t xml:space="preserve"> Export Value</w:t>
            </w:r>
          </w:p>
        </w:tc>
        <w:tc>
          <w:tcPr>
            <w:tcW w:w="4680" w:type="dxa"/>
            <w:tcBorders>
              <w:top w:val="none" w:sz="0" w:space="0" w:color="FFFFFF"/>
              <w:left w:val="none" w:sz="0" w:space="0" w:color="FFFFFF"/>
              <w:bottom w:val="none" w:sz="0" w:space="0" w:color="FFFFFF"/>
              <w:right w:val="none" w:sz="0" w:space="0" w:color="FFFFFF"/>
            </w:tcBorders>
          </w:tcPr>
          <w:p w14:paraId="02A8F466" w14:textId="32F5B1D8" w:rsidR="002D3F49" w:rsidRDefault="002B5707">
            <w:pPr>
              <w:spacing w:after="120"/>
              <w:jc w:val="center"/>
            </w:pPr>
            <w:r>
              <w:rPr>
                <w:color w:val="8A96A3"/>
                <w:sz w:val="17"/>
                <w:szCs w:val="17"/>
              </w:rPr>
              <w:t xml:space="preserve">Table 2: Top 10 Partners </w:t>
            </w:r>
            <w:r w:rsidR="00A92195">
              <w:rPr>
                <w:color w:val="8A96A3"/>
                <w:sz w:val="17"/>
                <w:szCs w:val="17"/>
              </w:rPr>
              <w:t>-</w:t>
            </w:r>
            <w:r>
              <w:rPr>
                <w:color w:val="8A96A3"/>
                <w:sz w:val="17"/>
                <w:szCs w:val="17"/>
              </w:rPr>
              <w:t xml:space="preserve"> Export Value</w:t>
            </w:r>
          </w:p>
        </w:tc>
      </w:tr>
    </w:tbl>
    <w:p w14:paraId="02A8F468" w14:textId="77777777" w:rsidR="002D3F49" w:rsidRDefault="002B5707">
      <w:r>
        <w:br w:type="page"/>
      </w:r>
    </w:p>
    <w:p w14:paraId="02A8F469" w14:textId="77777777" w:rsidR="002D3F49" w:rsidRDefault="002B5707">
      <w:pPr>
        <w:shd w:val="clear" w:color="auto" w:fill="1A7A8A"/>
        <w:spacing w:before="240" w:after="60"/>
      </w:pPr>
      <w:r>
        <w:rPr>
          <w:b/>
          <w:bCs/>
          <w:color w:val="FFFFFF"/>
          <w:sz w:val="18"/>
          <w:szCs w:val="18"/>
        </w:rPr>
        <w:lastRenderedPageBreak/>
        <w:t xml:space="preserve">  04  CLUSTER ANALYSIS  </w:t>
      </w:r>
    </w:p>
    <w:p w14:paraId="02A8F46A" w14:textId="77777777" w:rsidR="002D3F49" w:rsidRDefault="002B5707">
      <w:pPr>
        <w:pStyle w:val="Heading1"/>
      </w:pPr>
      <w:bookmarkStart w:id="11" w:name="_Toc224498854"/>
      <w:r>
        <w:t>Partner &amp; Commodity Cluster Analysis</w:t>
      </w:r>
      <w:bookmarkEnd w:id="11"/>
    </w:p>
    <w:p w14:paraId="02A8F46B" w14:textId="77777777" w:rsidR="002D3F49" w:rsidRDefault="002D3F49">
      <w:pPr>
        <w:pBdr>
          <w:bottom w:val="single" w:sz="6" w:space="1" w:color="1A7A8A"/>
        </w:pBdr>
        <w:spacing w:after="160"/>
      </w:pPr>
    </w:p>
    <w:p w14:paraId="02A8F46C" w14:textId="77777777" w:rsidR="002D3F49" w:rsidRDefault="002B5707">
      <w:pPr>
        <w:spacing w:after="120"/>
        <w:jc w:val="both"/>
      </w:pPr>
      <w:r>
        <w:t>K-Means clustering was applied to both the trading partner dataset and the commodity dataset, after normalizing export value features across all available years. PCA was then used to reduce dimensionality and produce two-dimensional scatter plots for visual cluster inspection.</w:t>
      </w:r>
    </w:p>
    <w:p w14:paraId="02A8F46D" w14:textId="77777777" w:rsidR="002D3F49" w:rsidRDefault="002B5707">
      <w:pPr>
        <w:pStyle w:val="Heading2"/>
        <w:spacing w:after="120"/>
      </w:pPr>
      <w:bookmarkStart w:id="12" w:name="_Toc224498855"/>
      <w:r>
        <w:rPr>
          <w:color w:val="0D1F3C"/>
          <w:sz w:val="28"/>
          <w:szCs w:val="28"/>
        </w:rPr>
        <w:t>Methodology</w:t>
      </w:r>
      <w:bookmarkEnd w:id="12"/>
    </w:p>
    <w:p w14:paraId="02A8F46E" w14:textId="77777777" w:rsidR="002D3F49" w:rsidRDefault="002B5707">
      <w:pPr>
        <w:pStyle w:val="ListParagraph"/>
        <w:numPr>
          <w:ilvl w:val="0"/>
          <w:numId w:val="2"/>
        </w:numPr>
        <w:spacing w:after="80"/>
      </w:pPr>
      <w:r>
        <w:t>Input features: Pivoted annual export values (one column per year) for each partner/commodity.</w:t>
      </w:r>
    </w:p>
    <w:p w14:paraId="02A8F46F" w14:textId="77777777" w:rsidR="002D3F49" w:rsidRDefault="002B5707">
      <w:pPr>
        <w:pStyle w:val="ListParagraph"/>
        <w:numPr>
          <w:ilvl w:val="0"/>
          <w:numId w:val="2"/>
        </w:numPr>
        <w:spacing w:after="80"/>
      </w:pPr>
      <w:r>
        <w:t>Preprocessing: Missing values imputed, data normalized using KNIME's Normalizer node (z-score standardization).</w:t>
      </w:r>
    </w:p>
    <w:p w14:paraId="02A8F470" w14:textId="77777777" w:rsidR="002D3F49" w:rsidRDefault="002B5707">
      <w:pPr>
        <w:pStyle w:val="ListParagraph"/>
        <w:numPr>
          <w:ilvl w:val="0"/>
          <w:numId w:val="2"/>
        </w:numPr>
        <w:spacing w:after="80"/>
      </w:pPr>
      <w:r>
        <w:t>Clustering: k-Means algorithm applied; clusters labeled cluster_0, cluster_1, etc.</w:t>
      </w:r>
    </w:p>
    <w:p w14:paraId="02A8F471" w14:textId="77777777" w:rsidR="002D3F49" w:rsidRDefault="002B5707">
      <w:pPr>
        <w:pStyle w:val="ListParagraph"/>
        <w:numPr>
          <w:ilvl w:val="0"/>
          <w:numId w:val="2"/>
        </w:numPr>
        <w:spacing w:after="80"/>
      </w:pPr>
      <w:r>
        <w:t>Visualization: PCA reduced the feature space to two principal components for scatter plot rendering.</w:t>
      </w:r>
    </w:p>
    <w:p w14:paraId="02A8F472" w14:textId="77777777" w:rsidR="002D3F49" w:rsidRDefault="002D3F49">
      <w:pPr>
        <w:spacing w:after="80"/>
      </w:pPr>
    </w:p>
    <w:p w14:paraId="02A8F473" w14:textId="77777777" w:rsidR="002D3F49" w:rsidRDefault="002B5707">
      <w:pPr>
        <w:pStyle w:val="Heading2"/>
        <w:spacing w:after="120"/>
      </w:pPr>
      <w:bookmarkStart w:id="13" w:name="_Toc224498856"/>
      <w:r>
        <w:rPr>
          <w:color w:val="0D1F3C"/>
          <w:sz w:val="28"/>
          <w:szCs w:val="28"/>
        </w:rPr>
        <w:t>Cluster Interpretation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1791"/>
        <w:gridCol w:w="3214"/>
        <w:gridCol w:w="3177"/>
      </w:tblGrid>
      <w:tr w:rsidR="002D3F49" w14:paraId="02A8F478" w14:textId="77777777">
        <w:tc>
          <w:tcPr>
            <w:tcW w:w="12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74" w14:textId="77777777" w:rsidR="002D3F49" w:rsidRDefault="002B5707">
            <w:r>
              <w:rPr>
                <w:b/>
                <w:bCs/>
                <w:color w:val="FFFFFF"/>
                <w:sz w:val="18"/>
                <w:szCs w:val="18"/>
              </w:rPr>
              <w:t>Cluster</w:t>
            </w:r>
          </w:p>
        </w:tc>
        <w:tc>
          <w:tcPr>
            <w:tcW w:w="14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75" w14:textId="77777777" w:rsidR="002D3F49" w:rsidRDefault="002B5707">
            <w:r>
              <w:rPr>
                <w:b/>
                <w:bCs/>
                <w:color w:val="FFFFFF"/>
                <w:sz w:val="18"/>
                <w:szCs w:val="18"/>
              </w:rPr>
              <w:t>Entity Type</w:t>
            </w:r>
          </w:p>
        </w:tc>
        <w:tc>
          <w:tcPr>
            <w:tcW w:w="34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76" w14:textId="77777777" w:rsidR="002D3F49" w:rsidRDefault="002B5707">
            <w:r>
              <w:rPr>
                <w:b/>
                <w:bCs/>
                <w:color w:val="FFFFFF"/>
                <w:sz w:val="18"/>
                <w:szCs w:val="18"/>
              </w:rPr>
              <w:t>Characteristics</w:t>
            </w:r>
          </w:p>
        </w:tc>
        <w:tc>
          <w:tcPr>
            <w:tcW w:w="336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77" w14:textId="77777777" w:rsidR="002D3F49" w:rsidRDefault="002B5707">
            <w:r>
              <w:rPr>
                <w:b/>
                <w:bCs/>
                <w:color w:val="FFFFFF"/>
                <w:sz w:val="18"/>
                <w:szCs w:val="18"/>
              </w:rPr>
              <w:t>Representative Members</w:t>
            </w:r>
          </w:p>
        </w:tc>
      </w:tr>
      <w:tr w:rsidR="002D3F49" w14:paraId="02A8F47D" w14:textId="77777777">
        <w:tc>
          <w:tcPr>
            <w:tcW w:w="12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79" w14:textId="77777777" w:rsidR="002D3F49" w:rsidRDefault="002B5707">
            <w:r>
              <w:rPr>
                <w:sz w:val="18"/>
                <w:szCs w:val="18"/>
              </w:rPr>
              <w:t>cluster_0</w:t>
            </w:r>
          </w:p>
        </w:tc>
        <w:tc>
          <w:tcPr>
            <w:tcW w:w="1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7A" w14:textId="77777777" w:rsidR="002D3F49" w:rsidRDefault="002B5707">
            <w:r>
              <w:rPr>
                <w:sz w:val="18"/>
                <w:szCs w:val="18"/>
              </w:rPr>
              <w:t>Commodity</w:t>
            </w:r>
          </w:p>
        </w:tc>
        <w:tc>
          <w:tcPr>
            <w:tcW w:w="3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7B" w14:textId="25C720BF" w:rsidR="002D3F49" w:rsidRDefault="002B5707">
            <w:r>
              <w:rPr>
                <w:sz w:val="18"/>
                <w:szCs w:val="18"/>
              </w:rPr>
              <w:t xml:space="preserve">Low-volume, sporadic exports across most years </w:t>
            </w:r>
            <w:r w:rsidR="00A92195">
              <w:rPr>
                <w:sz w:val="18"/>
                <w:szCs w:val="18"/>
              </w:rPr>
              <w:t>-</w:t>
            </w:r>
            <w:r>
              <w:rPr>
                <w:sz w:val="18"/>
                <w:szCs w:val="18"/>
              </w:rPr>
              <w:t xml:space="preserve"> minimal market presence</w:t>
            </w:r>
          </w:p>
        </w:tc>
        <w:tc>
          <w:tcPr>
            <w:tcW w:w="33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7C" w14:textId="77777777" w:rsidR="002D3F49" w:rsidRDefault="002B5707">
            <w:r>
              <w:rPr>
                <w:sz w:val="18"/>
                <w:szCs w:val="18"/>
              </w:rPr>
              <w:t>Almonds, Anise, Animal fats</w:t>
            </w:r>
          </w:p>
        </w:tc>
      </w:tr>
      <w:tr w:rsidR="002D3F49" w14:paraId="02A8F482" w14:textId="77777777">
        <w:tc>
          <w:tcPr>
            <w:tcW w:w="12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7E" w14:textId="77777777" w:rsidR="002D3F49" w:rsidRDefault="002B5707">
            <w:r>
              <w:rPr>
                <w:sz w:val="18"/>
                <w:szCs w:val="18"/>
              </w:rPr>
              <w:t>cluster_1</w:t>
            </w:r>
          </w:p>
        </w:tc>
        <w:tc>
          <w:tcPr>
            <w:tcW w:w="1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7F" w14:textId="77777777" w:rsidR="002D3F49" w:rsidRDefault="002B5707">
            <w:r>
              <w:rPr>
                <w:sz w:val="18"/>
                <w:szCs w:val="18"/>
              </w:rPr>
              <w:t>Partner</w:t>
            </w:r>
          </w:p>
        </w:tc>
        <w:tc>
          <w:tcPr>
            <w:tcW w:w="3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80" w14:textId="77777777" w:rsidR="002D3F49" w:rsidRDefault="002B5707">
            <w:r>
              <w:rPr>
                <w:sz w:val="18"/>
                <w:szCs w:val="18"/>
              </w:rPr>
              <w:t>Low-to-moderate engagement; presence in specific years only; smaller trade flows</w:t>
            </w:r>
          </w:p>
        </w:tc>
        <w:tc>
          <w:tcPr>
            <w:tcW w:w="33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81" w14:textId="77777777" w:rsidR="002D3F49" w:rsidRDefault="002B5707">
            <w:r>
              <w:rPr>
                <w:sz w:val="18"/>
                <w:szCs w:val="18"/>
              </w:rPr>
              <w:t>Afghanistan, Albania, Algeria</w:t>
            </w:r>
          </w:p>
        </w:tc>
      </w:tr>
      <w:tr w:rsidR="002D3F49" w14:paraId="02A8F487" w14:textId="77777777">
        <w:tc>
          <w:tcPr>
            <w:tcW w:w="12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83" w14:textId="77777777" w:rsidR="002D3F49" w:rsidRDefault="002B5707">
            <w:proofErr w:type="gramStart"/>
            <w:r>
              <w:rPr>
                <w:sz w:val="18"/>
                <w:szCs w:val="18"/>
              </w:rPr>
              <w:t>High-value</w:t>
            </w:r>
            <w:proofErr w:type="gramEnd"/>
          </w:p>
        </w:tc>
        <w:tc>
          <w:tcPr>
            <w:tcW w:w="1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84" w14:textId="77777777" w:rsidR="002D3F49" w:rsidRDefault="002B5707">
            <w:r>
              <w:rPr>
                <w:sz w:val="18"/>
                <w:szCs w:val="18"/>
              </w:rPr>
              <w:t>Partner/Commodity</w:t>
            </w:r>
          </w:p>
        </w:tc>
        <w:tc>
          <w:tcPr>
            <w:tcW w:w="3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85" w14:textId="77777777" w:rsidR="002D3F49" w:rsidRDefault="002B5707">
            <w:r>
              <w:rPr>
                <w:sz w:val="18"/>
                <w:szCs w:val="18"/>
              </w:rPr>
              <w:t xml:space="preserve">Consistent, high-volume exports across the </w:t>
            </w:r>
            <w:proofErr w:type="gramStart"/>
            <w:r>
              <w:rPr>
                <w:sz w:val="18"/>
                <w:szCs w:val="18"/>
              </w:rPr>
              <w:t>full time</w:t>
            </w:r>
            <w:proofErr w:type="gramEnd"/>
            <w:r>
              <w:rPr>
                <w:sz w:val="18"/>
                <w:szCs w:val="18"/>
              </w:rPr>
              <w:t xml:space="preserve"> horizon</w:t>
            </w:r>
          </w:p>
        </w:tc>
        <w:tc>
          <w:tcPr>
            <w:tcW w:w="33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86" w14:textId="77777777" w:rsidR="002D3F49" w:rsidRDefault="002B5707">
            <w:r>
              <w:rPr>
                <w:sz w:val="18"/>
                <w:szCs w:val="18"/>
              </w:rPr>
              <w:t>Belgium, South Africa, Tobacco</w:t>
            </w:r>
          </w:p>
        </w:tc>
      </w:tr>
    </w:tbl>
    <w:p w14:paraId="02A8F488" w14:textId="77777777" w:rsidR="002D3F49" w:rsidRDefault="002D3F49">
      <w:pPr>
        <w:spacing w:after="120"/>
      </w:pPr>
    </w:p>
    <w:p w14:paraId="02A8F489" w14:textId="27F8B296" w:rsidR="002D3F49" w:rsidRDefault="002B5707">
      <w:pPr>
        <w:spacing w:after="120"/>
        <w:jc w:val="both"/>
      </w:pPr>
      <w:r>
        <w:t xml:space="preserve">The clustering results confirm the concentration narrative: a small cluster of high-value entities (Belgium, South Africa, tobacco) dominates the trade landscape, while </w:t>
      </w:r>
      <w:proofErr w:type="gramStart"/>
      <w:r>
        <w:t>the majority of</w:t>
      </w:r>
      <w:proofErr w:type="gramEnd"/>
      <w:r>
        <w:t xml:space="preserve"> partners and commodities occupy low-activity clusters. This pattern is analytically consistent with Pareto dynamics </w:t>
      </w:r>
      <w:r w:rsidR="00A92195">
        <w:t>-</w:t>
      </w:r>
      <w:r>
        <w:t xml:space="preserve"> a small proportion of the trade network generates </w:t>
      </w:r>
      <w:proofErr w:type="gramStart"/>
      <w:r>
        <w:t>the vast majority of</w:t>
      </w:r>
      <w:proofErr w:type="gramEnd"/>
      <w:r>
        <w:t xml:space="preserve"> value.</w:t>
      </w:r>
    </w:p>
    <w:p w14:paraId="02A8F48A" w14:textId="77777777" w:rsidR="002D3F49" w:rsidRDefault="002B5707">
      <w:r>
        <w:br w:type="page"/>
      </w:r>
    </w:p>
    <w:p w14:paraId="02A8F48B" w14:textId="77777777" w:rsidR="002D3F49" w:rsidRDefault="002B5707">
      <w:pPr>
        <w:shd w:val="clear" w:color="auto" w:fill="1A7A8A"/>
        <w:spacing w:before="240" w:after="60"/>
      </w:pPr>
      <w:r>
        <w:rPr>
          <w:b/>
          <w:bCs/>
          <w:color w:val="FFFFFF"/>
          <w:sz w:val="18"/>
          <w:szCs w:val="18"/>
        </w:rPr>
        <w:lastRenderedPageBreak/>
        <w:t xml:space="preserve">  05  YEAR-OVER-YEAR GROWTH  </w:t>
      </w:r>
    </w:p>
    <w:p w14:paraId="02A8F48C" w14:textId="77777777" w:rsidR="002D3F49" w:rsidRDefault="002B5707">
      <w:pPr>
        <w:pStyle w:val="Heading1"/>
      </w:pPr>
      <w:bookmarkStart w:id="14" w:name="_Toc224498857"/>
      <w:r>
        <w:t>Year-Over-Year Growth Analysis</w:t>
      </w:r>
      <w:bookmarkEnd w:id="14"/>
    </w:p>
    <w:p w14:paraId="02A8F48D" w14:textId="77777777" w:rsidR="002D3F49" w:rsidRDefault="002D3F49">
      <w:pPr>
        <w:pBdr>
          <w:bottom w:val="single" w:sz="6" w:space="1" w:color="1A7A8A"/>
        </w:pBdr>
        <w:spacing w:after="160"/>
      </w:pPr>
    </w:p>
    <w:p w14:paraId="02A8F48E" w14:textId="77777777" w:rsidR="002D3F49" w:rsidRDefault="002B5707">
      <w:pPr>
        <w:spacing w:after="120"/>
        <w:jc w:val="both"/>
      </w:pPr>
      <w:r>
        <w:t>Year-over-year (YoY) growth rates were computed for total export value across the full 1986–2024 span, using a lag-column approach in KNIME to compare each year's value against the prior year. The resulting time series reveals a highly significant structural event in the mid-to-late 1990s.</w:t>
      </w:r>
    </w:p>
    <w:p w14:paraId="02A8F48F" w14:textId="77777777" w:rsidR="002D3F49" w:rsidRDefault="002D3F49">
      <w:pPr>
        <w:spacing w:after="80"/>
      </w:pPr>
    </w:p>
    <w:p w14:paraId="02A8F490" w14:textId="77777777" w:rsidR="002D3F49" w:rsidRDefault="002B5707">
      <w:pPr>
        <w:spacing w:after="60"/>
        <w:jc w:val="center"/>
      </w:pPr>
      <w:r>
        <w:rPr>
          <w:noProof/>
        </w:rPr>
        <w:drawing>
          <wp:inline distT="0" distB="0" distL="0" distR="0" wp14:anchorId="02A8F502" wp14:editId="02A8F503">
            <wp:extent cx="5943600" cy="4333875"/>
            <wp:effectExtent l="0" t="0" r="0" b="0"/>
            <wp:docPr id="1313680273" name="Picture 131368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333875"/>
                    </a:xfrm>
                    <a:prstGeom prst="rect">
                      <a:avLst/>
                    </a:prstGeom>
                  </pic:spPr>
                </pic:pic>
              </a:graphicData>
            </a:graphic>
          </wp:inline>
        </w:drawing>
      </w:r>
    </w:p>
    <w:p w14:paraId="02A8F491" w14:textId="77777777" w:rsidR="002D3F49" w:rsidRDefault="002B5707">
      <w:pPr>
        <w:spacing w:after="160"/>
        <w:jc w:val="center"/>
      </w:pPr>
      <w:r>
        <w:rPr>
          <w:color w:val="8A96A3"/>
          <w:sz w:val="17"/>
          <w:szCs w:val="17"/>
        </w:rPr>
        <w:t>Figure 3: Year-Over-Year Export Growth (%), 1986–2024</w:t>
      </w:r>
    </w:p>
    <w:p w14:paraId="02A8F492" w14:textId="77777777" w:rsidR="002D3F49" w:rsidRDefault="002B5707">
      <w:pPr>
        <w:pStyle w:val="Heading2"/>
        <w:spacing w:after="120"/>
      </w:pPr>
      <w:bookmarkStart w:id="15" w:name="_Toc224498858"/>
      <w:r>
        <w:rPr>
          <w:color w:val="0D1F3C"/>
          <w:sz w:val="28"/>
          <w:szCs w:val="28"/>
        </w:rPr>
        <w:t>Key Observation: The 1997–1998 Spike</w:t>
      </w:r>
      <w:bookmarkEnd w:id="15"/>
    </w:p>
    <w:p w14:paraId="02A8F493" w14:textId="77777777" w:rsidR="002D3F49" w:rsidRDefault="002B5707">
      <w:pPr>
        <w:spacing w:after="120"/>
        <w:jc w:val="both"/>
      </w:pPr>
      <w:r>
        <w:t xml:space="preserve">The chart shows a dramatic spike in YoY growth approaching </w:t>
      </w:r>
      <w:r>
        <w:rPr>
          <w:b/>
          <w:bCs/>
          <w:color w:val="0D1F3C"/>
        </w:rPr>
        <w:t>+12,500%</w:t>
      </w:r>
      <w:r>
        <w:t xml:space="preserve"> around 1997–1998, followed by an immediate return to near-zero growth in subsequent years. This is analytically significant for two reasons:</w:t>
      </w:r>
    </w:p>
    <w:p w14:paraId="02A8F494" w14:textId="004E7D7A" w:rsidR="002D3F49" w:rsidRDefault="002B5707">
      <w:pPr>
        <w:pStyle w:val="ListParagraph"/>
        <w:numPr>
          <w:ilvl w:val="0"/>
          <w:numId w:val="2"/>
        </w:numPr>
        <w:spacing w:after="80"/>
      </w:pPr>
      <w:r>
        <w:t xml:space="preserve">Data continuity event: A near-zero baseline in earlier years (possibly due to data gaps or unreported trade flows in FAOSTAT prior to 1992) can generate artificially extreme percentage changes when values begin to populate </w:t>
      </w:r>
      <w:r w:rsidR="00A92195">
        <w:t>-</w:t>
      </w:r>
      <w:r>
        <w:t xml:space="preserve"> a known artifact in long-horizon trade datasets.</w:t>
      </w:r>
    </w:p>
    <w:p w14:paraId="02A8F495" w14:textId="77777777" w:rsidR="002D3F49" w:rsidRDefault="002B5707">
      <w:pPr>
        <w:pStyle w:val="ListParagraph"/>
        <w:numPr>
          <w:ilvl w:val="0"/>
          <w:numId w:val="2"/>
        </w:numPr>
        <w:spacing w:after="80"/>
      </w:pPr>
      <w:r>
        <w:t>Economic inflection point: The period 1994–2000 coincides with Malawi's post-democratization economic transitions and shifts in international tobacco trade dynamics, which may have generated genuine structural growth.</w:t>
      </w:r>
    </w:p>
    <w:p w14:paraId="02A8F496" w14:textId="77777777" w:rsidR="002D3F49" w:rsidRDefault="002D3F49">
      <w:pPr>
        <w:spacing w:after="80"/>
      </w:pPr>
    </w:p>
    <w:p w14:paraId="02A8F497" w14:textId="77777777" w:rsidR="002D3F49" w:rsidRDefault="002B5707">
      <w:pPr>
        <w:spacing w:after="120"/>
        <w:jc w:val="both"/>
      </w:pPr>
      <w:r>
        <w:lastRenderedPageBreak/>
        <w:t>Post-2000, YoY growth stabilizes in a low single-digit range, consistent with a maturing export market rather than a high-growth trajectory.</w:t>
      </w:r>
    </w:p>
    <w:p w14:paraId="02A8F498" w14:textId="77777777" w:rsidR="002D3F49" w:rsidRDefault="002D3F49">
      <w:pPr>
        <w:spacing w:after="80"/>
      </w:pPr>
    </w:p>
    <w:p w14:paraId="02A8F499" w14:textId="77777777" w:rsidR="002D3F49" w:rsidRDefault="002B5707">
      <w:pPr>
        <w:spacing w:after="60"/>
        <w:jc w:val="center"/>
      </w:pPr>
      <w:r>
        <w:rPr>
          <w:noProof/>
        </w:rPr>
        <w:drawing>
          <wp:inline distT="0" distB="0" distL="0" distR="0" wp14:anchorId="02A8F504" wp14:editId="02A8F505">
            <wp:extent cx="5943600" cy="2495550"/>
            <wp:effectExtent l="0" t="0" r="0" b="0"/>
            <wp:docPr id="1388300293" name="Picture 13883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495550"/>
                    </a:xfrm>
                    <a:prstGeom prst="rect">
                      <a:avLst/>
                    </a:prstGeom>
                  </pic:spPr>
                </pic:pic>
              </a:graphicData>
            </a:graphic>
          </wp:inline>
        </w:drawing>
      </w:r>
    </w:p>
    <w:p w14:paraId="02A8F49A" w14:textId="77777777" w:rsidR="002D3F49" w:rsidRDefault="002B5707">
      <w:pPr>
        <w:spacing w:after="160"/>
        <w:jc w:val="center"/>
      </w:pPr>
      <w:r>
        <w:rPr>
          <w:color w:val="8A96A3"/>
          <w:sz w:val="17"/>
          <w:szCs w:val="17"/>
        </w:rPr>
        <w:t>Table 3: Year-Over-Year Growth Data (KNIME output)</w:t>
      </w:r>
    </w:p>
    <w:p w14:paraId="02A8F49B" w14:textId="77777777" w:rsidR="002D3F49" w:rsidRDefault="002B5707">
      <w:r>
        <w:br w:type="page"/>
      </w:r>
    </w:p>
    <w:p w14:paraId="02A8F49C" w14:textId="77777777" w:rsidR="002D3F49" w:rsidRDefault="002B5707">
      <w:pPr>
        <w:shd w:val="clear" w:color="auto" w:fill="1A7A8A"/>
        <w:spacing w:before="240" w:after="60"/>
      </w:pPr>
      <w:r>
        <w:rPr>
          <w:b/>
          <w:bCs/>
          <w:color w:val="FFFFFF"/>
          <w:sz w:val="18"/>
          <w:szCs w:val="18"/>
        </w:rPr>
        <w:lastRenderedPageBreak/>
        <w:t xml:space="preserve">  06  ROLLING VOLATILITY  </w:t>
      </w:r>
    </w:p>
    <w:p w14:paraId="02A8F49D" w14:textId="03E4FD46" w:rsidR="002D3F49" w:rsidRDefault="002B5707">
      <w:pPr>
        <w:pStyle w:val="Heading1"/>
      </w:pPr>
      <w:bookmarkStart w:id="16" w:name="_Toc224498859"/>
      <w:r>
        <w:t xml:space="preserve">Rolling Volatility </w:t>
      </w:r>
      <w:r w:rsidR="00A92195">
        <w:t>-</w:t>
      </w:r>
      <w:r>
        <w:t xml:space="preserve"> Belgium (3-Year Window)</w:t>
      </w:r>
      <w:bookmarkEnd w:id="16"/>
    </w:p>
    <w:p w14:paraId="02A8F49E" w14:textId="77777777" w:rsidR="002D3F49" w:rsidRDefault="002D3F49">
      <w:pPr>
        <w:pBdr>
          <w:bottom w:val="single" w:sz="6" w:space="1" w:color="1A7A8A"/>
        </w:pBdr>
        <w:spacing w:after="160"/>
      </w:pPr>
    </w:p>
    <w:p w14:paraId="02A8F49F" w14:textId="4646B452" w:rsidR="002D3F49" w:rsidRDefault="002B5707">
      <w:pPr>
        <w:spacing w:after="120"/>
        <w:jc w:val="both"/>
      </w:pPr>
      <w:r>
        <w:t xml:space="preserve">To assess trade risk with Malawi's dominant partner, a 3-year rolling standard deviation was computed on annual export values to Belgium. This metric quantifies how erratically trade volumes have fluctuated over time </w:t>
      </w:r>
      <w:r w:rsidR="00A92195">
        <w:t>-</w:t>
      </w:r>
      <w:r>
        <w:t xml:space="preserve"> with higher values indicating less predictable trade relationships and higher operational risk.</w:t>
      </w:r>
    </w:p>
    <w:p w14:paraId="02A8F4A0" w14:textId="77777777" w:rsidR="002D3F49" w:rsidRDefault="002D3F49">
      <w:pPr>
        <w:spacing w:after="80"/>
      </w:pPr>
    </w:p>
    <w:p w14:paraId="02A8F4A1" w14:textId="77777777" w:rsidR="002D3F49" w:rsidRDefault="002B5707">
      <w:pPr>
        <w:spacing w:after="60"/>
        <w:jc w:val="center"/>
      </w:pPr>
      <w:r>
        <w:rPr>
          <w:noProof/>
        </w:rPr>
        <w:drawing>
          <wp:inline distT="0" distB="0" distL="0" distR="0" wp14:anchorId="02A8F506" wp14:editId="02A8F507">
            <wp:extent cx="5943600" cy="3600450"/>
            <wp:effectExtent l="0" t="0" r="0" b="0"/>
            <wp:docPr id="354550484" name="Picture 35455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600450"/>
                    </a:xfrm>
                    <a:prstGeom prst="rect">
                      <a:avLst/>
                    </a:prstGeom>
                  </pic:spPr>
                </pic:pic>
              </a:graphicData>
            </a:graphic>
          </wp:inline>
        </w:drawing>
      </w:r>
    </w:p>
    <w:p w14:paraId="02A8F4A2" w14:textId="5BF6E79E" w:rsidR="002D3F49" w:rsidRDefault="002B5707">
      <w:pPr>
        <w:spacing w:after="160"/>
        <w:jc w:val="center"/>
      </w:pPr>
      <w:r>
        <w:rPr>
          <w:color w:val="8A96A3"/>
          <w:sz w:val="17"/>
          <w:szCs w:val="17"/>
        </w:rPr>
        <w:t xml:space="preserve">Table 4: 3-Year Rolling Volatility </w:t>
      </w:r>
      <w:r w:rsidR="00A92195">
        <w:rPr>
          <w:color w:val="8A96A3"/>
          <w:sz w:val="17"/>
          <w:szCs w:val="17"/>
        </w:rPr>
        <w:t>-</w:t>
      </w:r>
      <w:r>
        <w:rPr>
          <w:color w:val="8A96A3"/>
          <w:sz w:val="17"/>
          <w:szCs w:val="17"/>
        </w:rPr>
        <w:t xml:space="preserve"> Belgium Export Values (2001–2024)</w:t>
      </w:r>
    </w:p>
    <w:p w14:paraId="02A8F4A3" w14:textId="77777777" w:rsidR="002D3F49" w:rsidRDefault="002B5707">
      <w:pPr>
        <w:pStyle w:val="Heading2"/>
        <w:spacing w:after="120"/>
      </w:pPr>
      <w:bookmarkStart w:id="17" w:name="_Toc224498860"/>
      <w:r>
        <w:rPr>
          <w:color w:val="0D1F3C"/>
          <w:sz w:val="28"/>
          <w:szCs w:val="28"/>
        </w:rPr>
        <w:t>Findings</w:t>
      </w:r>
      <w:bookmarkEnd w:id="17"/>
    </w:p>
    <w:p w14:paraId="02A8F4A4" w14:textId="77777777" w:rsidR="002D3F49" w:rsidRDefault="002B5707">
      <w:pPr>
        <w:pStyle w:val="ListParagraph"/>
        <w:numPr>
          <w:ilvl w:val="0"/>
          <w:numId w:val="2"/>
        </w:numPr>
        <w:spacing w:after="80"/>
      </w:pPr>
      <w:r>
        <w:t>Peak volatility (2009): The 3-year standard deviation reached approximately $71.3M in 2009, coinciding with global commodity price turbulence during and after the 2008 financial crisis.</w:t>
      </w:r>
    </w:p>
    <w:p w14:paraId="02A8F4A5" w14:textId="3BB409D9" w:rsidR="002D3F49" w:rsidRDefault="002B5707">
      <w:pPr>
        <w:pStyle w:val="ListParagraph"/>
        <w:numPr>
          <w:ilvl w:val="0"/>
          <w:numId w:val="2"/>
        </w:numPr>
        <w:spacing w:after="80"/>
      </w:pPr>
      <w:r>
        <w:t xml:space="preserve">Declining volatility trend: From 2009 onward, rolling volatility with Belgium shows a sustained downward trajectory </w:t>
      </w:r>
      <w:r w:rsidR="00A92195">
        <w:t>-</w:t>
      </w:r>
      <w:r>
        <w:t xml:space="preserve"> falling to approximately $7.7M by 2023 and $17.9M in 2024.</w:t>
      </w:r>
    </w:p>
    <w:p w14:paraId="02A8F4A6" w14:textId="37036143" w:rsidR="002D3F49" w:rsidRDefault="002B5707">
      <w:pPr>
        <w:pStyle w:val="ListParagraph"/>
        <w:numPr>
          <w:ilvl w:val="0"/>
          <w:numId w:val="2"/>
        </w:numPr>
        <w:spacing w:after="80"/>
      </w:pPr>
      <w:r>
        <w:t xml:space="preserve">Stabilizing relationship: The convergence of volatility toward lower values in recent years suggests a maturing, more predictable trade relationship </w:t>
      </w:r>
      <w:r w:rsidR="00A92195">
        <w:t>-</w:t>
      </w:r>
      <w:r>
        <w:t xml:space="preserve"> a positive signal for trade planning and forecasting.</w:t>
      </w:r>
    </w:p>
    <w:p w14:paraId="02A8F4A7" w14:textId="67A8F192" w:rsidR="002D3F49" w:rsidRDefault="002B5707">
      <w:pPr>
        <w:pStyle w:val="ListParagraph"/>
        <w:numPr>
          <w:ilvl w:val="0"/>
          <w:numId w:val="2"/>
        </w:numPr>
        <w:spacing w:after="80"/>
      </w:pPr>
      <w:r>
        <w:t xml:space="preserve">Early years missing: Standard deviation values are absent for 2001–2002 due to insufficient data points within the 3-year rolling window </w:t>
      </w:r>
      <w:r w:rsidR="00A92195">
        <w:t>-</w:t>
      </w:r>
      <w:r>
        <w:t xml:space="preserve"> an expected behavior in moving aggregation.</w:t>
      </w:r>
    </w:p>
    <w:p w14:paraId="02A8F4A8" w14:textId="77777777" w:rsidR="002D3F49" w:rsidRDefault="002B5707">
      <w:r>
        <w:br w:type="page"/>
      </w:r>
    </w:p>
    <w:p w14:paraId="02A8F4A9" w14:textId="77777777" w:rsidR="002D3F49" w:rsidRDefault="002B5707">
      <w:pPr>
        <w:shd w:val="clear" w:color="auto" w:fill="1A7A8A"/>
        <w:spacing w:before="240" w:after="60"/>
      </w:pPr>
      <w:r>
        <w:rPr>
          <w:b/>
          <w:bCs/>
          <w:color w:val="FFFFFF"/>
          <w:sz w:val="18"/>
          <w:szCs w:val="18"/>
        </w:rPr>
        <w:lastRenderedPageBreak/>
        <w:t xml:space="preserve">  07  5-YEAR MARKET FORECAST  </w:t>
      </w:r>
    </w:p>
    <w:p w14:paraId="02A8F4AA" w14:textId="0DC33457" w:rsidR="002D3F49" w:rsidRDefault="002B5707">
      <w:pPr>
        <w:pStyle w:val="Heading1"/>
      </w:pPr>
      <w:bookmarkStart w:id="18" w:name="_Toc224498861"/>
      <w:r>
        <w:t xml:space="preserve">5-Year Market Forecast </w:t>
      </w:r>
      <w:r w:rsidR="00A92195">
        <w:t>-</w:t>
      </w:r>
      <w:r>
        <w:t xml:space="preserve"> Tobacco Exports</w:t>
      </w:r>
      <w:bookmarkEnd w:id="18"/>
    </w:p>
    <w:p w14:paraId="02A8F4AB" w14:textId="77777777" w:rsidR="002D3F49" w:rsidRDefault="002D3F49">
      <w:pPr>
        <w:pBdr>
          <w:bottom w:val="single" w:sz="6" w:space="1" w:color="1A7A8A"/>
        </w:pBdr>
        <w:spacing w:after="160"/>
      </w:pPr>
    </w:p>
    <w:p w14:paraId="02A8F4AC" w14:textId="77777777" w:rsidR="002D3F49" w:rsidRDefault="002B5707">
      <w:pPr>
        <w:spacing w:after="120"/>
        <w:jc w:val="both"/>
      </w:pPr>
      <w:r>
        <w:t>A linear regression model was trained on historical tobacco export value data and used to project annual export values through 2029. Given tobacco's dominant 67% share of Malawi's export portfolio, this forecast functions as a proxy for total export trajectory.</w:t>
      </w:r>
    </w:p>
    <w:p w14:paraId="02A8F4AD" w14:textId="77777777" w:rsidR="002D3F49" w:rsidRDefault="002D3F49">
      <w:pPr>
        <w:spacing w:after="80"/>
      </w:pPr>
    </w:p>
    <w:p w14:paraId="02A8F4AE" w14:textId="77777777" w:rsidR="002D3F49" w:rsidRDefault="002B5707">
      <w:pPr>
        <w:spacing w:after="60"/>
        <w:jc w:val="center"/>
      </w:pPr>
      <w:r>
        <w:rPr>
          <w:noProof/>
        </w:rPr>
        <w:drawing>
          <wp:inline distT="0" distB="0" distL="0" distR="0" wp14:anchorId="02A8F508" wp14:editId="02A8F509">
            <wp:extent cx="5943600" cy="4333875"/>
            <wp:effectExtent l="0" t="0" r="0" b="0"/>
            <wp:docPr id="1319702190" name="Picture 131970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333875"/>
                    </a:xfrm>
                    <a:prstGeom prst="rect">
                      <a:avLst/>
                    </a:prstGeom>
                  </pic:spPr>
                </pic:pic>
              </a:graphicData>
            </a:graphic>
          </wp:inline>
        </w:drawing>
      </w:r>
    </w:p>
    <w:p w14:paraId="02A8F4AF" w14:textId="7F1F1D47" w:rsidR="002D3F49" w:rsidRDefault="002B5707">
      <w:pPr>
        <w:spacing w:after="160"/>
        <w:jc w:val="center"/>
      </w:pPr>
      <w:r>
        <w:rPr>
          <w:color w:val="8A96A3"/>
          <w:sz w:val="17"/>
          <w:szCs w:val="17"/>
        </w:rPr>
        <w:t xml:space="preserve">Figure 4: Tobacco Export Value </w:t>
      </w:r>
      <w:r w:rsidR="00A92195">
        <w:rPr>
          <w:color w:val="8A96A3"/>
          <w:sz w:val="17"/>
          <w:szCs w:val="17"/>
        </w:rPr>
        <w:t>-</w:t>
      </w:r>
      <w:r>
        <w:rPr>
          <w:color w:val="8A96A3"/>
          <w:sz w:val="17"/>
          <w:szCs w:val="17"/>
        </w:rPr>
        <w:t xml:space="preserve"> Historical (1986–2024) + Forecast (2025–2029)</w:t>
      </w:r>
    </w:p>
    <w:p w14:paraId="02A8F4B0" w14:textId="77777777" w:rsidR="002D3F49" w:rsidRDefault="002B5707">
      <w:pPr>
        <w:pStyle w:val="Heading2"/>
        <w:spacing w:after="120"/>
      </w:pPr>
      <w:bookmarkStart w:id="19" w:name="_Toc224498862"/>
      <w:r>
        <w:rPr>
          <w:color w:val="0D1F3C"/>
          <w:sz w:val="28"/>
          <w:szCs w:val="28"/>
        </w:rPr>
        <w:t>Model Findings</w:t>
      </w:r>
      <w:bookmarkEnd w:id="19"/>
    </w:p>
    <w:p w14:paraId="02A8F4B1" w14:textId="77777777" w:rsidR="002D3F49" w:rsidRDefault="002B5707">
      <w:pPr>
        <w:pStyle w:val="ListParagraph"/>
        <w:numPr>
          <w:ilvl w:val="0"/>
          <w:numId w:val="2"/>
        </w:numPr>
        <w:spacing w:after="80"/>
      </w:pPr>
      <w:r>
        <w:t>Historical peak (2010): Tobacco export values reached approximately $875M, representing the highest recorded annual value in the dataset.</w:t>
      </w:r>
    </w:p>
    <w:p w14:paraId="02A8F4B2" w14:textId="77777777" w:rsidR="002D3F49" w:rsidRDefault="002B5707">
      <w:pPr>
        <w:pStyle w:val="ListParagraph"/>
        <w:numPr>
          <w:ilvl w:val="0"/>
          <w:numId w:val="2"/>
        </w:numPr>
        <w:spacing w:after="80"/>
      </w:pPr>
      <w:r>
        <w:t>Post-2010 decline: Values dropped sharply through 2013–2014 and continued oscillating at a lower plateau (~$400–550M) through 2022.</w:t>
      </w:r>
    </w:p>
    <w:p w14:paraId="02A8F4B3" w14:textId="77777777" w:rsidR="002D3F49" w:rsidRDefault="002B5707">
      <w:pPr>
        <w:pStyle w:val="ListParagraph"/>
        <w:numPr>
          <w:ilvl w:val="0"/>
          <w:numId w:val="2"/>
        </w:numPr>
        <w:spacing w:after="80"/>
      </w:pPr>
      <w:r>
        <w:t>Recovery trend (2022–2024): Export values show renewed upward movement, reaching approximately $640–670M by 2024.</w:t>
      </w:r>
    </w:p>
    <w:p w14:paraId="02A8F4B4" w14:textId="77777777" w:rsidR="002D3F49" w:rsidRDefault="002B5707">
      <w:pPr>
        <w:pStyle w:val="ListParagraph"/>
        <w:numPr>
          <w:ilvl w:val="0"/>
          <w:numId w:val="2"/>
        </w:numPr>
        <w:spacing w:after="80"/>
      </w:pPr>
      <w:r>
        <w:t>Forecast to 2029: The linear regression model projects continued recovery toward $670–700M by 2029, consistent with the recent growth trajectory.</w:t>
      </w:r>
    </w:p>
    <w:p w14:paraId="02A8F4B5" w14:textId="77777777" w:rsidR="002D3F49" w:rsidRDefault="002D3F49">
      <w:pPr>
        <w:spacing w:after="80"/>
      </w:pPr>
    </w:p>
    <w:p w14:paraId="02A8F4B6" w14:textId="77777777" w:rsidR="002D3F49" w:rsidRDefault="002B5707">
      <w:pPr>
        <w:pStyle w:val="Heading2"/>
        <w:spacing w:after="120"/>
      </w:pPr>
      <w:bookmarkStart w:id="20" w:name="_Toc224498863"/>
      <w:r>
        <w:rPr>
          <w:color w:val="0D1F3C"/>
          <w:sz w:val="28"/>
          <w:szCs w:val="28"/>
        </w:rPr>
        <w:lastRenderedPageBreak/>
        <w:t>Model Limitations</w:t>
      </w:r>
      <w:bookmarkEnd w:id="20"/>
    </w:p>
    <w:p w14:paraId="02A8F4B7" w14:textId="77777777" w:rsidR="002D3F49" w:rsidRDefault="002B5707">
      <w:pPr>
        <w:spacing w:after="120"/>
        <w:jc w:val="both"/>
      </w:pPr>
      <w:r>
        <w:t>Linear regression assumes a constant directional trend and does not capture cyclical patterns, policy shocks, or non-linear dynamics. The 2010 peak and subsequent volatility demonstrate that tobacco export values are subject to disruption. This forecast should be interpreted as a baseline trend indicator rather than a precise prediction.</w:t>
      </w:r>
    </w:p>
    <w:p w14:paraId="02A8F4B8" w14:textId="77777777" w:rsidR="002D3F49" w:rsidRDefault="002D3F49">
      <w:pPr>
        <w:spacing w:after="80"/>
      </w:pPr>
    </w:p>
    <w:p w14:paraId="02A8F4B9" w14:textId="77777777" w:rsidR="002D3F49" w:rsidRDefault="002B5707">
      <w:pPr>
        <w:spacing w:after="60"/>
        <w:jc w:val="center"/>
      </w:pPr>
      <w:r>
        <w:rPr>
          <w:noProof/>
        </w:rPr>
        <w:drawing>
          <wp:inline distT="0" distB="0" distL="0" distR="0" wp14:anchorId="02A8F50A" wp14:editId="02A8F50B">
            <wp:extent cx="5943600" cy="2800350"/>
            <wp:effectExtent l="0" t="0" r="0" b="0"/>
            <wp:docPr id="1026074371" name="Picture 102607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00350"/>
                    </a:xfrm>
                    <a:prstGeom prst="rect">
                      <a:avLst/>
                    </a:prstGeom>
                  </pic:spPr>
                </pic:pic>
              </a:graphicData>
            </a:graphic>
          </wp:inline>
        </w:drawing>
      </w:r>
    </w:p>
    <w:p w14:paraId="02A8F4BA" w14:textId="5F0E8D2D" w:rsidR="002D3F49" w:rsidRDefault="002B5707">
      <w:pPr>
        <w:spacing w:after="160"/>
        <w:jc w:val="center"/>
      </w:pPr>
      <w:r>
        <w:rPr>
          <w:color w:val="8A96A3"/>
          <w:sz w:val="17"/>
          <w:szCs w:val="17"/>
        </w:rPr>
        <w:t xml:space="preserve">Table 5: Linear Regression Output </w:t>
      </w:r>
      <w:r w:rsidR="00A92195">
        <w:rPr>
          <w:color w:val="8A96A3"/>
          <w:sz w:val="17"/>
          <w:szCs w:val="17"/>
        </w:rPr>
        <w:t>-</w:t>
      </w:r>
      <w:r>
        <w:rPr>
          <w:color w:val="8A96A3"/>
          <w:sz w:val="17"/>
          <w:szCs w:val="17"/>
        </w:rPr>
        <w:t xml:space="preserve"> Predicted Export Values</w:t>
      </w:r>
    </w:p>
    <w:p w14:paraId="02A8F4BB" w14:textId="77777777" w:rsidR="002D3F49" w:rsidRDefault="002B5707">
      <w:r>
        <w:br w:type="page"/>
      </w:r>
    </w:p>
    <w:p w14:paraId="02A8F4BC" w14:textId="77777777" w:rsidR="002D3F49" w:rsidRDefault="002B5707">
      <w:pPr>
        <w:shd w:val="clear" w:color="auto" w:fill="1A7A8A"/>
        <w:spacing w:before="240" w:after="60"/>
      </w:pPr>
      <w:r>
        <w:rPr>
          <w:b/>
          <w:bCs/>
          <w:color w:val="FFFFFF"/>
          <w:sz w:val="18"/>
          <w:szCs w:val="18"/>
        </w:rPr>
        <w:lastRenderedPageBreak/>
        <w:t xml:space="preserve">  08  KEY TAKEAWAYS  </w:t>
      </w:r>
    </w:p>
    <w:p w14:paraId="02A8F4BD" w14:textId="77777777" w:rsidR="002D3F49" w:rsidRDefault="002B5707">
      <w:pPr>
        <w:pStyle w:val="Heading1"/>
      </w:pPr>
      <w:bookmarkStart w:id="21" w:name="_Toc224498864"/>
      <w:r>
        <w:t>Key Takeaways &amp; Strategic Implications</w:t>
      </w:r>
      <w:bookmarkEnd w:id="21"/>
    </w:p>
    <w:p w14:paraId="02A8F4BE" w14:textId="77777777" w:rsidR="002D3F49" w:rsidRDefault="002D3F49">
      <w:pPr>
        <w:pBdr>
          <w:bottom w:val="single" w:sz="6" w:space="1" w:color="1A7A8A"/>
        </w:pBdr>
        <w:spacing w:after="160"/>
      </w:pPr>
    </w:p>
    <w:p w14:paraId="02A8F4BF" w14:textId="77777777" w:rsidR="002D3F49" w:rsidRDefault="002D3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C2" w14:textId="77777777">
        <w:tc>
          <w:tcPr>
            <w:tcW w:w="9360" w:type="dxa"/>
            <w:tcBorders>
              <w:top w:val="none" w:sz="0" w:space="0" w:color="FFFFFF"/>
              <w:left w:val="single" w:sz="20" w:space="0" w:color="E8A020"/>
              <w:bottom w:val="none" w:sz="0" w:space="0" w:color="FFFFFF"/>
              <w:right w:val="none" w:sz="0" w:space="0" w:color="FFFFFF"/>
            </w:tcBorders>
            <w:shd w:val="clear" w:color="auto" w:fill="F4F7FA"/>
            <w:tcMar>
              <w:top w:w="100" w:type="dxa"/>
              <w:left w:w="180" w:type="dxa"/>
              <w:bottom w:w="100" w:type="dxa"/>
              <w:right w:w="120" w:type="dxa"/>
            </w:tcMar>
          </w:tcPr>
          <w:p w14:paraId="02A8F4C0" w14:textId="77777777" w:rsidR="002D3F49" w:rsidRDefault="002B5707">
            <w:pPr>
              <w:spacing w:after="40"/>
            </w:pPr>
            <w:r>
              <w:rPr>
                <w:b/>
                <w:bCs/>
                <w:color w:val="0D1F3C"/>
              </w:rPr>
              <w:t>Extreme Commodity Concentration</w:t>
            </w:r>
          </w:p>
          <w:p w14:paraId="02A8F4C1" w14:textId="77777777" w:rsidR="002D3F49" w:rsidRDefault="002B5707">
            <w:r>
              <w:rPr>
                <w:sz w:val="19"/>
                <w:szCs w:val="19"/>
              </w:rPr>
              <w:t>Unmanufactured tobacco at 67.39% creates a single point of failure in Malawi's export economy. Diversification into tea, sugar, and emerging commodities is strategically critical for resilience.</w:t>
            </w:r>
          </w:p>
        </w:tc>
      </w:tr>
    </w:tbl>
    <w:p w14:paraId="02A8F4C3"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C6" w14:textId="77777777">
        <w:tc>
          <w:tcPr>
            <w:tcW w:w="9360" w:type="dxa"/>
            <w:tcBorders>
              <w:top w:val="none" w:sz="0" w:space="0" w:color="FFFFFF"/>
              <w:left w:val="single" w:sz="20" w:space="0" w:color="1A7A8A"/>
              <w:bottom w:val="none" w:sz="0" w:space="0" w:color="FFFFFF"/>
              <w:right w:val="none" w:sz="0" w:space="0" w:color="FFFFFF"/>
            </w:tcBorders>
            <w:shd w:val="clear" w:color="auto" w:fill="F4F7FA"/>
            <w:tcMar>
              <w:top w:w="100" w:type="dxa"/>
              <w:left w:w="180" w:type="dxa"/>
              <w:bottom w:w="100" w:type="dxa"/>
              <w:right w:w="120" w:type="dxa"/>
            </w:tcMar>
          </w:tcPr>
          <w:p w14:paraId="02A8F4C4" w14:textId="77777777" w:rsidR="002D3F49" w:rsidRDefault="002B5707">
            <w:pPr>
              <w:spacing w:after="40"/>
            </w:pPr>
            <w:r>
              <w:rPr>
                <w:b/>
                <w:bCs/>
                <w:color w:val="0D1F3C"/>
              </w:rPr>
              <w:t>Partner Dependency on Belgium</w:t>
            </w:r>
          </w:p>
          <w:p w14:paraId="02A8F4C5" w14:textId="1310F2D0" w:rsidR="002D3F49" w:rsidRDefault="002B5707">
            <w:r>
              <w:rPr>
                <w:sz w:val="19"/>
                <w:szCs w:val="19"/>
              </w:rPr>
              <w:t xml:space="preserve">Belgium's 23.73% share </w:t>
            </w:r>
            <w:r w:rsidR="00A92195">
              <w:rPr>
                <w:sz w:val="19"/>
                <w:szCs w:val="19"/>
              </w:rPr>
              <w:t>-</w:t>
            </w:r>
            <w:r>
              <w:rPr>
                <w:sz w:val="19"/>
                <w:szCs w:val="19"/>
              </w:rPr>
              <w:t xml:space="preserve"> driven by its role as a tobacco trading hub </w:t>
            </w:r>
            <w:r w:rsidR="00A92195">
              <w:rPr>
                <w:sz w:val="19"/>
                <w:szCs w:val="19"/>
              </w:rPr>
              <w:t>-</w:t>
            </w:r>
            <w:r>
              <w:rPr>
                <w:sz w:val="19"/>
                <w:szCs w:val="19"/>
              </w:rPr>
              <w:t xml:space="preserve"> means any shifts in European tobacco procurement or regulation could disproportionately impact Malawi's export revenue.</w:t>
            </w:r>
          </w:p>
        </w:tc>
      </w:tr>
    </w:tbl>
    <w:p w14:paraId="02A8F4C7"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CA" w14:textId="77777777">
        <w:tc>
          <w:tcPr>
            <w:tcW w:w="9360" w:type="dxa"/>
            <w:tcBorders>
              <w:top w:val="none" w:sz="0" w:space="0" w:color="FFFFFF"/>
              <w:left w:val="single" w:sz="20" w:space="0" w:color="27AE60"/>
              <w:bottom w:val="none" w:sz="0" w:space="0" w:color="FFFFFF"/>
              <w:right w:val="none" w:sz="0" w:space="0" w:color="FFFFFF"/>
            </w:tcBorders>
            <w:shd w:val="clear" w:color="auto" w:fill="F4F7FA"/>
            <w:tcMar>
              <w:top w:w="100" w:type="dxa"/>
              <w:left w:w="180" w:type="dxa"/>
              <w:bottom w:w="100" w:type="dxa"/>
              <w:right w:w="120" w:type="dxa"/>
            </w:tcMar>
          </w:tcPr>
          <w:p w14:paraId="02A8F4C8" w14:textId="77777777" w:rsidR="002D3F49" w:rsidRDefault="002B5707">
            <w:pPr>
              <w:spacing w:after="40"/>
            </w:pPr>
            <w:r>
              <w:rPr>
                <w:b/>
                <w:bCs/>
                <w:color w:val="0D1F3C"/>
              </w:rPr>
              <w:t>Stabilizing Trade Relationship</w:t>
            </w:r>
          </w:p>
          <w:p w14:paraId="02A8F4C9" w14:textId="07F060B6" w:rsidR="002D3F49" w:rsidRDefault="002B5707">
            <w:r>
              <w:rPr>
                <w:sz w:val="19"/>
                <w:szCs w:val="19"/>
              </w:rPr>
              <w:t xml:space="preserve">Declining rolling volatility with Belgium (from $71M in 2009 to $7.7M in 2023) signals a maturing, more predictable partnership </w:t>
            </w:r>
            <w:r w:rsidR="00A92195">
              <w:rPr>
                <w:sz w:val="19"/>
                <w:szCs w:val="19"/>
              </w:rPr>
              <w:t>-</w:t>
            </w:r>
            <w:r>
              <w:rPr>
                <w:sz w:val="19"/>
                <w:szCs w:val="19"/>
              </w:rPr>
              <w:t xml:space="preserve"> a foundation for longer-term trade planning.</w:t>
            </w:r>
          </w:p>
        </w:tc>
      </w:tr>
    </w:tbl>
    <w:p w14:paraId="02A8F4CB"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CE" w14:textId="77777777">
        <w:tc>
          <w:tcPr>
            <w:tcW w:w="9360" w:type="dxa"/>
            <w:tcBorders>
              <w:top w:val="none" w:sz="0" w:space="0" w:color="FFFFFF"/>
              <w:left w:val="single" w:sz="20" w:space="0" w:color="0D1F3C"/>
              <w:bottom w:val="none" w:sz="0" w:space="0" w:color="FFFFFF"/>
              <w:right w:val="none" w:sz="0" w:space="0" w:color="FFFFFF"/>
            </w:tcBorders>
            <w:shd w:val="clear" w:color="auto" w:fill="F4F7FA"/>
            <w:tcMar>
              <w:top w:w="100" w:type="dxa"/>
              <w:left w:w="180" w:type="dxa"/>
              <w:bottom w:w="100" w:type="dxa"/>
              <w:right w:w="120" w:type="dxa"/>
            </w:tcMar>
          </w:tcPr>
          <w:p w14:paraId="02A8F4CC" w14:textId="77777777" w:rsidR="002D3F49" w:rsidRDefault="002B5707">
            <w:pPr>
              <w:spacing w:after="40"/>
            </w:pPr>
            <w:r>
              <w:rPr>
                <w:b/>
                <w:bCs/>
                <w:color w:val="0D1F3C"/>
              </w:rPr>
              <w:t>Cautious Optimism in the Forecast</w:t>
            </w:r>
          </w:p>
          <w:p w14:paraId="02A8F4CD" w14:textId="77777777" w:rsidR="002D3F49" w:rsidRDefault="002B5707">
            <w:r>
              <w:rPr>
                <w:sz w:val="19"/>
                <w:szCs w:val="19"/>
              </w:rPr>
              <w:t>The linear regression model projects a modest recovery in tobacco export values through 2029. However, global tobacco demand faces long-term headwinds from regulatory pressures and shifting consumption patterns, making diversification even more urgent.</w:t>
            </w:r>
          </w:p>
        </w:tc>
      </w:tr>
    </w:tbl>
    <w:p w14:paraId="02A8F4CF"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3F49" w14:paraId="02A8F4D2" w14:textId="77777777">
        <w:tc>
          <w:tcPr>
            <w:tcW w:w="9360" w:type="dxa"/>
            <w:tcBorders>
              <w:top w:val="none" w:sz="0" w:space="0" w:color="FFFFFF"/>
              <w:left w:val="single" w:sz="20" w:space="0" w:color="8A96A3"/>
              <w:bottom w:val="none" w:sz="0" w:space="0" w:color="FFFFFF"/>
              <w:right w:val="none" w:sz="0" w:space="0" w:color="FFFFFF"/>
            </w:tcBorders>
            <w:shd w:val="clear" w:color="auto" w:fill="F4F7FA"/>
            <w:tcMar>
              <w:top w:w="100" w:type="dxa"/>
              <w:left w:w="180" w:type="dxa"/>
              <w:bottom w:w="100" w:type="dxa"/>
              <w:right w:w="120" w:type="dxa"/>
            </w:tcMar>
          </w:tcPr>
          <w:p w14:paraId="02A8F4D0" w14:textId="77777777" w:rsidR="002D3F49" w:rsidRDefault="002B5707">
            <w:pPr>
              <w:spacing w:after="40"/>
            </w:pPr>
            <w:r>
              <w:rPr>
                <w:b/>
                <w:bCs/>
                <w:color w:val="0D1F3C"/>
              </w:rPr>
              <w:t>Data Infrastructure Opportunity</w:t>
            </w:r>
          </w:p>
          <w:p w14:paraId="02A8F4D1" w14:textId="77777777" w:rsidR="002D3F49" w:rsidRDefault="002B5707">
            <w:r>
              <w:rPr>
                <w:sz w:val="19"/>
                <w:szCs w:val="19"/>
              </w:rPr>
              <w:t>The 1997-1998 YoY anomaly highlights gaps in FAOSTAT data continuity for early years, suggesting an opportunity for improved trade data infrastructure to support more reliable long-horizon analyses for Malawian policymakers.</w:t>
            </w:r>
          </w:p>
        </w:tc>
      </w:tr>
    </w:tbl>
    <w:p w14:paraId="02A8F4D3" w14:textId="77777777" w:rsidR="002D3F49" w:rsidRDefault="002B5707">
      <w:r>
        <w:br w:type="page"/>
      </w:r>
    </w:p>
    <w:p w14:paraId="02A8F4D4" w14:textId="77777777" w:rsidR="002D3F49" w:rsidRDefault="002B5707">
      <w:pPr>
        <w:shd w:val="clear" w:color="auto" w:fill="1A7A8A"/>
        <w:spacing w:before="240" w:after="60"/>
      </w:pPr>
      <w:r>
        <w:rPr>
          <w:b/>
          <w:bCs/>
          <w:color w:val="FFFFFF"/>
          <w:sz w:val="18"/>
          <w:szCs w:val="18"/>
        </w:rPr>
        <w:lastRenderedPageBreak/>
        <w:t xml:space="preserve">  09  DATA SOURCE  </w:t>
      </w:r>
    </w:p>
    <w:p w14:paraId="02A8F4D5" w14:textId="77777777" w:rsidR="002D3F49" w:rsidRDefault="002B5707">
      <w:pPr>
        <w:pStyle w:val="Heading1"/>
      </w:pPr>
      <w:bookmarkStart w:id="22" w:name="_Toc224498865"/>
      <w:r>
        <w:t>Data Source &amp; Citation</w:t>
      </w:r>
      <w:bookmarkEnd w:id="22"/>
    </w:p>
    <w:p w14:paraId="02A8F4D6" w14:textId="77777777" w:rsidR="002D3F49" w:rsidRDefault="002D3F49">
      <w:pPr>
        <w:pBdr>
          <w:bottom w:val="single" w:sz="6" w:space="1" w:color="1A7A8A"/>
        </w:pBdr>
        <w:spacing w:after="160"/>
      </w:pPr>
    </w:p>
    <w:p w14:paraId="02A8F4D7" w14:textId="3A824AA8" w:rsidR="002D3F49" w:rsidRDefault="002B5707">
      <w:pPr>
        <w:spacing w:after="120"/>
        <w:jc w:val="both"/>
      </w:pPr>
      <w:r>
        <w:t xml:space="preserve">All trade data used in this analysis was sourced from the Food and Agriculture Organization of the United Nations (FAO) Statistical Database </w:t>
      </w:r>
      <w:r w:rsidR="00A92195">
        <w:t>-</w:t>
      </w:r>
      <w:r>
        <w:t xml:space="preserve"> FAOSTAT.</w:t>
      </w:r>
    </w:p>
    <w:p w14:paraId="02A8F4D8" w14:textId="77777777" w:rsidR="002D3F49" w:rsidRDefault="002D3F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D3F49" w14:paraId="02A8F4DB" w14:textId="77777777">
        <w:tc>
          <w:tcPr>
            <w:tcW w:w="240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D9" w14:textId="77777777" w:rsidR="002D3F49" w:rsidRDefault="002B5707">
            <w:r>
              <w:rPr>
                <w:b/>
                <w:bCs/>
                <w:color w:val="FFFFFF"/>
                <w:sz w:val="18"/>
                <w:szCs w:val="18"/>
              </w:rPr>
              <w:t>Field</w:t>
            </w:r>
          </w:p>
        </w:tc>
        <w:tc>
          <w:tcPr>
            <w:tcW w:w="6960" w:type="dxa"/>
            <w:tcBorders>
              <w:top w:val="single" w:sz="4" w:space="0" w:color="D0D8E4"/>
              <w:left w:val="single" w:sz="4" w:space="0" w:color="D0D8E4"/>
              <w:bottom w:val="single" w:sz="4" w:space="0" w:color="D0D8E4"/>
              <w:right w:val="single" w:sz="4" w:space="0" w:color="D0D8E4"/>
            </w:tcBorders>
            <w:shd w:val="clear" w:color="auto" w:fill="0D1F3C"/>
            <w:tcMar>
              <w:top w:w="80" w:type="dxa"/>
              <w:left w:w="120" w:type="dxa"/>
              <w:bottom w:w="80" w:type="dxa"/>
              <w:right w:w="120" w:type="dxa"/>
            </w:tcMar>
          </w:tcPr>
          <w:p w14:paraId="02A8F4DA" w14:textId="77777777" w:rsidR="002D3F49" w:rsidRDefault="002B5707">
            <w:r>
              <w:rPr>
                <w:b/>
                <w:bCs/>
                <w:color w:val="FFFFFF"/>
                <w:sz w:val="18"/>
                <w:szCs w:val="18"/>
              </w:rPr>
              <w:t>Details</w:t>
            </w:r>
          </w:p>
        </w:tc>
      </w:tr>
      <w:tr w:rsidR="002D3F49" w14:paraId="02A8F4DE" w14:textId="77777777">
        <w:tc>
          <w:tcPr>
            <w:tcW w:w="2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DC" w14:textId="77777777" w:rsidR="002D3F49" w:rsidRDefault="002B5707">
            <w:r>
              <w:rPr>
                <w:sz w:val="18"/>
                <w:szCs w:val="18"/>
              </w:rPr>
              <w:t>Source</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DD" w14:textId="758E10A3" w:rsidR="002D3F49" w:rsidRDefault="002B5707">
            <w:r>
              <w:rPr>
                <w:sz w:val="18"/>
                <w:szCs w:val="18"/>
              </w:rPr>
              <w:t xml:space="preserve">FAOSTAT </w:t>
            </w:r>
            <w:r w:rsidR="00A92195">
              <w:rPr>
                <w:sz w:val="18"/>
                <w:szCs w:val="18"/>
              </w:rPr>
              <w:t>-</w:t>
            </w:r>
            <w:r>
              <w:rPr>
                <w:sz w:val="18"/>
                <w:szCs w:val="18"/>
              </w:rPr>
              <w:t xml:space="preserve"> Food and Agriculture Organization of the United Nations</w:t>
            </w:r>
          </w:p>
        </w:tc>
      </w:tr>
      <w:tr w:rsidR="002D3F49" w14:paraId="02A8F4E1" w14:textId="77777777">
        <w:tc>
          <w:tcPr>
            <w:tcW w:w="2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DF" w14:textId="77777777" w:rsidR="002D3F49" w:rsidRDefault="002B5707">
            <w:r>
              <w:rPr>
                <w:sz w:val="18"/>
                <w:szCs w:val="18"/>
              </w:rPr>
              <w:t>URL</w:t>
            </w:r>
          </w:p>
        </w:tc>
        <w:tc>
          <w:tcPr>
            <w:tcW w:w="6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E0" w14:textId="77777777" w:rsidR="002D3F49" w:rsidRDefault="002B5707">
            <w:r>
              <w:rPr>
                <w:sz w:val="18"/>
                <w:szCs w:val="18"/>
              </w:rPr>
              <w:t>https://www.fao.org/faostat</w:t>
            </w:r>
          </w:p>
        </w:tc>
      </w:tr>
      <w:tr w:rsidR="002D3F49" w14:paraId="02A8F4E4" w14:textId="77777777">
        <w:tc>
          <w:tcPr>
            <w:tcW w:w="2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2" w14:textId="77777777" w:rsidR="002D3F49" w:rsidRDefault="002B5707">
            <w:r>
              <w:rPr>
                <w:sz w:val="18"/>
                <w:szCs w:val="18"/>
              </w:rPr>
              <w:t>Dataset</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3" w14:textId="77777777" w:rsidR="002D3F49" w:rsidRDefault="002B5707">
            <w:r>
              <w:rPr>
                <w:sz w:val="18"/>
                <w:szCs w:val="18"/>
              </w:rPr>
              <w:t>Trade: Crops and Livestock Products (Detailed Trade Matrix)</w:t>
            </w:r>
          </w:p>
        </w:tc>
      </w:tr>
      <w:tr w:rsidR="002D3F49" w14:paraId="02A8F4E7" w14:textId="77777777">
        <w:tc>
          <w:tcPr>
            <w:tcW w:w="2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E5" w14:textId="77777777" w:rsidR="002D3F49" w:rsidRDefault="002B5707">
            <w:r>
              <w:rPr>
                <w:sz w:val="18"/>
                <w:szCs w:val="18"/>
              </w:rPr>
              <w:t>Reporting Country</w:t>
            </w:r>
          </w:p>
        </w:tc>
        <w:tc>
          <w:tcPr>
            <w:tcW w:w="6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E6" w14:textId="77777777" w:rsidR="002D3F49" w:rsidRDefault="002B5707">
            <w:r>
              <w:rPr>
                <w:sz w:val="18"/>
                <w:szCs w:val="18"/>
              </w:rPr>
              <w:t>Malawi</w:t>
            </w:r>
          </w:p>
        </w:tc>
      </w:tr>
      <w:tr w:rsidR="002D3F49" w14:paraId="02A8F4EA" w14:textId="77777777">
        <w:tc>
          <w:tcPr>
            <w:tcW w:w="2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8" w14:textId="77777777" w:rsidR="002D3F49" w:rsidRDefault="002B5707">
            <w:r>
              <w:rPr>
                <w:sz w:val="18"/>
                <w:szCs w:val="18"/>
              </w:rPr>
              <w:t>Trade Flow</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9" w14:textId="77777777" w:rsidR="002D3F49" w:rsidRDefault="002B5707">
            <w:r>
              <w:rPr>
                <w:sz w:val="18"/>
                <w:szCs w:val="18"/>
              </w:rPr>
              <w:t>Export</w:t>
            </w:r>
          </w:p>
        </w:tc>
      </w:tr>
      <w:tr w:rsidR="002D3F49" w14:paraId="02A8F4ED" w14:textId="77777777">
        <w:tc>
          <w:tcPr>
            <w:tcW w:w="2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EB" w14:textId="77777777" w:rsidR="002D3F49" w:rsidRDefault="002B5707">
            <w:r>
              <w:rPr>
                <w:sz w:val="18"/>
                <w:szCs w:val="18"/>
              </w:rPr>
              <w:t>Time Range</w:t>
            </w:r>
          </w:p>
        </w:tc>
        <w:tc>
          <w:tcPr>
            <w:tcW w:w="6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EC" w14:textId="77777777" w:rsidR="002D3F49" w:rsidRDefault="002B5707">
            <w:r>
              <w:rPr>
                <w:sz w:val="18"/>
                <w:szCs w:val="18"/>
              </w:rPr>
              <w:t>1986 – 2024 (38 years)</w:t>
            </w:r>
          </w:p>
        </w:tc>
      </w:tr>
      <w:tr w:rsidR="002D3F49" w14:paraId="02A8F4F0" w14:textId="77777777">
        <w:tc>
          <w:tcPr>
            <w:tcW w:w="240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E" w14:textId="77777777" w:rsidR="002D3F49" w:rsidRDefault="002B5707">
            <w:r>
              <w:rPr>
                <w:sz w:val="18"/>
                <w:szCs w:val="18"/>
              </w:rPr>
              <w:t>Unit of Measure</w:t>
            </w:r>
          </w:p>
        </w:tc>
        <w:tc>
          <w:tcPr>
            <w:tcW w:w="6960" w:type="dxa"/>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tcPr>
          <w:p w14:paraId="02A8F4EF" w14:textId="77777777" w:rsidR="002D3F49" w:rsidRDefault="002B5707">
            <w:r>
              <w:rPr>
                <w:sz w:val="18"/>
                <w:szCs w:val="18"/>
              </w:rPr>
              <w:t>USD (1000 US$)</w:t>
            </w:r>
          </w:p>
        </w:tc>
      </w:tr>
      <w:tr w:rsidR="002D3F49" w14:paraId="02A8F4F3" w14:textId="77777777">
        <w:tc>
          <w:tcPr>
            <w:tcW w:w="240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F1" w14:textId="77777777" w:rsidR="002D3F49" w:rsidRDefault="002B5707">
            <w:r>
              <w:rPr>
                <w:sz w:val="18"/>
                <w:szCs w:val="18"/>
              </w:rPr>
              <w:t>Access Date</w:t>
            </w:r>
          </w:p>
        </w:tc>
        <w:tc>
          <w:tcPr>
            <w:tcW w:w="6960" w:type="dxa"/>
            <w:tcBorders>
              <w:top w:val="single" w:sz="4" w:space="0" w:color="D0D8E4"/>
              <w:left w:val="single" w:sz="4" w:space="0" w:color="D0D8E4"/>
              <w:bottom w:val="single" w:sz="4" w:space="0" w:color="D0D8E4"/>
              <w:right w:val="single" w:sz="4" w:space="0" w:color="D0D8E4"/>
            </w:tcBorders>
            <w:shd w:val="clear" w:color="auto" w:fill="F4F7FA"/>
            <w:tcMar>
              <w:top w:w="80" w:type="dxa"/>
              <w:left w:w="120" w:type="dxa"/>
              <w:bottom w:w="80" w:type="dxa"/>
              <w:right w:w="120" w:type="dxa"/>
            </w:tcMar>
          </w:tcPr>
          <w:p w14:paraId="02A8F4F2" w14:textId="77777777" w:rsidR="002D3F49" w:rsidRDefault="002B5707">
            <w:r>
              <w:rPr>
                <w:sz w:val="18"/>
                <w:szCs w:val="18"/>
              </w:rPr>
              <w:t>2025</w:t>
            </w:r>
          </w:p>
        </w:tc>
      </w:tr>
    </w:tbl>
    <w:p w14:paraId="02A8F4F4" w14:textId="77777777" w:rsidR="002D3F49" w:rsidRDefault="002D3F49">
      <w:pPr>
        <w:spacing w:after="200"/>
      </w:pPr>
    </w:p>
    <w:p w14:paraId="02A8F4F5" w14:textId="77777777" w:rsidR="002D3F49" w:rsidRDefault="002B5707">
      <w:pPr>
        <w:pStyle w:val="Heading2"/>
        <w:spacing w:after="120"/>
      </w:pPr>
      <w:bookmarkStart w:id="23" w:name="_Toc224498866"/>
      <w:r>
        <w:rPr>
          <w:color w:val="0D1F3C"/>
          <w:sz w:val="28"/>
          <w:szCs w:val="28"/>
        </w:rPr>
        <w:t>Acknowledgements</w:t>
      </w:r>
      <w:bookmarkEnd w:id="23"/>
    </w:p>
    <w:p w14:paraId="02A8F4F6" w14:textId="77777777" w:rsidR="002D3F49" w:rsidRDefault="002B5707">
      <w:pPr>
        <w:spacing w:after="120"/>
        <w:jc w:val="both"/>
      </w:pPr>
      <w:r>
        <w:t>This project was completed independently as part of a professional data analytics portfolio. The analytical pipeline was designed and executed in KNIME Analytics Platform (</w:t>
      </w:r>
      <w:proofErr w:type="gramStart"/>
      <w:r>
        <w:t>open-source</w:t>
      </w:r>
      <w:proofErr w:type="gramEnd"/>
      <w:r>
        <w:t>). All findings and interpretations are those of the author.</w:t>
      </w:r>
    </w:p>
    <w:p w14:paraId="02A8F4F7" w14:textId="77777777" w:rsidR="002D3F49" w:rsidRDefault="002D3F49">
      <w:pPr>
        <w:spacing w:after="200"/>
      </w:pPr>
    </w:p>
    <w:p w14:paraId="02A8F4F8" w14:textId="77777777" w:rsidR="002D3F49" w:rsidRDefault="002D3F49">
      <w:pPr>
        <w:pBdr>
          <w:bottom w:val="single" w:sz="12" w:space="1" w:color="E8A020"/>
        </w:pBdr>
        <w:spacing w:after="160"/>
      </w:pPr>
    </w:p>
    <w:p w14:paraId="02A8F4F9" w14:textId="77777777" w:rsidR="002D3F49" w:rsidRDefault="002B5707">
      <w:pPr>
        <w:jc w:val="center"/>
      </w:pPr>
      <w:r>
        <w:rPr>
          <w:color w:val="8A96A3"/>
          <w:sz w:val="17"/>
          <w:szCs w:val="17"/>
        </w:rPr>
        <w:t>Philip Katema  ·  Data Analytics Portfolio  ·  2025</w:t>
      </w:r>
    </w:p>
    <w:sectPr w:rsidR="002D3F49">
      <w:headerReference w:type="default" r:id="rId16"/>
      <w:footerReference w:type="default" r:id="rId1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19560" w14:textId="77777777" w:rsidR="00EC59B2" w:rsidRDefault="00EC59B2">
      <w:r>
        <w:separator/>
      </w:r>
    </w:p>
  </w:endnote>
  <w:endnote w:type="continuationSeparator" w:id="0">
    <w:p w14:paraId="14C4495F" w14:textId="77777777" w:rsidR="00EC59B2" w:rsidRDefault="00EC5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F50D" w14:textId="2BCF22C2" w:rsidR="002D3F49" w:rsidRPr="0072795A" w:rsidRDefault="002B5707">
    <w:pPr>
      <w:pBdr>
        <w:top w:val="single" w:sz="4" w:space="1" w:color="D0D8E4"/>
      </w:pBdr>
      <w:tabs>
        <w:tab w:val="right" w:pos="9360"/>
      </w:tabs>
      <w:spacing w:before="60"/>
      <w:rPr>
        <w:color w:val="8A96A3"/>
        <w:sz w:val="16"/>
        <w:szCs w:val="16"/>
      </w:rPr>
    </w:pPr>
    <w:r>
      <w:rPr>
        <w:color w:val="8A96A3"/>
        <w:sz w:val="16"/>
        <w:szCs w:val="16"/>
      </w:rPr>
      <w:t>Philip Katema  ·  Data Analytics Portfolio  ·  202</w:t>
    </w:r>
    <w:r w:rsidR="0072795A">
      <w:rPr>
        <w:color w:val="8A96A3"/>
        <w:sz w:val="16"/>
        <w:szCs w:val="16"/>
      </w:rPr>
      <w:t>6</w:t>
    </w:r>
    <w:r>
      <w:rPr>
        <w:color w:val="8A96A3"/>
        <w:sz w:val="16"/>
        <w:szCs w:val="16"/>
      </w:rPr>
      <w:tab/>
      <w:t xml:space="preserve">Page </w:t>
    </w:r>
    <w:r>
      <w:rPr>
        <w:color w:val="8A96A3"/>
        <w:sz w:val="16"/>
        <w:szCs w:val="16"/>
      </w:rPr>
      <w:fldChar w:fldCharType="begin"/>
    </w:r>
    <w:r>
      <w:rPr>
        <w:color w:val="8A96A3"/>
        <w:sz w:val="16"/>
        <w:szCs w:val="16"/>
      </w:rPr>
      <w:instrText>PAGE</w:instrText>
    </w:r>
    <w:r>
      <w:rPr>
        <w:color w:val="8A96A3"/>
        <w:sz w:val="16"/>
        <w:szCs w:val="16"/>
      </w:rPr>
      <w:fldChar w:fldCharType="separate"/>
    </w:r>
    <w:r w:rsidR="00AD3158">
      <w:rPr>
        <w:noProof/>
        <w:color w:val="8A96A3"/>
        <w:sz w:val="16"/>
        <w:szCs w:val="16"/>
      </w:rPr>
      <w:t>1</w:t>
    </w:r>
    <w:r>
      <w:rPr>
        <w:color w:val="8A96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A5C2" w14:textId="77777777" w:rsidR="00EC59B2" w:rsidRDefault="00EC59B2">
      <w:r>
        <w:separator/>
      </w:r>
    </w:p>
  </w:footnote>
  <w:footnote w:type="continuationSeparator" w:id="0">
    <w:p w14:paraId="309ABE9E" w14:textId="77777777" w:rsidR="00EC59B2" w:rsidRDefault="00EC5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8F50C" w14:textId="77777777" w:rsidR="002D3F49" w:rsidRDefault="002B5707">
    <w:pPr>
      <w:pBdr>
        <w:bottom w:val="single" w:sz="6" w:space="1" w:color="1A7A8A"/>
      </w:pBdr>
      <w:tabs>
        <w:tab w:val="right" w:pos="9360"/>
      </w:tabs>
    </w:pPr>
    <w:r>
      <w:rPr>
        <w:b/>
        <w:bCs/>
        <w:color w:val="0D1F3C"/>
        <w:sz w:val="17"/>
        <w:szCs w:val="17"/>
      </w:rPr>
      <w:t>MALAWI TRADE INTELLIGENCE  |  Export Analysis 1986–2024</w:t>
    </w:r>
    <w:r>
      <w:tab/>
    </w:r>
    <w:r>
      <w:rPr>
        <w:color w:val="8A96A3"/>
        <w:sz w:val="16"/>
        <w:szCs w:val="16"/>
      </w:rPr>
      <w:t>FAOSTAT · Philip Katema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06A9"/>
    <w:multiLevelType w:val="hybridMultilevel"/>
    <w:tmpl w:val="B2B8B08E"/>
    <w:lvl w:ilvl="0" w:tplc="B2504642">
      <w:start w:val="1"/>
      <w:numFmt w:val="bullet"/>
      <w:lvlText w:val="●"/>
      <w:lvlJc w:val="left"/>
      <w:pPr>
        <w:ind w:left="720" w:hanging="360"/>
      </w:pPr>
    </w:lvl>
    <w:lvl w:ilvl="1" w:tplc="E67E2472">
      <w:start w:val="1"/>
      <w:numFmt w:val="bullet"/>
      <w:lvlText w:val="○"/>
      <w:lvlJc w:val="left"/>
      <w:pPr>
        <w:ind w:left="1440" w:hanging="360"/>
      </w:pPr>
    </w:lvl>
    <w:lvl w:ilvl="2" w:tplc="AB3EF0E6">
      <w:start w:val="1"/>
      <w:numFmt w:val="bullet"/>
      <w:lvlText w:val="■"/>
      <w:lvlJc w:val="left"/>
      <w:pPr>
        <w:ind w:left="2160" w:hanging="360"/>
      </w:pPr>
    </w:lvl>
    <w:lvl w:ilvl="3" w:tplc="3AA097EC">
      <w:start w:val="1"/>
      <w:numFmt w:val="bullet"/>
      <w:lvlText w:val="●"/>
      <w:lvlJc w:val="left"/>
      <w:pPr>
        <w:ind w:left="2880" w:hanging="360"/>
      </w:pPr>
    </w:lvl>
    <w:lvl w:ilvl="4" w:tplc="E8E40308">
      <w:start w:val="1"/>
      <w:numFmt w:val="bullet"/>
      <w:lvlText w:val="○"/>
      <w:lvlJc w:val="left"/>
      <w:pPr>
        <w:ind w:left="3600" w:hanging="360"/>
      </w:pPr>
    </w:lvl>
    <w:lvl w:ilvl="5" w:tplc="B87A9E70">
      <w:start w:val="1"/>
      <w:numFmt w:val="bullet"/>
      <w:lvlText w:val="■"/>
      <w:lvlJc w:val="left"/>
      <w:pPr>
        <w:ind w:left="4320" w:hanging="360"/>
      </w:pPr>
    </w:lvl>
    <w:lvl w:ilvl="6" w:tplc="D7C087C0">
      <w:start w:val="1"/>
      <w:numFmt w:val="bullet"/>
      <w:lvlText w:val="●"/>
      <w:lvlJc w:val="left"/>
      <w:pPr>
        <w:ind w:left="5040" w:hanging="360"/>
      </w:pPr>
    </w:lvl>
    <w:lvl w:ilvl="7" w:tplc="3ACACDA6">
      <w:start w:val="1"/>
      <w:numFmt w:val="bullet"/>
      <w:lvlText w:val="●"/>
      <w:lvlJc w:val="left"/>
      <w:pPr>
        <w:ind w:left="5760" w:hanging="360"/>
      </w:pPr>
    </w:lvl>
    <w:lvl w:ilvl="8" w:tplc="DC507804">
      <w:start w:val="1"/>
      <w:numFmt w:val="bullet"/>
      <w:lvlText w:val="●"/>
      <w:lvlJc w:val="left"/>
      <w:pPr>
        <w:ind w:left="6480" w:hanging="360"/>
      </w:pPr>
    </w:lvl>
  </w:abstractNum>
  <w:abstractNum w:abstractNumId="1" w15:restartNumberingAfterBreak="0">
    <w:nsid w:val="309326E2"/>
    <w:multiLevelType w:val="hybridMultilevel"/>
    <w:tmpl w:val="DC14AA20"/>
    <w:lvl w:ilvl="0" w:tplc="23DAC0CC">
      <w:start w:val="1"/>
      <w:numFmt w:val="bullet"/>
      <w:lvlText w:val="•"/>
      <w:lvlJc w:val="left"/>
      <w:pPr>
        <w:ind w:left="720" w:hanging="360"/>
      </w:pPr>
    </w:lvl>
    <w:lvl w:ilvl="1" w:tplc="FF866066">
      <w:numFmt w:val="decimal"/>
      <w:lvlText w:val=""/>
      <w:lvlJc w:val="left"/>
    </w:lvl>
    <w:lvl w:ilvl="2" w:tplc="A2F87E16">
      <w:numFmt w:val="decimal"/>
      <w:lvlText w:val=""/>
      <w:lvlJc w:val="left"/>
    </w:lvl>
    <w:lvl w:ilvl="3" w:tplc="B70A7162">
      <w:numFmt w:val="decimal"/>
      <w:lvlText w:val=""/>
      <w:lvlJc w:val="left"/>
    </w:lvl>
    <w:lvl w:ilvl="4" w:tplc="432E9D40">
      <w:numFmt w:val="decimal"/>
      <w:lvlText w:val=""/>
      <w:lvlJc w:val="left"/>
    </w:lvl>
    <w:lvl w:ilvl="5" w:tplc="08D4E85C">
      <w:numFmt w:val="decimal"/>
      <w:lvlText w:val=""/>
      <w:lvlJc w:val="left"/>
    </w:lvl>
    <w:lvl w:ilvl="6" w:tplc="9B12A810">
      <w:numFmt w:val="decimal"/>
      <w:lvlText w:val=""/>
      <w:lvlJc w:val="left"/>
    </w:lvl>
    <w:lvl w:ilvl="7" w:tplc="06E4CD58">
      <w:numFmt w:val="decimal"/>
      <w:lvlText w:val=""/>
      <w:lvlJc w:val="left"/>
    </w:lvl>
    <w:lvl w:ilvl="8" w:tplc="616A9ECC">
      <w:numFmt w:val="decimal"/>
      <w:lvlText w:val=""/>
      <w:lvlJc w:val="left"/>
    </w:lvl>
  </w:abstractNum>
  <w:num w:numId="1" w16cid:durableId="1222907846">
    <w:abstractNumId w:val="0"/>
    <w:lvlOverride w:ilvl="0">
      <w:startOverride w:val="1"/>
    </w:lvlOverride>
  </w:num>
  <w:num w:numId="2" w16cid:durableId="1916235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F49"/>
    <w:rsid w:val="002B5707"/>
    <w:rsid w:val="002D3F49"/>
    <w:rsid w:val="00356FD1"/>
    <w:rsid w:val="005B6872"/>
    <w:rsid w:val="005D770F"/>
    <w:rsid w:val="005F289C"/>
    <w:rsid w:val="0072795A"/>
    <w:rsid w:val="00A92195"/>
    <w:rsid w:val="00AD3158"/>
    <w:rsid w:val="00C55BDC"/>
    <w:rsid w:val="00D10F85"/>
    <w:rsid w:val="00EC59B2"/>
    <w:rsid w:val="00F83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F3E3"/>
  <w15:docId w15:val="{DE37186D-DCF7-4AF9-B3B8-3A913D6E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4A5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1F3C"/>
      <w:sz w:val="36"/>
      <w:szCs w:val="36"/>
    </w:rPr>
  </w:style>
  <w:style w:type="paragraph" w:styleId="Heading2">
    <w:name w:val="heading 2"/>
    <w:uiPriority w:val="9"/>
    <w:unhideWhenUsed/>
    <w:qFormat/>
    <w:pPr>
      <w:spacing w:before="240" w:after="100"/>
      <w:outlineLvl w:val="1"/>
    </w:pPr>
    <w:rPr>
      <w:b/>
      <w:bCs/>
      <w:color w:val="1A7A8A"/>
      <w:sz w:val="26"/>
      <w:szCs w:val="26"/>
    </w:rPr>
  </w:style>
  <w:style w:type="paragraph" w:styleId="Heading3">
    <w:name w:val="heading 3"/>
    <w:uiPriority w:val="9"/>
    <w:semiHidden/>
    <w:unhideWhenUsed/>
    <w:qFormat/>
    <w:pPr>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795A"/>
    <w:pPr>
      <w:tabs>
        <w:tab w:val="center" w:pos="4680"/>
        <w:tab w:val="right" w:pos="9360"/>
      </w:tabs>
    </w:pPr>
  </w:style>
  <w:style w:type="character" w:customStyle="1" w:styleId="HeaderChar">
    <w:name w:val="Header Char"/>
    <w:basedOn w:val="DefaultParagraphFont"/>
    <w:link w:val="Header"/>
    <w:uiPriority w:val="99"/>
    <w:rsid w:val="0072795A"/>
  </w:style>
  <w:style w:type="paragraph" w:styleId="Footer">
    <w:name w:val="footer"/>
    <w:basedOn w:val="Normal"/>
    <w:link w:val="FooterChar"/>
    <w:uiPriority w:val="99"/>
    <w:unhideWhenUsed/>
    <w:rsid w:val="0072795A"/>
    <w:pPr>
      <w:tabs>
        <w:tab w:val="center" w:pos="4680"/>
        <w:tab w:val="right" w:pos="9360"/>
      </w:tabs>
    </w:pPr>
  </w:style>
  <w:style w:type="character" w:customStyle="1" w:styleId="FooterChar">
    <w:name w:val="Footer Char"/>
    <w:basedOn w:val="DefaultParagraphFont"/>
    <w:link w:val="Footer"/>
    <w:uiPriority w:val="99"/>
    <w:rsid w:val="0072795A"/>
  </w:style>
  <w:style w:type="paragraph" w:styleId="TOC1">
    <w:name w:val="toc 1"/>
    <w:basedOn w:val="Normal"/>
    <w:next w:val="Normal"/>
    <w:autoRedefine/>
    <w:uiPriority w:val="39"/>
    <w:unhideWhenUsed/>
    <w:rsid w:val="00356FD1"/>
    <w:pPr>
      <w:spacing w:after="100"/>
    </w:pPr>
  </w:style>
  <w:style w:type="paragraph" w:styleId="TOC2">
    <w:name w:val="toc 2"/>
    <w:basedOn w:val="Normal"/>
    <w:next w:val="Normal"/>
    <w:autoRedefine/>
    <w:uiPriority w:val="39"/>
    <w:unhideWhenUsed/>
    <w:rsid w:val="00356FD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2217</Words>
  <Characters>13438</Characters>
  <Application>Microsoft Office Word</Application>
  <DocSecurity>0</DocSecurity>
  <Lines>383</Lines>
  <Paragraphs>240</Paragraphs>
  <ScaleCrop>false</ScaleCrop>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Katema, Philip</cp:lastModifiedBy>
  <cp:revision>7</cp:revision>
  <dcterms:created xsi:type="dcterms:W3CDTF">2026-03-16T01:47:00Z</dcterms:created>
  <dcterms:modified xsi:type="dcterms:W3CDTF">2026-03-16T03:28:00Z</dcterms:modified>
</cp:coreProperties>
</file>