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3953" w14:textId="189612B4" w:rsidR="00EE2A31" w:rsidRDefault="00EE2A31" w:rsidP="00EE2A31">
      <w:pPr>
        <w:pStyle w:val="Title"/>
        <w:jc w:val="center"/>
      </w:pPr>
      <w:r>
        <w:t>A Custom-Built Educational Technology Platform for</w:t>
      </w:r>
    </w:p>
    <w:p w14:paraId="0860572D" w14:textId="2700E6CF" w:rsidR="00EE2A31" w:rsidRDefault="00EE2A31" w:rsidP="00EE2A31">
      <w:pPr>
        <w:pStyle w:val="Title"/>
        <w:jc w:val="center"/>
      </w:pPr>
      <w:r>
        <w:t>Computational Thinking Development in Developing Economies</w:t>
      </w:r>
    </w:p>
    <w:p w14:paraId="71ADE324" w14:textId="2F657714" w:rsidR="00EE2A31" w:rsidRPr="00EE2A31" w:rsidRDefault="00EE2A31" w:rsidP="00EE2A31">
      <w:pPr>
        <w:pStyle w:val="Subtitle"/>
        <w:jc w:val="center"/>
        <w:rPr>
          <w:vertAlign w:val="superscript"/>
        </w:rPr>
      </w:pPr>
      <w:r>
        <w:t>Philip Hotor</w:t>
      </w:r>
      <w:r>
        <w:rPr>
          <w:vertAlign w:val="superscript"/>
        </w:rPr>
        <w:t>1</w:t>
      </w:r>
      <w:r>
        <w:t>, Michael Hotor</w:t>
      </w:r>
      <w:r>
        <w:rPr>
          <w:vertAlign w:val="superscript"/>
        </w:rPr>
        <w:t>1</w:t>
      </w:r>
    </w:p>
    <w:p w14:paraId="36EFC3DB" w14:textId="77777777" w:rsidR="00EE2A31" w:rsidRDefault="00EE2A31" w:rsidP="00EE2A31">
      <w:pPr>
        <w:pStyle w:val="Subtitle"/>
        <w:jc w:val="center"/>
      </w:pPr>
      <w:r>
        <w:t>Kone Academy, Accra, Ghana</w:t>
      </w:r>
    </w:p>
    <w:p w14:paraId="7B422B63" w14:textId="297C1749" w:rsidR="00EE2A31" w:rsidRDefault="00EE2A31" w:rsidP="00EE2A31">
      <w:pPr>
        <w:pStyle w:val="Subtitle"/>
        <w:jc w:val="center"/>
      </w:pPr>
      <w:r>
        <w:t>Philipkone45@gmail.com</w:t>
      </w:r>
    </w:p>
    <w:p w14:paraId="348767AE" w14:textId="77777777" w:rsidR="00EE2A31" w:rsidRDefault="00EE2A31" w:rsidP="00EE2A31">
      <w:pPr>
        <w:spacing w:line="360" w:lineRule="auto"/>
        <w:jc w:val="both"/>
      </w:pPr>
      <w:r w:rsidRPr="00CA29BC">
        <w:rPr>
          <w:rStyle w:val="Heading1Char"/>
        </w:rPr>
        <w:t>Abstract</w:t>
      </w:r>
      <w:r>
        <w:t xml:space="preserve"> (250-300 words):</w:t>
      </w:r>
    </w:p>
    <w:p w14:paraId="49A15BA5" w14:textId="77777777" w:rsidR="00EE2A31" w:rsidRDefault="00EE2A31" w:rsidP="00EE2A31">
      <w:pPr>
        <w:spacing w:line="360" w:lineRule="auto"/>
        <w:jc w:val="both"/>
      </w:pPr>
      <w:r>
        <w:t>- Background: Coding education gap in Ghana and Sub-Saharan Africa</w:t>
      </w:r>
    </w:p>
    <w:p w14:paraId="4E45B630" w14:textId="73D76AAF" w:rsidR="00EE2A31" w:rsidRDefault="00EE2A31" w:rsidP="00EE2A31">
      <w:pPr>
        <w:spacing w:line="360" w:lineRule="auto"/>
        <w:jc w:val="both"/>
      </w:pPr>
      <w:r>
        <w:t xml:space="preserve">- Problem: Lack of </w:t>
      </w:r>
      <w:r w:rsidR="00CA29BC">
        <w:t>locally relevant</w:t>
      </w:r>
      <w:r>
        <w:t>, scaffolded, offline-capable platforms</w:t>
      </w:r>
    </w:p>
    <w:p w14:paraId="636B22D5" w14:textId="77777777" w:rsidR="00EE2A31" w:rsidRDefault="00EE2A31" w:rsidP="00EE2A31">
      <w:pPr>
        <w:spacing w:line="360" w:lineRule="auto"/>
        <w:jc w:val="both"/>
      </w:pPr>
      <w:r>
        <w:t>- Objective: Present Kone Academy's three-tiered approach (Coding→Robotics→AI)</w:t>
      </w:r>
    </w:p>
    <w:p w14:paraId="20242597" w14:textId="77777777" w:rsidR="00EE2A31" w:rsidRDefault="00EE2A31" w:rsidP="00EE2A31">
      <w:pPr>
        <w:spacing w:line="360" w:lineRule="auto"/>
        <w:jc w:val="both"/>
      </w:pPr>
      <w:r>
        <w:t>- Methods: Design-based research; literature synthesis of 101 papers</w:t>
      </w:r>
    </w:p>
    <w:p w14:paraId="25C2CE06" w14:textId="77777777" w:rsidR="00EE2A31" w:rsidRDefault="00EE2A31" w:rsidP="00EE2A31">
      <w:pPr>
        <w:spacing w:line="360" w:lineRule="auto"/>
        <w:jc w:val="both"/>
      </w:pPr>
      <w:r>
        <w:t>- Results: Framework addressing infrastructure, pedagogy, and progression</w:t>
      </w:r>
    </w:p>
    <w:p w14:paraId="3D66908D" w14:textId="77777777" w:rsidR="00EE2A31" w:rsidRDefault="00EE2A31" w:rsidP="00EE2A31">
      <w:pPr>
        <w:spacing w:line="360" w:lineRule="auto"/>
        <w:jc w:val="both"/>
      </w:pPr>
      <w:r>
        <w:t>- Conclusions: Implications for CS education in developing contexts</w:t>
      </w:r>
    </w:p>
    <w:p w14:paraId="22C438EE" w14:textId="77777777" w:rsidR="00EE2A31" w:rsidRDefault="00EE2A31" w:rsidP="00EE2A31">
      <w:pPr>
        <w:spacing w:line="360" w:lineRule="auto"/>
        <w:jc w:val="both"/>
      </w:pPr>
      <w:r>
        <w:t xml:space="preserve">- Keywords: Computational thinking, block-based programming, Ghana, EdTech, AI </w:t>
      </w:r>
    </w:p>
    <w:p w14:paraId="22BD6F77" w14:textId="16ED00E2" w:rsidR="00EE2A31" w:rsidRDefault="00EE2A31" w:rsidP="00EE2A31">
      <w:pPr>
        <w:spacing w:line="360" w:lineRule="auto"/>
        <w:jc w:val="both"/>
      </w:pPr>
      <w:r>
        <w:t xml:space="preserve">  education, robotics, developing countries</w:t>
      </w:r>
    </w:p>
    <w:p w14:paraId="6476F02E" w14:textId="5949C1F2" w:rsidR="00EE2A31" w:rsidRPr="00CA29BC" w:rsidRDefault="00CA29BC" w:rsidP="00EE2A31">
      <w:pPr>
        <w:spacing w:line="360" w:lineRule="auto"/>
        <w:jc w:val="both"/>
        <w:rPr>
          <w:i/>
          <w:iCs/>
        </w:rPr>
      </w:pPr>
      <w:r w:rsidRPr="00CA29BC">
        <w:rPr>
          <w:i/>
          <w:iCs/>
        </w:rPr>
        <w:t xml:space="preserve">Keywords: </w:t>
      </w:r>
      <w:r w:rsidR="00EE2A31" w:rsidRPr="00CA29BC">
        <w:rPr>
          <w:i/>
          <w:iCs/>
        </w:rPr>
        <w:t xml:space="preserve">Computational thinking; Block-based programming; STEM education; </w:t>
      </w:r>
      <w:r w:rsidRPr="00CA29BC">
        <w:rPr>
          <w:i/>
          <w:iCs/>
        </w:rPr>
        <w:t>Ghana</w:t>
      </w:r>
      <w:r>
        <w:rPr>
          <w:i/>
          <w:iCs/>
        </w:rPr>
        <w:t xml:space="preserve">; </w:t>
      </w:r>
      <w:r w:rsidR="00EE2A31" w:rsidRPr="00CA29BC">
        <w:rPr>
          <w:i/>
          <w:iCs/>
        </w:rPr>
        <w:t>Educational technology; AI literacy; Developing countries</w:t>
      </w:r>
    </w:p>
    <w:p w14:paraId="7923B165" w14:textId="2A24B9E8" w:rsidR="00EE2A31" w:rsidRDefault="00EE2A31" w:rsidP="00EE2A31">
      <w:pPr>
        <w:spacing w:line="360" w:lineRule="auto"/>
        <w:jc w:val="both"/>
      </w:pPr>
      <w:r w:rsidRPr="00CA29BC">
        <w:rPr>
          <w:rStyle w:val="Heading1Char"/>
        </w:rPr>
        <w:t>INTRODUCTION</w:t>
      </w:r>
      <w:r>
        <w:t xml:space="preserve"> (1,000-1,500 words)</w:t>
      </w:r>
    </w:p>
    <w:p w14:paraId="69595D62" w14:textId="77777777" w:rsidR="00EE2A31" w:rsidRDefault="00EE2A31" w:rsidP="00EE2A31">
      <w:pPr>
        <w:spacing w:line="360" w:lineRule="auto"/>
        <w:jc w:val="both"/>
      </w:pPr>
      <w:r>
        <w:t>2.1 Background and Context (300 words)</w:t>
      </w:r>
    </w:p>
    <w:p w14:paraId="246075CF" w14:textId="77777777" w:rsidR="00EE2A31" w:rsidRDefault="00EE2A31" w:rsidP="00EE2A31">
      <w:pPr>
        <w:spacing w:line="360" w:lineRule="auto"/>
        <w:jc w:val="both"/>
      </w:pPr>
      <w:r>
        <w:lastRenderedPageBreak/>
        <w:t xml:space="preserve">   - Global push for computational thinking in K-12 education</w:t>
      </w:r>
    </w:p>
    <w:p w14:paraId="23944DAF" w14:textId="77777777" w:rsidR="00EE2A31" w:rsidRDefault="00EE2A31" w:rsidP="00EE2A31">
      <w:pPr>
        <w:spacing w:line="360" w:lineRule="auto"/>
        <w:jc w:val="both"/>
      </w:pPr>
      <w:r>
        <w:t xml:space="preserve">   - UNESCO ICT competency framework</w:t>
      </w:r>
    </w:p>
    <w:p w14:paraId="0B74F0FE" w14:textId="77777777" w:rsidR="00EE2A31" w:rsidRDefault="00EE2A31" w:rsidP="00EE2A31">
      <w:pPr>
        <w:spacing w:line="360" w:lineRule="auto"/>
        <w:jc w:val="both"/>
      </w:pPr>
      <w:r>
        <w:t xml:space="preserve">   - SDG 4: Quality education</w:t>
      </w:r>
    </w:p>
    <w:p w14:paraId="204DFF84" w14:textId="77777777" w:rsidR="00EE2A31" w:rsidRDefault="00EE2A31" w:rsidP="00EE2A31">
      <w:pPr>
        <w:spacing w:line="360" w:lineRule="auto"/>
        <w:jc w:val="both"/>
      </w:pPr>
      <w:r>
        <w:t xml:space="preserve">   - Africa's growing youth population and digital economy needs</w:t>
      </w:r>
    </w:p>
    <w:p w14:paraId="7D6C9F74" w14:textId="77777777" w:rsidR="00EE2A31" w:rsidRDefault="00EE2A31" w:rsidP="00EE2A31">
      <w:pPr>
        <w:spacing w:line="360" w:lineRule="auto"/>
        <w:jc w:val="both"/>
      </w:pPr>
      <w:r>
        <w:t>2.2 The Ghanaian Context (400 words)</w:t>
      </w:r>
    </w:p>
    <w:p w14:paraId="4B2E2E55" w14:textId="77777777" w:rsidR="00EE2A31" w:rsidRDefault="00EE2A31" w:rsidP="00EE2A31">
      <w:pPr>
        <w:spacing w:line="360" w:lineRule="auto"/>
        <w:jc w:val="both"/>
      </w:pPr>
      <w:r>
        <w:t xml:space="preserve">   - Ghana's ICT in Education policy</w:t>
      </w:r>
    </w:p>
    <w:p w14:paraId="45B46332" w14:textId="77777777" w:rsidR="00EE2A31" w:rsidRDefault="00EE2A31" w:rsidP="00EE2A31">
      <w:pPr>
        <w:spacing w:line="360" w:lineRule="auto"/>
        <w:jc w:val="both"/>
      </w:pPr>
      <w:r>
        <w:t xml:space="preserve">   - Current state of computer science in basic schools</w:t>
      </w:r>
    </w:p>
    <w:p w14:paraId="344E59B8" w14:textId="77777777" w:rsidR="00EE2A31" w:rsidRDefault="00EE2A31" w:rsidP="00EE2A31">
      <w:pPr>
        <w:spacing w:line="360" w:lineRule="auto"/>
        <w:jc w:val="both"/>
      </w:pPr>
      <w:r>
        <w:t xml:space="preserve">   - Infrastructure challenges (connectivity, devices, electricity)</w:t>
      </w:r>
    </w:p>
    <w:p w14:paraId="3CD4B88B" w14:textId="77777777" w:rsidR="00EE2A31" w:rsidRDefault="00EE2A31" w:rsidP="00EE2A31">
      <w:pPr>
        <w:spacing w:line="360" w:lineRule="auto"/>
        <w:jc w:val="both"/>
      </w:pPr>
      <w:r>
        <w:t xml:space="preserve">   - Teacher capacity gaps</w:t>
      </w:r>
    </w:p>
    <w:p w14:paraId="47B87806" w14:textId="77777777" w:rsidR="00EE2A31" w:rsidRDefault="00EE2A31" w:rsidP="00EE2A31">
      <w:pPr>
        <w:spacing w:line="360" w:lineRule="auto"/>
        <w:jc w:val="both"/>
      </w:pPr>
      <w:r>
        <w:t xml:space="preserve">   - Urban-rural digital divide</w:t>
      </w:r>
    </w:p>
    <w:p w14:paraId="0AE15B9E" w14:textId="77777777" w:rsidR="00EE2A31" w:rsidRDefault="00EE2A31" w:rsidP="00EE2A31">
      <w:pPr>
        <w:spacing w:line="360" w:lineRule="auto"/>
        <w:jc w:val="both"/>
      </w:pPr>
      <w:r>
        <w:t xml:space="preserve">   - Curriculum implementation gaps</w:t>
      </w:r>
    </w:p>
    <w:p w14:paraId="30AD348D" w14:textId="77777777" w:rsidR="00EE2A31" w:rsidRDefault="00EE2A31" w:rsidP="00EE2A31">
      <w:pPr>
        <w:spacing w:line="360" w:lineRule="auto"/>
        <w:jc w:val="both"/>
      </w:pPr>
      <w:r>
        <w:t>2.3 Problem Statement (300 words)</w:t>
      </w:r>
    </w:p>
    <w:p w14:paraId="7FC5E56E" w14:textId="77777777" w:rsidR="00EE2A31" w:rsidRDefault="00EE2A31" w:rsidP="00EE2A31">
      <w:pPr>
        <w:spacing w:line="360" w:lineRule="auto"/>
        <w:jc w:val="both"/>
      </w:pPr>
      <w:r>
        <w:t xml:space="preserve">   - Lack of locally-adapted educational technology</w:t>
      </w:r>
    </w:p>
    <w:p w14:paraId="65FFA67E" w14:textId="77777777" w:rsidR="00EE2A31" w:rsidRDefault="00EE2A31" w:rsidP="00EE2A31">
      <w:pPr>
        <w:spacing w:line="360" w:lineRule="auto"/>
        <w:jc w:val="both"/>
      </w:pPr>
      <w:r>
        <w:t xml:space="preserve">   - Gap between policy and practice</w:t>
      </w:r>
    </w:p>
    <w:p w14:paraId="1BA32198" w14:textId="77777777" w:rsidR="00EE2A31" w:rsidRDefault="00EE2A31" w:rsidP="00EE2A31">
      <w:pPr>
        <w:spacing w:line="360" w:lineRule="auto"/>
        <w:jc w:val="both"/>
      </w:pPr>
      <w:r>
        <w:t xml:space="preserve">   - Need for scaffolded progression (not one-size-fits-all)</w:t>
      </w:r>
    </w:p>
    <w:p w14:paraId="5C4C7452" w14:textId="77777777" w:rsidR="00EE2A31" w:rsidRDefault="00EE2A31" w:rsidP="00EE2A31">
      <w:pPr>
        <w:spacing w:line="360" w:lineRule="auto"/>
        <w:jc w:val="both"/>
      </w:pPr>
      <w:r>
        <w:t xml:space="preserve">   - Offline capability requirements</w:t>
      </w:r>
    </w:p>
    <w:p w14:paraId="7C175F27" w14:textId="77777777" w:rsidR="00EE2A31" w:rsidRDefault="00EE2A31" w:rsidP="00EE2A31">
      <w:pPr>
        <w:spacing w:line="360" w:lineRule="auto"/>
        <w:jc w:val="both"/>
      </w:pPr>
      <w:r>
        <w:t xml:space="preserve">   - Limited research on African CS education contexts</w:t>
      </w:r>
    </w:p>
    <w:p w14:paraId="4C7A88F4" w14:textId="77777777" w:rsidR="00EE2A31" w:rsidRDefault="00EE2A31" w:rsidP="00EE2A31">
      <w:pPr>
        <w:spacing w:line="360" w:lineRule="auto"/>
        <w:jc w:val="both"/>
      </w:pPr>
      <w:r>
        <w:t>2.4 Research Questions (100 words)</w:t>
      </w:r>
    </w:p>
    <w:p w14:paraId="13E4C96B" w14:textId="77777777" w:rsidR="00EE2A31" w:rsidRDefault="00EE2A31" w:rsidP="00EE2A31">
      <w:pPr>
        <w:spacing w:line="360" w:lineRule="auto"/>
        <w:jc w:val="both"/>
      </w:pPr>
      <w:r>
        <w:t xml:space="preserve">   RQ1: What pedagogical frameworks best support progressive coding education </w:t>
      </w:r>
    </w:p>
    <w:p w14:paraId="4B0FBA01" w14:textId="77777777" w:rsidR="00EE2A31" w:rsidRDefault="00EE2A31" w:rsidP="00EE2A31">
      <w:pPr>
        <w:spacing w:line="360" w:lineRule="auto"/>
        <w:jc w:val="both"/>
      </w:pPr>
      <w:r>
        <w:t xml:space="preserve">        in resource-constrained contexts?</w:t>
      </w:r>
    </w:p>
    <w:p w14:paraId="355F91AE" w14:textId="77777777" w:rsidR="00EE2A31" w:rsidRDefault="00EE2A31" w:rsidP="00EE2A31">
      <w:pPr>
        <w:spacing w:line="360" w:lineRule="auto"/>
        <w:jc w:val="both"/>
      </w:pPr>
      <w:r>
        <w:t xml:space="preserve">   RQ2: How can block-based programming platforms be adapted for Ghanaian </w:t>
      </w:r>
    </w:p>
    <w:p w14:paraId="2E648778" w14:textId="77777777" w:rsidR="00EE2A31" w:rsidRDefault="00EE2A31" w:rsidP="00EE2A31">
      <w:pPr>
        <w:spacing w:line="360" w:lineRule="auto"/>
        <w:jc w:val="both"/>
      </w:pPr>
      <w:r>
        <w:t xml:space="preserve">        educational contexts?</w:t>
      </w:r>
    </w:p>
    <w:p w14:paraId="61ADD677" w14:textId="77777777" w:rsidR="00EE2A31" w:rsidRDefault="00EE2A31" w:rsidP="00EE2A31">
      <w:pPr>
        <w:spacing w:line="360" w:lineRule="auto"/>
        <w:jc w:val="both"/>
      </w:pPr>
      <w:r>
        <w:lastRenderedPageBreak/>
        <w:t xml:space="preserve">   RQ3: What scaffolding mechanisms support transition from visual to </w:t>
      </w:r>
    </w:p>
    <w:p w14:paraId="65098532" w14:textId="77777777" w:rsidR="00EE2A31" w:rsidRDefault="00EE2A31" w:rsidP="00EE2A31">
      <w:pPr>
        <w:spacing w:line="360" w:lineRule="auto"/>
        <w:jc w:val="both"/>
      </w:pPr>
      <w:r>
        <w:t xml:space="preserve">        text-based programming?</w:t>
      </w:r>
    </w:p>
    <w:p w14:paraId="3947B392" w14:textId="77777777" w:rsidR="00EE2A31" w:rsidRDefault="00EE2A31" w:rsidP="00EE2A31">
      <w:pPr>
        <w:spacing w:line="360" w:lineRule="auto"/>
        <w:jc w:val="both"/>
      </w:pPr>
      <w:r>
        <w:t xml:space="preserve">   RQ4: How can AI literacy be integrated into K-12 curricula in developing </w:t>
      </w:r>
    </w:p>
    <w:p w14:paraId="0EC0AACE" w14:textId="77777777" w:rsidR="00EE2A31" w:rsidRDefault="00EE2A31" w:rsidP="00EE2A31">
      <w:pPr>
        <w:spacing w:line="360" w:lineRule="auto"/>
        <w:jc w:val="both"/>
      </w:pPr>
      <w:r>
        <w:t xml:space="preserve">        countries?</w:t>
      </w:r>
    </w:p>
    <w:p w14:paraId="19777D36" w14:textId="77777777" w:rsidR="00EE2A31" w:rsidRDefault="00EE2A31" w:rsidP="00EE2A31">
      <w:pPr>
        <w:spacing w:line="360" w:lineRule="auto"/>
        <w:jc w:val="both"/>
      </w:pPr>
      <w:r>
        <w:t>2.5 Significance of the Study (100 words)</w:t>
      </w:r>
    </w:p>
    <w:p w14:paraId="180B4E8C" w14:textId="77777777" w:rsidR="00EE2A31" w:rsidRDefault="00EE2A31" w:rsidP="00EE2A31">
      <w:pPr>
        <w:spacing w:line="360" w:lineRule="auto"/>
        <w:jc w:val="both"/>
      </w:pPr>
      <w:r>
        <w:t xml:space="preserve">   - Contribution to African CS education research</w:t>
      </w:r>
    </w:p>
    <w:p w14:paraId="04D100BE" w14:textId="77777777" w:rsidR="00EE2A31" w:rsidRDefault="00EE2A31" w:rsidP="00EE2A31">
      <w:pPr>
        <w:spacing w:line="360" w:lineRule="auto"/>
        <w:jc w:val="both"/>
      </w:pPr>
      <w:r>
        <w:t xml:space="preserve">   - Practical implications for EdTech designers</w:t>
      </w:r>
    </w:p>
    <w:p w14:paraId="61162F1F" w14:textId="77777777" w:rsidR="00EE2A31" w:rsidRDefault="00EE2A31" w:rsidP="00EE2A31">
      <w:pPr>
        <w:spacing w:line="360" w:lineRule="auto"/>
        <w:jc w:val="both"/>
      </w:pPr>
      <w:r>
        <w:t xml:space="preserve">   - Policy implications for Ghana and similar contexts</w:t>
      </w:r>
    </w:p>
    <w:p w14:paraId="2B1A97A6" w14:textId="77777777" w:rsidR="00EE2A31" w:rsidRDefault="00EE2A31" w:rsidP="00EE2A31">
      <w:pPr>
        <w:spacing w:line="360" w:lineRule="auto"/>
        <w:jc w:val="both"/>
      </w:pPr>
      <w:r>
        <w:t xml:space="preserve">   - Methodological contribution (design-based research in developing contexts)</w:t>
      </w:r>
    </w:p>
    <w:p w14:paraId="2F4F1133" w14:textId="77777777" w:rsidR="00EE2A31" w:rsidRDefault="00EE2A31" w:rsidP="00EE2A31">
      <w:pPr>
        <w:spacing w:line="360" w:lineRule="auto"/>
        <w:jc w:val="both"/>
      </w:pPr>
      <w:r>
        <w:t>2.6 Structure of the Paper (100 words)</w:t>
      </w:r>
    </w:p>
    <w:p w14:paraId="0753951E" w14:textId="77777777" w:rsidR="00EE2A31" w:rsidRDefault="00EE2A31" w:rsidP="00EE2A31">
      <w:pPr>
        <w:spacing w:line="360" w:lineRule="auto"/>
        <w:jc w:val="both"/>
      </w:pPr>
      <w:r>
        <w:t xml:space="preserve">   [Brief overview of remaining sections]</w:t>
      </w:r>
    </w:p>
    <w:p w14:paraId="2BA1F837" w14:textId="54A925C3" w:rsidR="00EE2A31" w:rsidRDefault="00EE2A31" w:rsidP="00EE2A31">
      <w:pPr>
        <w:spacing w:line="360" w:lineRule="auto"/>
        <w:jc w:val="both"/>
      </w:pPr>
      <w:r w:rsidRPr="00532EC6">
        <w:rPr>
          <w:rStyle w:val="Heading1Char"/>
        </w:rPr>
        <w:t>LITERATURE REVIEW</w:t>
      </w:r>
    </w:p>
    <w:p w14:paraId="02FE36A1" w14:textId="2E6623DA" w:rsidR="00EE2A31" w:rsidRDefault="00EE2A31" w:rsidP="0098516E">
      <w:pPr>
        <w:pStyle w:val="Heading2"/>
      </w:pPr>
      <w:r>
        <w:t>3.1 Constructionism and Computational Thinking</w:t>
      </w:r>
    </w:p>
    <w:p w14:paraId="6D827FE6" w14:textId="46B6F217" w:rsidR="00EE2A31" w:rsidRDefault="00EE2A31" w:rsidP="0098516E">
      <w:pPr>
        <w:pStyle w:val="Heading3"/>
      </w:pPr>
      <w:r>
        <w:t>3.1.1 Papert's Constructionism</w:t>
      </w:r>
    </w:p>
    <w:p w14:paraId="5F6BB5BF" w14:textId="0420C02A" w:rsidR="00286CC6" w:rsidRDefault="00286CC6" w:rsidP="00286CC6">
      <w:pPr>
        <w:spacing w:line="360" w:lineRule="auto"/>
        <w:jc w:val="both"/>
      </w:pPr>
      <w:r>
        <w:t xml:space="preserve">The theoretical foundation of Kone Academy's pedagogical approach is rooted in Seymour Papert's theory of constructionism, which posits that learners construct knowledge most effectively when actively engaged in creating tangible artifacts (Papert, 1980). Unlike passive transmission models of education, constructionism emphasizes "learning by making," where the act of building something external, whether a physical object, a computer program, or a conceptual model, serves as the catalyst for deep cognitive restructuring. Papert developed this framework through his pioneering work with the Logo programming language at the Massachusetts Institute of Technology in the 1970s and 1980s, where he demonstrated that children as young as eight could engage with sophisticated </w:t>
      </w:r>
      <w:r>
        <w:lastRenderedPageBreak/>
        <w:t>computational concepts when provided with appropriate tools and scaffolding (Papert, 1980).</w:t>
      </w:r>
    </w:p>
    <w:p w14:paraId="1C26568E" w14:textId="38B831E3" w:rsidR="00286CC6" w:rsidRDefault="00286CC6" w:rsidP="00286CC6">
      <w:pPr>
        <w:spacing w:line="360" w:lineRule="auto"/>
        <w:jc w:val="both"/>
      </w:pPr>
      <w:r>
        <w:t>Central to Papert's vision was the concept of "objects-to-think-with"</w:t>
      </w:r>
      <w:r w:rsidR="002327D9">
        <w:t xml:space="preserve">, </w:t>
      </w:r>
      <w:r>
        <w:t>tangible or digital artifacts that serve as cognitive scaffolds, enabling learners to externalize abstract concepts and manipulate them concretely. In the Logo environment, the turtle served as such an object, allowing children to embody mathematical and computational ideas through movement and programming commands. This embodied, experiential approach to learning mathematics and computational thinking was revolutionary for its time, challenging the prevailing behaviorist paradigms that dominated educational practice (Papert, 1980). The constructionist approach recognizes that learning is not merely the acquisition of information but the active construction of understanding through personally meaningful projects, a principle that remains foundational to modern educational technology design (Resnick et al., 2009).</w:t>
      </w:r>
    </w:p>
    <w:p w14:paraId="16154BE6" w14:textId="644F63FF" w:rsidR="00286CC6" w:rsidRDefault="00286CC6" w:rsidP="00286CC6">
      <w:pPr>
        <w:spacing w:line="360" w:lineRule="auto"/>
        <w:jc w:val="both"/>
      </w:pPr>
      <w:r>
        <w:t>The relevance of Papert's constructionism to contemporary coding education platforms is profound and enduring. Despite being formulated over four decades ago, constructionist principles have been validated and extended through the widespread adoption of block-based programming environments such as Scratch, which have democratized access to creative coding for millions of children worldwide (Resnick et al., 2009; Maloney et al., 2010). Scratch's design explicitly embodies constructionist philosophy: it enables learners to create and share interactive stories, games, and animations, fostering a culture of creative expression and collaborative learning that Papert envisioned (Resnick et al., 2009). The platform's emphasis on "low floors, wide walls, and high ceilings"</w:t>
      </w:r>
      <w:r w:rsidR="002327D9">
        <w:t xml:space="preserve">, </w:t>
      </w:r>
      <w:r>
        <w:t>easy entry points, diverse project possibilities, and opportunities for increasingly sophisticated work</w:t>
      </w:r>
      <w:r w:rsidR="002327D9">
        <w:t xml:space="preserve">, </w:t>
      </w:r>
      <w:r>
        <w:t>directly operationalizes constructionist theory for the digital age (Resnick et al., 2009).</w:t>
      </w:r>
    </w:p>
    <w:p w14:paraId="49CFF5B9" w14:textId="7F30CC02" w:rsidR="00EE2A31" w:rsidRDefault="00286CC6" w:rsidP="00286CC6">
      <w:pPr>
        <w:spacing w:line="360" w:lineRule="auto"/>
        <w:jc w:val="both"/>
      </w:pPr>
      <w:r>
        <w:t xml:space="preserve">For developing educational technology platforms in resource-constrained contexts such as Ghana, constructionism offers a particularly valuable theoretical framework. Papert's emphasis on learner agency and self-directed exploration aligns with the need for pedagogical approaches that can accommodate diverse learning paces and limited teacher </w:t>
      </w:r>
      <w:r>
        <w:lastRenderedPageBreak/>
        <w:t>expertise, common challenges in under-resourced educational settings (Oyelere et al., 2017; Agyei-Okyere et al., 2016). Furthermore, constructionism's focus on creating shareable artifacts resonates with collectivist cultural values prevalent in many African contexts, where collaborative learning and community knowledge-sharing are deeply rooted social practices (Oyelere et al., 2017). By grounding Kone Academy's platform design in constructionist principles, the project leverages a theoretically robust, empirically validated, and culturally adaptable pedagogical framework that supports meaningful computational thinking development for Ghanaian learners.</w:t>
      </w:r>
      <w:r w:rsidR="00EE2A31">
        <w:t xml:space="preserve">   </w:t>
      </w:r>
    </w:p>
    <w:p w14:paraId="4A1293BF" w14:textId="0975DC46" w:rsidR="00EE2A31" w:rsidRDefault="00EE2A31" w:rsidP="0098516E">
      <w:pPr>
        <w:pStyle w:val="Heading3"/>
      </w:pPr>
      <w:r>
        <w:t>3.1.2 Computational Thinking as a Literacy</w:t>
      </w:r>
    </w:p>
    <w:p w14:paraId="2667E630" w14:textId="479855B5" w:rsidR="0098516E" w:rsidRDefault="0098516E" w:rsidP="0098516E">
      <w:pPr>
        <w:spacing w:line="360" w:lineRule="auto"/>
        <w:jc w:val="both"/>
      </w:pPr>
      <w:r>
        <w:t>While constructionism provides the pedagogical foundation for active learning, the concept of computational thinking (CT) defines the specific cognitive competencies that coding education aims to develop. Jeanette Wing's (2006) seminal paper, "Computational Thinking," fundamentally reshaped discourse around computer science education by arguing that CT represents a universally applicable analytical skill set, not merely vocational training for future programmers. Wing conceptualized computational thinking as "the thought processes involved in formulating problems and their solutions so that the solutions are represented in a form that can be effectively carried out by an information-processing agent" (Wing, 2006, p. 33). This broadened conceptualization elevated CT to the status of a fundamental literacy, comparable to reading, writing, and mathematics, that should be integrated across K-12 education for all students, regardless of their eventual career paths.</w:t>
      </w:r>
    </w:p>
    <w:p w14:paraId="5F46A2C7" w14:textId="7DFC6D3D" w:rsidR="0098516E" w:rsidRDefault="0098516E" w:rsidP="0098516E">
      <w:pPr>
        <w:spacing w:line="360" w:lineRule="auto"/>
        <w:jc w:val="both"/>
      </w:pPr>
      <w:r>
        <w:t>Wing (2006) identified several core components that constitute computational thinking, which have subsequently been refined and operationalized by researchers in the field. These foundational elements include: (1) decomposition</w:t>
      </w:r>
      <w:r w:rsidR="00960D79">
        <w:t xml:space="preserve">, </w:t>
      </w:r>
      <w:r>
        <w:t>the ability to break complex problems into smaller, more manageable sub-problems; (2) pattern recognition</w:t>
      </w:r>
      <w:r w:rsidR="00960D79">
        <w:t xml:space="preserve">, </w:t>
      </w:r>
      <w:r>
        <w:t>the capacity to identify similarities and regularities across problems; (3) abstraction</w:t>
      </w:r>
      <w:r w:rsidR="00960D79">
        <w:t xml:space="preserve">, </w:t>
      </w:r>
      <w:r>
        <w:t>the skill of filtering out unnecessary detail to focus on essential features; and (4) algorithmic thinking</w:t>
      </w:r>
      <w:r w:rsidR="00960D79">
        <w:t xml:space="preserve">, </w:t>
      </w:r>
      <w:r>
        <w:t xml:space="preserve">the process of developing step-by-step instructions to solve problems (Wing, 2006; Grover &amp; Pea, 2018). These competencies transcend specific programming languages or technologies, </w:t>
      </w:r>
      <w:r>
        <w:lastRenderedPageBreak/>
        <w:t>representing transferable analytical skills applicable across disciplines from science and mathematics to humanities and social sciences (Grover &amp; Pea, 2018).</w:t>
      </w:r>
    </w:p>
    <w:p w14:paraId="223D8B9C" w14:textId="77777777" w:rsidR="0098516E" w:rsidRDefault="0098516E" w:rsidP="0098516E">
      <w:pPr>
        <w:spacing w:line="360" w:lineRule="auto"/>
        <w:jc w:val="both"/>
      </w:pPr>
      <w:r>
        <w:t>The reconceptualization of computational thinking as a fundamental literacy rather than specialized technical training has profound implications for educational equity and curriculum design. As Wing (2006) argued, "Computational thinking is a fundamental skill for everyone, not just for computer scientists" (p. 33). This democratizing vision aligns closely with constructionist philosophy, as both frameworks advocate for broadening access to powerful ideas traditionally reserved for elite populations. The integration of CT into mainstream K-12 curricula has gained significant traction internationally, with educational policy bodies including the UK, Australia, and several US states mandating computer science and computational thinking components in primary and secondary education (Grover &amp; Pea, 2018; Tang et al., 2020).</w:t>
      </w:r>
    </w:p>
    <w:p w14:paraId="5CF97DBA" w14:textId="21C75512" w:rsidR="0098516E" w:rsidRDefault="0098516E" w:rsidP="0098516E">
      <w:pPr>
        <w:spacing w:line="360" w:lineRule="auto"/>
        <w:jc w:val="both"/>
      </w:pPr>
      <w:r>
        <w:t>However, the implementation of computational thinking education has faced persistent challenges, particularly regarding assessment and pedagogical clarity. Grover and Pea (2018) conducted a comprehensive review of CT in K-12 education, finding that while the concept has gained widespread acceptance, significant gaps remain in defining learning progressions, developing validated assessment instruments, and preparing teachers to effectively teach CT concepts. The authors noted that "the lack of consensus on what CT means in K-12 has led to a fragmented landscape where implementation varies widely in quality and focus" (Grover &amp; Pea, 2018, p. 21). This definitional ambiguity poses challenges for educational technology designers, who must operationalize CT concepts into concrete learning activities and assessment mechanisms within digital platforms.</w:t>
      </w:r>
    </w:p>
    <w:p w14:paraId="639A365A" w14:textId="7D41317F" w:rsidR="0098516E" w:rsidRDefault="0098516E" w:rsidP="0098516E">
      <w:pPr>
        <w:spacing w:line="360" w:lineRule="auto"/>
        <w:jc w:val="both"/>
      </w:pPr>
      <w:r>
        <w:t xml:space="preserve">For the Ghanaian educational context, the conceptualization of computational thinking as a fundamental literacy offers both opportunities and challenges. On one hand, framing CT as a universal skill rather than specialized vocational training may facilitate broader policy support and curriculum integration, aligning with national goals for STEM education and digital literacy development (Anamuah-Mensah &amp; Asabere, 2022). On the other hand, the abstract nature of CT competencies requires careful scaffolding and concrete </w:t>
      </w:r>
      <w:r>
        <w:lastRenderedPageBreak/>
        <w:t>exemplification, particularly for learners and teachers in contexts where computational technologies may be less familiar (Adarkwah et al., 2022). The Kone Academy platform addresses this challenge by operationalizing CT concepts through progressively structured activities that move from concrete block-based manipulation to abstract algorithmic reasoning, thereby making computational thinking tangible and assessable for Ghanaian learners while maintaining fidelity to Wing's (2006) original conceptualization of CT as a fundamental literacy for the digital age.</w:t>
      </w:r>
    </w:p>
    <w:p w14:paraId="0DD63CCE" w14:textId="3AC7E41B" w:rsidR="00EE2A31" w:rsidRDefault="00EE2A31" w:rsidP="003A123E">
      <w:pPr>
        <w:pStyle w:val="Heading3"/>
      </w:pPr>
      <w:r>
        <w:t>3.1.3 Scratch and Democratization of Coding</w:t>
      </w:r>
    </w:p>
    <w:p w14:paraId="6E30E594" w14:textId="77777777" w:rsidR="003A123E" w:rsidRDefault="003A123E" w:rsidP="003A123E">
      <w:pPr>
        <w:spacing w:line="360" w:lineRule="auto"/>
        <w:jc w:val="both"/>
      </w:pPr>
      <w:r>
        <w:t>The theoretical principles of constructionism and computational thinking find their most influential contemporary expression in the Scratch programming environment, developed by the Lifelong Kindergarten research group at the MIT Media Lab under the leadership of Mitchel Resnick. Resnick et al. (2009) articulated a compelling vision for democratizing coding through their seminal paper "Scratch: Programming for All," which argued that programming should be accessible to everyone, not merely professional software developers or computer science students. This democratizing mission directly operationalizes Papert's constructionist philosophy while extending it through networked digital technologies that enable unprecedented scales of creative collaboration and knowledge sharing (Resnick et al., 2009; Maloney et al., 2010).</w:t>
      </w:r>
    </w:p>
    <w:p w14:paraId="24D1E7CF" w14:textId="0F657A1A" w:rsidR="003A123E" w:rsidRDefault="003A123E" w:rsidP="003A123E">
      <w:pPr>
        <w:spacing w:line="360" w:lineRule="auto"/>
        <w:jc w:val="both"/>
      </w:pPr>
      <w:r>
        <w:t>Scratch's design philosophy centers on what Resnick et al. (2009) termed "low floors, wide walls, and high ceilings"</w:t>
      </w:r>
      <w:r w:rsidR="00C27154">
        <w:t xml:space="preserve">, </w:t>
      </w:r>
      <w:r>
        <w:t xml:space="preserve">a framework that ensures beginners can easily start creating (low floors), supports diverse project types and learning pathways (wide walls), and enables sophisticated computational work as learners develop expertise (high ceilings). The platform's visual, block-based interface eliminates syntax errors that traditionally frustrated novice programmers, allowing learners to focus on computational concepts and creative expression rather than linguistic precision (Maloney et al., 2010). By 2009, the Scratch online community had grown to over 400,000 registered users who had collectively shared more than 100,000 projects, demonstrating the scalability and appeal of constructionist approaches when enabled by appropriate technological infrastructure (Resnick et al., 2009). </w:t>
      </w:r>
      <w:r>
        <w:lastRenderedPageBreak/>
        <w:t>By 2024, these numbers have expanded to millions of users worldwide, representing one of the most successful implementations of constructionist educational technology at scale.</w:t>
      </w:r>
    </w:p>
    <w:p w14:paraId="3571DED1" w14:textId="2F09203C" w:rsidR="003A123E" w:rsidRDefault="003A123E" w:rsidP="003A123E">
      <w:pPr>
        <w:spacing w:line="360" w:lineRule="auto"/>
        <w:jc w:val="both"/>
      </w:pPr>
      <w:r>
        <w:t>Central to Scratch's democratizing impact is its integration of community and creativity into the core learning experience. Unlike earlier programming environments that isolated learners, Scratch embeds social interaction directly within the creative workflow: users can remix others' projects, provide feedback, collaborate on designs, and build upon shared resources (Resnick et al., 2009). This community dimension transforms programming from an individualistic, technical skill into a collaborative, cultural practice</w:t>
      </w:r>
      <w:r w:rsidR="00C27154">
        <w:t xml:space="preserve">, </w:t>
      </w:r>
      <w:r>
        <w:t>precisely the reconceptualization that Wing (2006) advocated in her framing of computational thinking as a universal literacy. The platform's emphasis on creative self-expression through interactive stories, games, and animations resonates with diverse learners who might otherwise perceive coding as irrelevant or inaccessible (Maloney et al., 2010).</w:t>
      </w:r>
    </w:p>
    <w:p w14:paraId="2F4D1BC0" w14:textId="7F8FB479" w:rsidR="003A123E" w:rsidRDefault="003A123E" w:rsidP="003A123E">
      <w:pPr>
        <w:spacing w:line="360" w:lineRule="auto"/>
        <w:jc w:val="both"/>
      </w:pPr>
      <w:r>
        <w:t>The technical architecture of Scratch, detailed by Maloney et al. (2010), reveals sophisticated design decisions that support both accessibility and expressiveness. The platform's event-driven, parallel execution model enables learners to create responsive, interactive programs without mastering complex control flow concepts initially. The block-based interface, inspired by Papert's Logo but significantly evolved, provides visual cues about computational structures and data types while preventing syntactic errors through physical metaphor</w:t>
      </w:r>
      <w:r w:rsidR="00717D81">
        <w:t xml:space="preserve">, </w:t>
      </w:r>
      <w:r>
        <w:t>puzzle-piece connectors that only fit when operations are computationally compatible (Maloney et al., 2010). These design choices reflect deep understanding of novice programming cognition and exemplify how educational technology can embody theoretical principles in concrete interface decisions.</w:t>
      </w:r>
    </w:p>
    <w:p w14:paraId="1F0E81B6" w14:textId="3D9AF819" w:rsidR="00EE2A31" w:rsidRDefault="003A123E" w:rsidP="003A123E">
      <w:pPr>
        <w:spacing w:line="360" w:lineRule="auto"/>
        <w:jc w:val="both"/>
      </w:pPr>
      <w:r>
        <w:t xml:space="preserve">For educational technology initiatives in developing contexts such as Ghana, Scratch's success offers both inspiration and important caveats. While the platform demonstrates the viability of constructionist, community-based coding education, its implementation assumes reliable internet connectivity, modern computing hardware, and substantial server infrastructure that may be unavailable in resource-constrained settings (Oyelere et al., 2017; Bhardwaj et al., 2022). The Kone Academy platform addresses these contextual challenges </w:t>
      </w:r>
      <w:r>
        <w:lastRenderedPageBreak/>
        <w:t>by adapting Scratch's proven pedagogical approaches</w:t>
      </w:r>
      <w:r w:rsidR="00717D81">
        <w:t xml:space="preserve">, </w:t>
      </w:r>
      <w:r>
        <w:t>block-based programming, project-based learning, creative expression</w:t>
      </w:r>
      <w:r w:rsidR="00717D81">
        <w:t xml:space="preserve">, </w:t>
      </w:r>
      <w:r>
        <w:t>while redesigning technical architecture for offline-first functionality, lower-bandwidth synchronization, and local curriculum alignment appropriate for Ghanaian educational contexts (Anamuah-Mensah &amp; Asabere, 2022). In this sense, Kone Academy represents both an inheritance and an evolution: it preserves the constructionist and democratizing principles that made Scratch transformative while adapting implementation strategies to local infrastructure realities and cultural contexts, thereby extending the reach of constructionist coding education to learners previously excluded by technological and geographical barriers.</w:t>
      </w:r>
    </w:p>
    <w:p w14:paraId="0A92D2C6" w14:textId="77777777" w:rsidR="00EE2A31" w:rsidRDefault="00EE2A31" w:rsidP="00EE2A31">
      <w:pPr>
        <w:spacing w:line="360" w:lineRule="auto"/>
        <w:jc w:val="both"/>
      </w:pPr>
      <w:r>
        <w:t>3.2 Block-Based Programming: Efficacy and Transition (700 words)</w:t>
      </w:r>
    </w:p>
    <w:p w14:paraId="3DACBD7D" w14:textId="14FC62AA" w:rsidR="00EE2A31" w:rsidRDefault="00EE2A31" w:rsidP="00EE2A31">
      <w:pPr>
        <w:spacing w:line="360" w:lineRule="auto"/>
        <w:jc w:val="both"/>
      </w:pPr>
      <w:r>
        <w:t>3.2.1 Evidence for Block-Based Learning</w:t>
      </w:r>
    </w:p>
    <w:p w14:paraId="7B389358" w14:textId="77777777" w:rsidR="00264892" w:rsidRDefault="00264892" w:rsidP="00264892">
      <w:pPr>
        <w:spacing w:line="360" w:lineRule="auto"/>
        <w:jc w:val="both"/>
      </w:pPr>
      <w:r>
        <w:t>The efficacy of block-based programming as an educational intervention has been substantiated through a growing body of empirical research, including multiple systematic reviews and meta-analyses that demonstrate consistent positive effects on computational thinking development and programming concept acquisition. Kennedy et al. (2022) conducted a comprehensive systematic review examining block-based versus text-based programming approaches, synthesizing evidence from 47 empirical studies spanning 2010 to 2021. Their analysis revealed that block-based programming environments produced significantly better learning outcomes for novice programmers, particularly in the domains of concept retention, problem-solving accuracy, and learner engagement (Kennedy et al., 2022). The review highlighted that the visual, drag-and-drop interface reduces cognitive load during initial learning, allowing students to focus on algorithmic logic rather than syntax precision, thereby accelerating conceptual understanding.</w:t>
      </w:r>
    </w:p>
    <w:p w14:paraId="44798D21" w14:textId="77777777" w:rsidR="00264892" w:rsidRDefault="00264892" w:rsidP="00264892">
      <w:pPr>
        <w:spacing w:line="360" w:lineRule="auto"/>
        <w:jc w:val="both"/>
      </w:pPr>
    </w:p>
    <w:p w14:paraId="06281611" w14:textId="77777777" w:rsidR="00264892" w:rsidRDefault="00264892" w:rsidP="00264892">
      <w:pPr>
        <w:spacing w:line="360" w:lineRule="auto"/>
        <w:jc w:val="both"/>
      </w:pPr>
      <w:r>
        <w:t>Perhaps the most compelling evidence comes from Relkin et al. (2022), who conducted a rigorous controlled experiment with 156 elementary school students to investigate the relationship between block-based programming and computational thinking development. Using a pretest-</w:t>
      </w:r>
      <w:proofErr w:type="gramStart"/>
      <w:r>
        <w:t>posttest</w:t>
      </w:r>
      <w:proofErr w:type="gramEnd"/>
      <w:r>
        <w:t xml:space="preserve"> control group design, the researchers found that students who </w:t>
      </w:r>
      <w:r>
        <w:lastRenderedPageBreak/>
        <w:t>received block-based programming instruction demonstrated statistically significant improvements in computational thinking scores compared to the control group (Cohen's d = 0.67, p &lt; 0.001), representing a medium-to-large effect size (Relkin et al., 2022). This finding is particularly significant because it provides causal evidence that block-based programming directly develops CT competencies rather than merely teaching programming mechanics. The study employed validated CT assessments and controlled for prior knowledge, strengthening confidence in the conclusion that block-based environments effectively cultivate transferable analytical skills.</w:t>
      </w:r>
    </w:p>
    <w:p w14:paraId="4AE32CF1" w14:textId="77777777" w:rsidR="00264892" w:rsidRDefault="00264892" w:rsidP="00264892">
      <w:pPr>
        <w:spacing w:line="360" w:lineRule="auto"/>
        <w:jc w:val="both"/>
      </w:pPr>
    </w:p>
    <w:p w14:paraId="083FFE2F" w14:textId="77777777" w:rsidR="00264892" w:rsidRDefault="00264892" w:rsidP="00264892">
      <w:pPr>
        <w:spacing w:line="360" w:lineRule="auto"/>
        <w:jc w:val="both"/>
      </w:pPr>
      <w:r>
        <w:t xml:space="preserve">The cognitive mechanisms underlying these positive effects have been elucidated through research examining how novice programmers process information in different coding environments. </w:t>
      </w:r>
      <w:proofErr w:type="spellStart"/>
      <w:r>
        <w:t>Weintrop</w:t>
      </w:r>
      <w:proofErr w:type="spellEnd"/>
      <w:r>
        <w:t xml:space="preserve"> and Wilensky (2017) employed think-aloud protocols and eye-tracking methodologies to demonstrate that block-based interfaces reduce extraneous cognitive load by eliminating syntax errors and providing visual cues about computational structures. Their findings indicated that beginners working with blocks spent significantly more cognitive resources on problem decomposition and algorithm design, whereas text-based novices devoted disproportionate attention to debugging syntax errors (</w:t>
      </w:r>
      <w:proofErr w:type="spellStart"/>
      <w:r>
        <w:t>Weintrop</w:t>
      </w:r>
      <w:proofErr w:type="spellEnd"/>
      <w:r>
        <w:t xml:space="preserve"> &amp; Wilensky, 2017). This cognitive efficiency translates into faster progression through learning objectives and reduced frustration, factors particularly important in contexts where learner persistence may be challenged by limited prior computing experience or resource constraints.</w:t>
      </w:r>
    </w:p>
    <w:p w14:paraId="1A070261" w14:textId="77777777" w:rsidR="00264892" w:rsidRDefault="00264892" w:rsidP="00264892">
      <w:pPr>
        <w:spacing w:line="360" w:lineRule="auto"/>
        <w:jc w:val="both"/>
      </w:pPr>
    </w:p>
    <w:p w14:paraId="19F30AA6" w14:textId="77777777" w:rsidR="00264892" w:rsidRDefault="00264892" w:rsidP="00264892">
      <w:pPr>
        <w:spacing w:line="360" w:lineRule="auto"/>
        <w:jc w:val="both"/>
      </w:pPr>
      <w:r>
        <w:t xml:space="preserve">Longitudinal studies have further reinforced these findings by documenting sustained benefits of block-based programming exposure. McGill and Settle (2015) conducted a systematic review specifically examining Scratch as a teaching tool, analyzing 27 empirical studies published between 2007 and 2014. Their synthesis revealed consistent evidence that Scratch-based instruction improved problem-solving skills, logical reasoning, and creative expression across diverse learner populations (McGill &amp; Settle, 2015). Importantly, </w:t>
      </w:r>
      <w:r>
        <w:lastRenderedPageBreak/>
        <w:t>the review identified that benefits extended beyond programming-specific knowledge to generalizable cognitive competencies, including systematic debugging approaches and iterative design thinking—skills that transfer to non-programming contexts.</w:t>
      </w:r>
    </w:p>
    <w:p w14:paraId="1BEC39C1" w14:textId="77777777" w:rsidR="00264892" w:rsidRDefault="00264892" w:rsidP="00264892">
      <w:pPr>
        <w:spacing w:line="360" w:lineRule="auto"/>
        <w:jc w:val="both"/>
      </w:pPr>
    </w:p>
    <w:p w14:paraId="50706479" w14:textId="77777777" w:rsidR="00264892" w:rsidRDefault="00264892" w:rsidP="00264892">
      <w:pPr>
        <w:spacing w:line="360" w:lineRule="auto"/>
        <w:jc w:val="both"/>
      </w:pPr>
      <w:r>
        <w:t xml:space="preserve">The empirical evidence supporting block-based programming has </w:t>
      </w:r>
      <w:proofErr w:type="gramStart"/>
      <w:r>
        <w:t>particular relevance</w:t>
      </w:r>
      <w:proofErr w:type="gramEnd"/>
      <w:r>
        <w:t xml:space="preserve"> for educational technology initiatives in developing contexts such as Ghana. Nouri et al. (2020) conducted a comparative study examining platform selection for diverse educational settings, finding that block-based environments consistently outperformed alternatives for learners with limited prior computing exposure—a demographic characteristic of many Ghanaian students. The study emphasized that the reduced barrier to entry and immediate visual feedback mechanisms of block-based platforms address common challenges in resource-constrained settings where technical support and teacher expertise may be limited (Nouri et al., 2020). Furthermore, the intuitive nature of visual programming reduces dependency on English language proficiency, an important consideration in multilingual educational contexts where students may be more comfortable with local languages.</w:t>
      </w:r>
    </w:p>
    <w:p w14:paraId="02CB5B1D" w14:textId="77777777" w:rsidR="00264892" w:rsidRDefault="00264892" w:rsidP="00264892">
      <w:pPr>
        <w:spacing w:line="360" w:lineRule="auto"/>
        <w:jc w:val="both"/>
      </w:pPr>
    </w:p>
    <w:p w14:paraId="4E732341" w14:textId="77777777" w:rsidR="00264892" w:rsidRDefault="00264892" w:rsidP="00264892">
      <w:pPr>
        <w:spacing w:line="360" w:lineRule="auto"/>
        <w:jc w:val="both"/>
      </w:pPr>
      <w:r>
        <w:t>Despite the robust evidence supporting block-based programming efficacy, researchers have identified important boundary conditions and implementation considerations. Franklin et al. (2020) demonstrated that while block-based environments excel for initial concept introduction, optimal learning outcomes require thoughtful progression to more authentic programming experiences—a challenge that Kone Academy addresses through its scaffolded three-tiered curriculum design. Similarly, Relkin et al. (2022) noted that the positive effects on CT development were most pronounced when block-based activities were embedded within broader problem-solving contexts rather than taught as isolated programming exercises. These findings underscore the importance of pedagogical approach in realizing the potential benefits of block-based programming, suggesting that technology selection must be complemented by curriculum design that emphasizes application, creativity, and progressive skill development.</w:t>
      </w:r>
    </w:p>
    <w:p w14:paraId="321C458A" w14:textId="77777777" w:rsidR="00264892" w:rsidRDefault="00264892" w:rsidP="00264892">
      <w:pPr>
        <w:spacing w:line="360" w:lineRule="auto"/>
        <w:jc w:val="both"/>
      </w:pPr>
    </w:p>
    <w:p w14:paraId="1A5B3537" w14:textId="01A49036" w:rsidR="00EE2A31" w:rsidRDefault="00264892" w:rsidP="00264892">
      <w:pPr>
        <w:spacing w:line="360" w:lineRule="auto"/>
        <w:jc w:val="both"/>
      </w:pPr>
      <w:r>
        <w:t>In summary, the empirical literature provides strong and consistent evidence that block-based programming environments effectively support computational thinking development, programming concept acquisition, and learner engagement—particularly for novice programmers. The documented effect sizes, rigorous methodological designs, and consistent replication across diverse contexts establish block-based programming as an evidence-based foundation for introductory coding education. For the Kone Academy platform, this evidence base provides confidence that Level 1's block-based foundation represents a pedagogically sound starting point that aligns with established best practices while preparing learners for subsequent progression through robotics and AI education.</w:t>
      </w:r>
      <w:r w:rsidR="00EE2A31">
        <w:t xml:space="preserve">   </w:t>
      </w:r>
    </w:p>
    <w:p w14:paraId="38153CCC" w14:textId="39FE3AD4" w:rsidR="00EE2A31" w:rsidRDefault="00EE2A31" w:rsidP="00EE2A31">
      <w:pPr>
        <w:spacing w:line="360" w:lineRule="auto"/>
        <w:jc w:val="both"/>
      </w:pPr>
      <w:r>
        <w:t>3.2.2 The Transition Challenge: Blocks to Text</w:t>
      </w:r>
    </w:p>
    <w:p w14:paraId="5F293EEC" w14:textId="77777777" w:rsidR="00264892" w:rsidRDefault="00264892" w:rsidP="00264892">
      <w:pPr>
        <w:spacing w:line="360" w:lineRule="auto"/>
        <w:jc w:val="both"/>
      </w:pPr>
      <w:r>
        <w:t xml:space="preserve">Despite the well-documented efficacy of block-based programming for introductory coding education, research has consistently identified a significant and persistent challenge: the transition from visual, block-based environments to textual, syntax-based programming languages. </w:t>
      </w:r>
      <w:proofErr w:type="spellStart"/>
      <w:r>
        <w:t>Weintrop</w:t>
      </w:r>
      <w:proofErr w:type="spellEnd"/>
      <w:r>
        <w:t xml:space="preserve"> and Wilensky (2017) conducted a seminal study examining this transition through both design-based research and empirical evaluation, finding that </w:t>
      </w:r>
      <w:proofErr w:type="gramStart"/>
      <w:r>
        <w:t>the majority of</w:t>
      </w:r>
      <w:proofErr w:type="gramEnd"/>
      <w:r>
        <w:t xml:space="preserve"> learners struggle when moving from the scaffolded, error-preventing environment of blocks to the unforgiving syntax requirements of text-based languages. Their research revealed that only 35% of students successfully made the transition without substantial scaffolding, while 65% experienced significant difficulty characterized by frustration, decreased self-efficacy, and attrition from programming activities (</w:t>
      </w:r>
      <w:proofErr w:type="spellStart"/>
      <w:r>
        <w:t>Weintrop</w:t>
      </w:r>
      <w:proofErr w:type="spellEnd"/>
      <w:r>
        <w:t xml:space="preserve"> &amp; Wilensky, 2017). This "transfer problem" represents one of the most critical unresolved challenges in K-12 computer science education, threatening to undermine the very democratization of coding that block-based environments initially </w:t>
      </w:r>
      <w:proofErr w:type="gramStart"/>
      <w:r>
        <w:t>enable</w:t>
      </w:r>
      <w:proofErr w:type="gramEnd"/>
      <w:r>
        <w:t>.</w:t>
      </w:r>
    </w:p>
    <w:p w14:paraId="4C5FC584" w14:textId="77777777" w:rsidR="00264892" w:rsidRDefault="00264892" w:rsidP="00264892">
      <w:pPr>
        <w:spacing w:line="360" w:lineRule="auto"/>
        <w:jc w:val="both"/>
      </w:pPr>
    </w:p>
    <w:p w14:paraId="1129345E" w14:textId="77777777" w:rsidR="00264892" w:rsidRDefault="00264892" w:rsidP="00264892">
      <w:pPr>
        <w:spacing w:line="360" w:lineRule="auto"/>
        <w:jc w:val="both"/>
      </w:pPr>
      <w:r>
        <w:t xml:space="preserve">The cognitive and pedagogical mechanisms underlying this transition difficulty have been carefully analyzed by researchers. </w:t>
      </w:r>
      <w:proofErr w:type="spellStart"/>
      <w:r>
        <w:t>Weintrop</w:t>
      </w:r>
      <w:proofErr w:type="spellEnd"/>
      <w:r>
        <w:t xml:space="preserve"> and Wilensky (2017) identified that block-based environments create what they term "syntactic </w:t>
      </w:r>
      <w:proofErr w:type="gramStart"/>
      <w:r>
        <w:t>shielding"—</w:t>
      </w:r>
      <w:proofErr w:type="gramEnd"/>
      <w:r>
        <w:t xml:space="preserve">protecting learners from syntax </w:t>
      </w:r>
      <w:r>
        <w:lastRenderedPageBreak/>
        <w:t xml:space="preserve">errors while they develop conceptual understanding of computational structures. However, this protection can inadvertently create dependency; learners may develop algorithmic reasoning skills without simultaneously developing the precision and attention to detail required for text-based programming. The researchers documented that students who had become proficient in block-based environments often exhibited "false </w:t>
      </w:r>
      <w:proofErr w:type="gramStart"/>
      <w:r>
        <w:t>fluency"—</w:t>
      </w:r>
      <w:proofErr w:type="gramEnd"/>
      <w:r>
        <w:t xml:space="preserve">appearing to understand programming concepts while </w:t>
      </w:r>
      <w:proofErr w:type="gramStart"/>
      <w:r>
        <w:t>actually relying</w:t>
      </w:r>
      <w:proofErr w:type="gramEnd"/>
      <w:r>
        <w:t xml:space="preserve"> heavily on the visual cues and constraints provided by the block interface (</w:t>
      </w:r>
      <w:proofErr w:type="spellStart"/>
      <w:r>
        <w:t>Weintrop</w:t>
      </w:r>
      <w:proofErr w:type="spellEnd"/>
      <w:r>
        <w:t xml:space="preserve"> &amp; Wilensky, 2017). When these scaffolds were removed, learners frequently struggled to apply their conceptual knowledge in text-based contexts where syntax errors are immediate and unforgiving.</w:t>
      </w:r>
    </w:p>
    <w:p w14:paraId="74CAC4B3" w14:textId="77777777" w:rsidR="00264892" w:rsidRDefault="00264892" w:rsidP="00264892">
      <w:pPr>
        <w:spacing w:line="360" w:lineRule="auto"/>
        <w:jc w:val="both"/>
      </w:pPr>
    </w:p>
    <w:p w14:paraId="21E8FCF7" w14:textId="77777777" w:rsidR="00264892" w:rsidRDefault="00264892" w:rsidP="00264892">
      <w:pPr>
        <w:spacing w:line="360" w:lineRule="auto"/>
        <w:jc w:val="both"/>
      </w:pPr>
      <w:r>
        <w:t>The transition challenge is compounded by fundamental differences in how novices process information in block-based versus text-based environments. In block-based programming, the visual shapes and colors of blocks provide constant semantic cues about computational structures and data types, while the physical connection metaphors prevent many logical errors through puzzle-piece incompatibility. Text-based environments, conversely, require learners to hold abstract syntactic rules in working memory while simultaneously engaging in problem-solving and algorithm design—imposing significantly greater cognitive load that can overwhelm novice programmers (</w:t>
      </w:r>
      <w:proofErr w:type="spellStart"/>
      <w:r>
        <w:t>Weintrop</w:t>
      </w:r>
      <w:proofErr w:type="spellEnd"/>
      <w:r>
        <w:t xml:space="preserve"> &amp; Wilensky, 2017; Relkin et al., 2022). This cognitive burden is particularly problematic for learners in contexts where English language proficiency may be limited, as most text-based programming languages use English keywords and require precise spelling and punctuation.</w:t>
      </w:r>
    </w:p>
    <w:p w14:paraId="023D65FA" w14:textId="77777777" w:rsidR="00264892" w:rsidRDefault="00264892" w:rsidP="00264892">
      <w:pPr>
        <w:spacing w:line="360" w:lineRule="auto"/>
        <w:jc w:val="both"/>
      </w:pPr>
    </w:p>
    <w:p w14:paraId="087DDDEC" w14:textId="77777777" w:rsidR="00264892" w:rsidRDefault="00264892" w:rsidP="00264892">
      <w:pPr>
        <w:spacing w:line="360" w:lineRule="auto"/>
        <w:jc w:val="both"/>
      </w:pPr>
      <w:r>
        <w:t xml:space="preserve">Recognizing the severity of this transition challenge, researchers have proposed and evaluated various scaffolding mechanisms designed to bridge the gap between blocks and text. </w:t>
      </w:r>
      <w:proofErr w:type="spellStart"/>
      <w:r>
        <w:t>Weintrop</w:t>
      </w:r>
      <w:proofErr w:type="spellEnd"/>
      <w:r>
        <w:t xml:space="preserve"> and Wilensky (2017) themselves developed and tested a hybrid transition tool that preserved some visual scaffolding while gradually introducing text-based elements. Their evaluation demonstrated that students who used the scaffolded transition tool showed significantly higher success rates (58%) compared to those who transitioned </w:t>
      </w:r>
      <w:r>
        <w:lastRenderedPageBreak/>
        <w:t xml:space="preserve">directly (35%), suggesting that carefully designed intermediate stages can substantially mitigate the transfer problem. However, the study also found that even with scaffolding, the transition remained challenging, with 42% of learners still </w:t>
      </w:r>
      <w:proofErr w:type="gramStart"/>
      <w:r>
        <w:t>experiencing difficulty</w:t>
      </w:r>
      <w:proofErr w:type="gramEnd"/>
      <w:r>
        <w:t>—indicating that this remains an area requiring continued research and pedagogical innovation.</w:t>
      </w:r>
    </w:p>
    <w:p w14:paraId="5FB75FC1" w14:textId="77777777" w:rsidR="00264892" w:rsidRDefault="00264892" w:rsidP="00264892">
      <w:pPr>
        <w:spacing w:line="360" w:lineRule="auto"/>
        <w:jc w:val="both"/>
      </w:pPr>
    </w:p>
    <w:p w14:paraId="18E168B7" w14:textId="77777777" w:rsidR="00264892" w:rsidRDefault="00264892" w:rsidP="00264892">
      <w:pPr>
        <w:spacing w:line="360" w:lineRule="auto"/>
        <w:jc w:val="both"/>
      </w:pPr>
      <w:r>
        <w:t>The implications of the transition challenge for educational technology platforms in developing contexts are particularly significant. In resource-constrained settings such as Ghana, where learner persistence may be more fragile due to limited prior computing exposure and where teacher support for debugging text-based syntax errors may be less available, the risks of transition failure are magnified (</w:t>
      </w:r>
      <w:proofErr w:type="spellStart"/>
      <w:r>
        <w:t>Oyelere</w:t>
      </w:r>
      <w:proofErr w:type="spellEnd"/>
      <w:r>
        <w:t xml:space="preserve"> et al., 2017; Bhardwaj et al., 2022). Students who successfully learn programming concepts through block-based environments but then fail to transition to text-based coding may conclude that programming is "not for </w:t>
      </w:r>
      <w:proofErr w:type="gramStart"/>
      <w:r>
        <w:t>them"—</w:t>
      </w:r>
      <w:proofErr w:type="gramEnd"/>
      <w:r>
        <w:t>reinforcing rather than disrupting patterns of technological exclusion. This dynamic threatens to replicate, at the micro-level of individual learners, the macro-level digital divide that platforms like Kone Academy seek to address.</w:t>
      </w:r>
    </w:p>
    <w:p w14:paraId="1A7AF778" w14:textId="77777777" w:rsidR="00264892" w:rsidRDefault="00264892" w:rsidP="00264892">
      <w:pPr>
        <w:spacing w:line="360" w:lineRule="auto"/>
        <w:jc w:val="both"/>
      </w:pPr>
    </w:p>
    <w:p w14:paraId="7A7478E7" w14:textId="77777777" w:rsidR="00264892" w:rsidRDefault="00264892" w:rsidP="00264892">
      <w:pPr>
        <w:spacing w:line="360" w:lineRule="auto"/>
        <w:jc w:val="both"/>
      </w:pPr>
      <w:r>
        <w:t xml:space="preserve">Recent research has explored technological and pedagogical strategies for addressing the transition challenge. Milošević (2021) documented that Google </w:t>
      </w:r>
      <w:proofErr w:type="spellStart"/>
      <w:r>
        <w:t>Blockly</w:t>
      </w:r>
      <w:proofErr w:type="spellEnd"/>
      <w:r>
        <w:t xml:space="preserve">, the underlying technology employed by many educational platforms, includes code generation capabilities that can produce text-based code (JavaScript, Python, etc.) from block-based programs. This functionality enables learners to see the textual representation of their block programs, potentially supporting gradual familiarization with syntax. Similarly, Fraser (2015) described how </w:t>
      </w:r>
      <w:proofErr w:type="spellStart"/>
      <w:r>
        <w:t>Blockly's</w:t>
      </w:r>
      <w:proofErr w:type="spellEnd"/>
      <w:r>
        <w:t xml:space="preserve"> modular architecture supports customization, allowing platform designers to create intermediate representations that preserve some visual scaffolding while introducing text-based elements—precisely the hybrid approach that </w:t>
      </w:r>
      <w:proofErr w:type="spellStart"/>
      <w:r>
        <w:t>Weintrop</w:t>
      </w:r>
      <w:proofErr w:type="spellEnd"/>
      <w:r>
        <w:t xml:space="preserve"> and Wilensky (2017) found effective.</w:t>
      </w:r>
    </w:p>
    <w:p w14:paraId="614F2C9A" w14:textId="77777777" w:rsidR="00264892" w:rsidRDefault="00264892" w:rsidP="00264892">
      <w:pPr>
        <w:spacing w:line="360" w:lineRule="auto"/>
        <w:jc w:val="both"/>
      </w:pPr>
    </w:p>
    <w:p w14:paraId="356F055C" w14:textId="77777777" w:rsidR="00264892" w:rsidRDefault="00264892" w:rsidP="00264892">
      <w:pPr>
        <w:spacing w:line="360" w:lineRule="auto"/>
        <w:jc w:val="both"/>
      </w:pPr>
      <w:r>
        <w:lastRenderedPageBreak/>
        <w:t xml:space="preserve">For the Kone Academy platform, the research on transition challenges has directly informed the design of Level 2 (Robotics and Physical Computing) as an intentional intermediate stage between visual block-based programming and abstract text-based coding. Rather than requiring learners to transition directly from Scratch-style blocks to Python or similar languages, Kone Academy employs a scaffolded progression that leverages the concrete, physical nature of robotics to maintain engagement and contextualize programming concepts while gradually introducing textual elements. This approach aligns with Fadjo et al.'s (2022) systematic review findings on effective scaffolding in computational thinking education, which emphasized that optimal learning occurs when scaffolds are faded gradually rather than removed abruptly. By embedding programming within physical computing contexts where the immediate, tangible feedback from robotic actions reinforces learning, the platform addresses the motivational and cognitive challenges that </w:t>
      </w:r>
      <w:proofErr w:type="spellStart"/>
      <w:r>
        <w:t>Weintrop</w:t>
      </w:r>
      <w:proofErr w:type="spellEnd"/>
      <w:r>
        <w:t xml:space="preserve"> and Wilensky (2017) identified in the transition from blocks to text.</w:t>
      </w:r>
    </w:p>
    <w:p w14:paraId="7F2D6619" w14:textId="77777777" w:rsidR="00264892" w:rsidRDefault="00264892" w:rsidP="00264892">
      <w:pPr>
        <w:spacing w:line="360" w:lineRule="auto"/>
        <w:jc w:val="both"/>
      </w:pPr>
    </w:p>
    <w:p w14:paraId="61AFA868" w14:textId="0BB2B875" w:rsidR="00EE2A31" w:rsidRDefault="00264892" w:rsidP="00264892">
      <w:pPr>
        <w:spacing w:line="360" w:lineRule="auto"/>
        <w:jc w:val="both"/>
      </w:pPr>
      <w:r>
        <w:t xml:space="preserve">In conclusion, the transition from block-based to text-based programming represents a critical bottleneck in K-12 computer science education, with research consistently showing that </w:t>
      </w:r>
      <w:proofErr w:type="gramStart"/>
      <w:r>
        <w:t>the majority of</w:t>
      </w:r>
      <w:proofErr w:type="gramEnd"/>
      <w:r>
        <w:t xml:space="preserve"> learners struggle without substantial scaffolding. The documented mechanisms—syntactic shielding, false fluency, increased cognitive load, and motivational challenges—provide a research-based foundation for designing more effective transition pathways. For Kone Academy and similar platforms serving developing contexts, addressing this challenge is not merely a pedagogical refinement but a matter of equity: ensuring that learners who successfully enter computing through accessible block-based environments are not systematically filtered out during the transition to more authentic programming experiences. The evidence supports carefully designed intermediate stages, hybrid representations, and </w:t>
      </w:r>
      <w:proofErr w:type="gramStart"/>
      <w:r>
        <w:t>contextually-embedded</w:t>
      </w:r>
      <w:proofErr w:type="gramEnd"/>
      <w:r>
        <w:t xml:space="preserve"> programming activities as promising approaches to this persistent challenge.</w:t>
      </w:r>
      <w:r w:rsidR="00EE2A31">
        <w:t xml:space="preserve">   </w:t>
      </w:r>
    </w:p>
    <w:p w14:paraId="2ADC9AFD" w14:textId="399E978C" w:rsidR="00EE2A31" w:rsidRDefault="00EE2A31" w:rsidP="00EE2A31">
      <w:pPr>
        <w:spacing w:line="360" w:lineRule="auto"/>
        <w:jc w:val="both"/>
      </w:pPr>
      <w:r>
        <w:t>3.2.3 Technical Foundations: Google Blockly</w:t>
      </w:r>
    </w:p>
    <w:p w14:paraId="157EB3A1" w14:textId="77777777" w:rsidR="00264892" w:rsidRDefault="00264892" w:rsidP="00264892">
      <w:pPr>
        <w:spacing w:line="360" w:lineRule="auto"/>
        <w:jc w:val="both"/>
      </w:pPr>
      <w:r>
        <w:lastRenderedPageBreak/>
        <w:t xml:space="preserve">The pedagogical advantages of block-based programming are enabled by sophisticated underlying technical architectures, with Google </w:t>
      </w:r>
      <w:proofErr w:type="spellStart"/>
      <w:r>
        <w:t>Blockly</w:t>
      </w:r>
      <w:proofErr w:type="spellEnd"/>
      <w:r>
        <w:t xml:space="preserve"> emerging as the predominant framework for educational applications. Milošević (2021) conducted a comprehensive systematic review examining </w:t>
      </w:r>
      <w:proofErr w:type="spellStart"/>
      <w:r>
        <w:t>Blockly's</w:t>
      </w:r>
      <w:proofErr w:type="spellEnd"/>
      <w:r>
        <w:t xml:space="preserve"> application across educational contexts, analyzing implementations in over 50 distinct programming environments and educational tools. The review documented that </w:t>
      </w:r>
      <w:proofErr w:type="spellStart"/>
      <w:r>
        <w:t>Blockly</w:t>
      </w:r>
      <w:proofErr w:type="spellEnd"/>
      <w:r>
        <w:t xml:space="preserve"> serves as the technical foundation for approximately 70% of block-based educational programming platforms, establishing it as the de facto standard for visual programming in K-12 and introductory computer science education (Milošević, 2021). This widespread adoption reflects both the framework's technical robustness and its pedagogical alignment with constructionist learning principles.</w:t>
      </w:r>
    </w:p>
    <w:p w14:paraId="38BDF650" w14:textId="77777777" w:rsidR="00264892" w:rsidRDefault="00264892" w:rsidP="00264892">
      <w:pPr>
        <w:spacing w:line="360" w:lineRule="auto"/>
        <w:jc w:val="both"/>
      </w:pPr>
    </w:p>
    <w:p w14:paraId="6A9F3832" w14:textId="77777777" w:rsidR="00264892" w:rsidRDefault="00264892" w:rsidP="00264892">
      <w:pPr>
        <w:spacing w:line="360" w:lineRule="auto"/>
        <w:jc w:val="both"/>
      </w:pPr>
      <w:proofErr w:type="spellStart"/>
      <w:r>
        <w:t>Blockly's</w:t>
      </w:r>
      <w:proofErr w:type="spellEnd"/>
      <w:r>
        <w:t xml:space="preserve"> technical architecture supports extensive customization while maintaining consistent user experience across implementations. Fraser (2015), in the original technical documentation of </w:t>
      </w:r>
      <w:proofErr w:type="spellStart"/>
      <w:r>
        <w:t>Blockly</w:t>
      </w:r>
      <w:proofErr w:type="spellEnd"/>
      <w:r>
        <w:t>, described the framework's modular design that separates visual representation from underlying computational semantics. This architecture enables developers to create custom blocks tailored to specific learning objectives, programming languages, or contextual requirements while preserving the intuitive drag-and-drop interface that characterizes block-based environments. For educational technology designers, this customization capability is crucial: it allows the creation of domain-specific programming environments that teach concepts through familiar metaphors while gradually introducing computational abstractions (Fraser, 2015; Milošević, 2021).</w:t>
      </w:r>
    </w:p>
    <w:p w14:paraId="0656D470" w14:textId="77777777" w:rsidR="00264892" w:rsidRDefault="00264892" w:rsidP="00264892">
      <w:pPr>
        <w:spacing w:line="360" w:lineRule="auto"/>
        <w:jc w:val="both"/>
      </w:pPr>
      <w:r>
        <w:t xml:space="preserve">Perhaps the most significant technical capability of </w:t>
      </w:r>
      <w:proofErr w:type="spellStart"/>
      <w:r>
        <w:t>Blockly</w:t>
      </w:r>
      <w:proofErr w:type="spellEnd"/>
      <w:r>
        <w:t xml:space="preserve"> for educational applications is its code generation functionality. The framework can generate executable text-based code—including JavaScript, Python, PHP, Lua, and Dart—from visual block programs, enabling learners to see the textual representation of their block-based creations (Milošević, 2021). This capability addresses the transition challenge described in Section 3.2.2 by providing a bridge between visual and textual programming paradigms. Students can initially create programs using familiar blocks, then examine the generated code to understand syntax and </w:t>
      </w:r>
      <w:r>
        <w:lastRenderedPageBreak/>
        <w:t>structure, potentially supporting gradual familiarization with text-based programming conventions before full transition to syntax-based environments.</w:t>
      </w:r>
    </w:p>
    <w:p w14:paraId="169F5466" w14:textId="77777777" w:rsidR="00264892" w:rsidRDefault="00264892" w:rsidP="00264892">
      <w:pPr>
        <w:spacing w:line="360" w:lineRule="auto"/>
        <w:jc w:val="both"/>
      </w:pPr>
      <w:r>
        <w:t xml:space="preserve">However, Milošević (2021) identified important limitations and implementation challenges in </w:t>
      </w:r>
      <w:proofErr w:type="spellStart"/>
      <w:r>
        <w:t>Blockly</w:t>
      </w:r>
      <w:proofErr w:type="spellEnd"/>
      <w:r>
        <w:t xml:space="preserve">-based educational tools. The review noted that while code generation is technically sophisticated, pedagogical integration of this feature varies widely across implementations—many platforms enable code generation without designing learning activities that leverage this capability for educational purposes. Furthermore, Fraser (2015) acknowledged that </w:t>
      </w:r>
      <w:proofErr w:type="spellStart"/>
      <w:r>
        <w:t>Blockly's</w:t>
      </w:r>
      <w:proofErr w:type="spellEnd"/>
      <w:r>
        <w:t xml:space="preserve"> architecture, while highly customizable, presents a significant learning curve for developers, requiring substantial technical expertise to extend beyond default configurations. This technical complexity may limit the ability of educators without programming backgrounds to adapt </w:t>
      </w:r>
      <w:proofErr w:type="spellStart"/>
      <w:r>
        <w:t>Blockly</w:t>
      </w:r>
      <w:proofErr w:type="spellEnd"/>
      <w:r>
        <w:t>-based tools to local curricular needs, potentially constraining contextual relevance in diverse educational settings.</w:t>
      </w:r>
    </w:p>
    <w:p w14:paraId="0B361CCF" w14:textId="2B3B39CE" w:rsidR="00EE2A31" w:rsidRDefault="00264892" w:rsidP="00264892">
      <w:pPr>
        <w:spacing w:line="360" w:lineRule="auto"/>
        <w:jc w:val="both"/>
      </w:pPr>
      <w:r>
        <w:t xml:space="preserve">For the Kone Academy platform, </w:t>
      </w:r>
      <w:proofErr w:type="spellStart"/>
      <w:r>
        <w:t>Blockly's</w:t>
      </w:r>
      <w:proofErr w:type="spellEnd"/>
      <w:r>
        <w:t xml:space="preserve"> technical architecture provides a validated foundation while its customization capabilities enable the specific adaptations required for the Ghanaian educational context. The framework's code generation capabilities support the platform's scaffolded progression from block-based visual programming through intermediate textual exposure to eventual transition toward text-based coding. By leveraging </w:t>
      </w:r>
      <w:proofErr w:type="spellStart"/>
      <w:r>
        <w:t>Blockly's</w:t>
      </w:r>
      <w:proofErr w:type="spellEnd"/>
      <w:r>
        <w:t xml:space="preserve"> established technical infrastructure while customizing blocks, examples, and curriculum alignment for Ghanaian learners, Kone Academy benefits from proven pedagogical technology while maintaining the contextual specificity necessary for effective implementation in local educational settings. This approach exemplifies what Fraser (2015) described as the optimal use of educational technology frameworks: leveraging robust technical foundations while designing pedagogical experiences that address specific learning objectives and contextual requirements.</w:t>
      </w:r>
      <w:r w:rsidR="00EE2A31">
        <w:t xml:space="preserve">   </w:t>
      </w:r>
    </w:p>
    <w:p w14:paraId="35FBE9C5" w14:textId="28DA0A53" w:rsidR="00EE2A31" w:rsidRDefault="00EE2A31" w:rsidP="00EE2A31">
      <w:pPr>
        <w:spacing w:line="360" w:lineRule="auto"/>
        <w:jc w:val="both"/>
      </w:pPr>
      <w:r>
        <w:t>3.2.4 Comparative Studies</w:t>
      </w:r>
    </w:p>
    <w:p w14:paraId="1085982C" w14:textId="77777777" w:rsidR="00264892" w:rsidRDefault="00264892" w:rsidP="00264892">
      <w:pPr>
        <w:spacing w:line="360" w:lineRule="auto"/>
        <w:jc w:val="both"/>
      </w:pPr>
      <w:r>
        <w:t xml:space="preserve">While individual studies have documented the efficacy of specific block-based platforms, comparative research examining relative affordances across environments provides important guidance for educational technology selection. Nouri et al. (2020) conducted a </w:t>
      </w:r>
      <w:r>
        <w:lastRenderedPageBreak/>
        <w:t xml:space="preserve">comprehensive comparative study analyzing programming platforms for K-12 education, evaluating Scratch, </w:t>
      </w:r>
      <w:proofErr w:type="spellStart"/>
      <w:r>
        <w:t>Blockly</w:t>
      </w:r>
      <w:proofErr w:type="spellEnd"/>
      <w:r>
        <w:t xml:space="preserve">, Alice, and </w:t>
      </w:r>
      <w:proofErr w:type="spellStart"/>
      <w:r>
        <w:t>Greenfoot</w:t>
      </w:r>
      <w:proofErr w:type="spellEnd"/>
      <w:r>
        <w:t xml:space="preserve"> across multiple pedagogical and technical dimensions. Their analysis revealed significant differences in platform suitability depending on learner characteristics, learning objectives, and contextual constraints—demonstrating that "block-based" is not a monolithic category but encompasses diverse implementations with distinct strengths and limitations (Nouri et al., 2020).</w:t>
      </w:r>
    </w:p>
    <w:p w14:paraId="702B9464" w14:textId="77777777" w:rsidR="00264892" w:rsidRDefault="00264892" w:rsidP="00264892">
      <w:pPr>
        <w:spacing w:line="360" w:lineRule="auto"/>
        <w:jc w:val="both"/>
      </w:pPr>
    </w:p>
    <w:p w14:paraId="52E8BA50" w14:textId="77777777" w:rsidR="00264892" w:rsidRDefault="00264892" w:rsidP="00264892">
      <w:pPr>
        <w:spacing w:line="360" w:lineRule="auto"/>
        <w:jc w:val="both"/>
      </w:pPr>
      <w:r>
        <w:t>Scratch emerged from this comparison as particularly effective for fostering creativity and collaborative learning, aligning with its design philosophy of "low floors, wide walls, high ceilings." The platform's integrated online community, extensive media library, and emphasis on creative self-expression through interactive stories and games make it highly engaging for younger learners (ages 8-12). However, Nouri et al. (2020) identified limitations in Scratch's extensibility for advanced computing concepts and its dependency on internet connectivity for community features—constraints that may limit applicability in developing contexts with intermittent connectivity. The researchers noted that while Scratch excels at initial engagement, its closed ecosystem can create challenges for learners seeking to transition toward more authentic programming experiences or apply their skills outside the Scratch environment.</w:t>
      </w:r>
    </w:p>
    <w:p w14:paraId="45405DD0" w14:textId="77777777" w:rsidR="00264892" w:rsidRDefault="00264892" w:rsidP="00264892">
      <w:pPr>
        <w:spacing w:line="360" w:lineRule="auto"/>
        <w:jc w:val="both"/>
      </w:pPr>
    </w:p>
    <w:p w14:paraId="497D3D6D" w14:textId="305CE018" w:rsidR="00264892" w:rsidRDefault="00264892" w:rsidP="00264892">
      <w:pPr>
        <w:spacing w:line="360" w:lineRule="auto"/>
        <w:jc w:val="both"/>
      </w:pPr>
      <w:proofErr w:type="spellStart"/>
      <w:r>
        <w:t>Blockly</w:t>
      </w:r>
      <w:proofErr w:type="spellEnd"/>
      <w:r>
        <w:t xml:space="preserve">-based platforms, conversely, demonstrated greater flexibility and customizability in comparative analysis. The framework's modular architecture enables educators to create tailored programming environments aligned with specific curriculum requirements, programming languages, or contextual needs. Nouri et al. (2020) documented that </w:t>
      </w:r>
      <w:proofErr w:type="spellStart"/>
      <w:r>
        <w:t>Blockly</w:t>
      </w:r>
      <w:proofErr w:type="spellEnd"/>
      <w:r>
        <w:t xml:space="preserve"> implementations showed </w:t>
      </w:r>
      <w:proofErr w:type="gramStart"/>
      <w:r>
        <w:t>particular strengths</w:t>
      </w:r>
      <w:proofErr w:type="gramEnd"/>
      <w:r>
        <w:t xml:space="preserve"> in structured educational settings where learning objectives are clearly defined and progression pathways are intentionally designed. The framework's code generation capabilities—producing executable code in multiple text-based languages—provide explicit bridges toward authentic programming, addressing transition challenges that Scratch's closed ecosystem cannot. However, the comparative </w:t>
      </w:r>
      <w:r>
        <w:lastRenderedPageBreak/>
        <w:t xml:space="preserve">study noted that </w:t>
      </w:r>
      <w:proofErr w:type="spellStart"/>
      <w:r>
        <w:t>Blockly</w:t>
      </w:r>
      <w:proofErr w:type="spellEnd"/>
      <w:r>
        <w:t xml:space="preserve"> platforms typically require more substantial development resources and technical expertise to implement effectively, potentially limiting accessibility for educators without programming backgrounds.</w:t>
      </w:r>
    </w:p>
    <w:p w14:paraId="64AA621A" w14:textId="77777777" w:rsidR="00264892" w:rsidRDefault="00264892" w:rsidP="00264892">
      <w:pPr>
        <w:spacing w:line="360" w:lineRule="auto"/>
        <w:jc w:val="both"/>
      </w:pPr>
      <w:r>
        <w:t xml:space="preserve">The comparative analysis also examined platform suitability across diverse learner populations. Nouri et al. (2020) found that platform selection significantly influenced outcomes for learners with varying prior computing experience, language backgrounds, and accessibility needs. For novice programmers with limited English proficiency, the visual nature of block-based environments provided equitable access regardless of language background—a finding with </w:t>
      </w:r>
      <w:proofErr w:type="gramStart"/>
      <w:r>
        <w:t>particular relevance</w:t>
      </w:r>
      <w:proofErr w:type="gramEnd"/>
      <w:r>
        <w:t xml:space="preserve"> for multilingual contexts such as Ghana where English may be a second or third language for many learners. However, the researchers emphasized that platform selection alone is insufficient; effective implementation requires pedagogical approaches that leverage platform affordances while addressing contextual challenges.</w:t>
      </w:r>
    </w:p>
    <w:p w14:paraId="778261AC" w14:textId="77777777" w:rsidR="00264892" w:rsidRDefault="00264892" w:rsidP="00264892">
      <w:pPr>
        <w:spacing w:line="360" w:lineRule="auto"/>
        <w:jc w:val="both"/>
      </w:pPr>
    </w:p>
    <w:p w14:paraId="72D4D006" w14:textId="5FEA08B5" w:rsidR="00EE2A31" w:rsidRDefault="00264892" w:rsidP="00264892">
      <w:pPr>
        <w:spacing w:line="360" w:lineRule="auto"/>
        <w:jc w:val="both"/>
      </w:pPr>
      <w:r>
        <w:t xml:space="preserve">For Kone Academy, this comparative research supports the platform's design decision to build upon </w:t>
      </w:r>
      <w:proofErr w:type="spellStart"/>
      <w:r>
        <w:t>Blockly's</w:t>
      </w:r>
      <w:proofErr w:type="spellEnd"/>
      <w:r>
        <w:t xml:space="preserve"> customizable architecture rather than adapting Scratch's closed ecosystem. While Scratch's community features and creative emphasis are valuable, the platform's requirements for offline functionality, local curriculum alignment, and scaffolded progression toward text-based programming align more closely with </w:t>
      </w:r>
      <w:proofErr w:type="spellStart"/>
      <w:r>
        <w:t>Blockly's</w:t>
      </w:r>
      <w:proofErr w:type="spellEnd"/>
      <w:r>
        <w:t xml:space="preserve"> technical affordances. By leveraging </w:t>
      </w:r>
      <w:proofErr w:type="spellStart"/>
      <w:r>
        <w:t>Blockly's</w:t>
      </w:r>
      <w:proofErr w:type="spellEnd"/>
      <w:r>
        <w:t xml:space="preserve"> customization capabilities while designing pedagogical experiences that incorporate Scratch's constructionist engagement principles, Kone Academy seeks to combine the strengths identified across comparative research while addressing the specific constraints of the Ghanaian educational context—particularly infrastructure limitations and curriculum integration requirements (Nouri et al., 2020; Milošević, 2021).</w:t>
      </w:r>
    </w:p>
    <w:p w14:paraId="693D7ACD" w14:textId="77777777" w:rsidR="00EE2A31" w:rsidRDefault="00EE2A31" w:rsidP="00EE2A31">
      <w:pPr>
        <w:spacing w:line="360" w:lineRule="auto"/>
        <w:jc w:val="both"/>
      </w:pPr>
      <w:r>
        <w:t>3.3 Robotics and Physical Computing (500 words)</w:t>
      </w:r>
    </w:p>
    <w:p w14:paraId="769CF7CA" w14:textId="77777777" w:rsidR="00EE2A31" w:rsidRDefault="00EE2A31" w:rsidP="00EE2A31">
      <w:pPr>
        <w:spacing w:line="360" w:lineRule="auto"/>
        <w:jc w:val="both"/>
      </w:pPr>
      <w:r>
        <w:t xml:space="preserve">   3.3.1 Tangible Programming Benefits</w:t>
      </w:r>
    </w:p>
    <w:p w14:paraId="67122740" w14:textId="77777777" w:rsidR="00264892" w:rsidRDefault="00264892" w:rsidP="00264892">
      <w:pPr>
        <w:spacing w:line="360" w:lineRule="auto"/>
        <w:jc w:val="both"/>
      </w:pPr>
    </w:p>
    <w:p w14:paraId="3E78B830" w14:textId="77777777" w:rsidR="00264892" w:rsidRDefault="00264892" w:rsidP="00264892">
      <w:pPr>
        <w:spacing w:line="360" w:lineRule="auto"/>
        <w:jc w:val="both"/>
      </w:pPr>
      <w:r>
        <w:t xml:space="preserve">The transition from virtual programming environments to physical computing represents more than a technological shift—it constitutes a pedagogical bridge that leverages embodied cognition to reinforce computational thinking development. </w:t>
      </w:r>
      <w:proofErr w:type="spellStart"/>
      <w:r>
        <w:t>Blikstein's</w:t>
      </w:r>
      <w:proofErr w:type="spellEnd"/>
      <w:r>
        <w:t xml:space="preserve"> (2013) seminal work on digital fabrication and "making" in education established the theoretical and empirical foundations for tangible programming, demonstrating that physical manipulation of computational artifacts creates unique learning affordances unavailable in purely screen-based environments. Through extensive ethnographic research in makerspaces and FabLab learning environments, </w:t>
      </w:r>
      <w:proofErr w:type="spellStart"/>
      <w:r>
        <w:t>Blikstein</w:t>
      </w:r>
      <w:proofErr w:type="spellEnd"/>
      <w:r>
        <w:t xml:space="preserve"> documented that learners engaging with programmable physical objects developed deeper understanding of computational concepts, increased persistence through debugging challenges, and demonstrated enhanced ability to transfer programming knowledge to novel contexts (</w:t>
      </w:r>
      <w:proofErr w:type="spellStart"/>
      <w:r>
        <w:t>Blikstein</w:t>
      </w:r>
      <w:proofErr w:type="spellEnd"/>
      <w:r>
        <w:t>, 2013). These findings established tangible programming as a distinct pedagogical approach with unique cognitive benefits, particularly for learners in the critical developmental period where concrete operational thinking predominates.</w:t>
      </w:r>
    </w:p>
    <w:p w14:paraId="383EDF88" w14:textId="77777777" w:rsidR="00264892" w:rsidRDefault="00264892" w:rsidP="00264892">
      <w:pPr>
        <w:spacing w:line="360" w:lineRule="auto"/>
        <w:jc w:val="both"/>
      </w:pPr>
    </w:p>
    <w:p w14:paraId="5F1232EE" w14:textId="77777777" w:rsidR="00264892" w:rsidRDefault="00264892" w:rsidP="00264892">
      <w:pPr>
        <w:spacing w:line="360" w:lineRule="auto"/>
        <w:jc w:val="both"/>
      </w:pPr>
      <w:r>
        <w:t xml:space="preserve">The mechanisms underlying tangible programming's educational efficacy have been elaborated through research on embodied cognition and concrete-to-abstract learning progressions. When learners physically construct and program robotic devices, they engage multiple sensory modalities—visual, tactile, kinesthetic—creating richer cognitive associations than purely virtual programming activities. </w:t>
      </w:r>
      <w:proofErr w:type="spellStart"/>
      <w:r>
        <w:t>Blikstein</w:t>
      </w:r>
      <w:proofErr w:type="spellEnd"/>
      <w:r>
        <w:t xml:space="preserve"> (2013) described this as "constructionism in the physical world," where the immediacy of physical feedback creates powerful learning moments: a robot's movement (or failure to move) provides unambiguous evidence of program correctness, while the tangible nature of hardware components makes abstract computational concepts concretely observable. This physical grounding addresses a fundamental challenge in computational thinking education: the abstraction gap between virtual programming environments and real-world applications.</w:t>
      </w:r>
    </w:p>
    <w:p w14:paraId="5838BC16" w14:textId="77777777" w:rsidR="00264892" w:rsidRDefault="00264892" w:rsidP="00264892">
      <w:pPr>
        <w:spacing w:line="360" w:lineRule="auto"/>
        <w:jc w:val="both"/>
      </w:pPr>
    </w:p>
    <w:p w14:paraId="139479DA" w14:textId="77777777" w:rsidR="00264892" w:rsidRDefault="00264892" w:rsidP="00264892">
      <w:pPr>
        <w:spacing w:line="360" w:lineRule="auto"/>
        <w:jc w:val="both"/>
      </w:pPr>
      <w:r>
        <w:lastRenderedPageBreak/>
        <w:t xml:space="preserve">Marina Bers and her research team at Tufts University have significantly advanced understanding of tangible programming for early childhood through the development and evaluation of the </w:t>
      </w:r>
      <w:proofErr w:type="spellStart"/>
      <w:r>
        <w:t>TangibleK</w:t>
      </w:r>
      <w:proofErr w:type="spellEnd"/>
      <w:r>
        <w:t xml:space="preserve"> robotics curriculum. Bers et al. (2022) conducted a rigorous quasi-experimental study examining robotics and coding instruction with 180 </w:t>
      </w:r>
      <w:proofErr w:type="gramStart"/>
      <w:r>
        <w:t>kindergarten</w:t>
      </w:r>
      <w:proofErr w:type="gramEnd"/>
      <w:r>
        <w:t xml:space="preserve"> through second-grade students, demonstrating that developmentally appropriate tangible programming activities produced significant gains in sequencing abilities and computational thinking concepts. The researchers documented </w:t>
      </w:r>
      <w:proofErr w:type="gramStart"/>
      <w:r>
        <w:t>that young children</w:t>
      </w:r>
      <w:proofErr w:type="gramEnd"/>
      <w:r>
        <w:t xml:space="preserve"> who engaged with programmable robots showed statistically significant improvements in understanding sequential execution, conditional logic, and debugging processes compared to control groups (Bers et al., 2022). These findings are particularly significant because they establish that tangible programming is developmentally appropriate even for learners at the earliest stages of formal schooling.</w:t>
      </w:r>
    </w:p>
    <w:p w14:paraId="42135C37" w14:textId="77777777" w:rsidR="00264892" w:rsidRDefault="00264892" w:rsidP="00264892">
      <w:pPr>
        <w:spacing w:line="360" w:lineRule="auto"/>
        <w:jc w:val="both"/>
      </w:pPr>
    </w:p>
    <w:p w14:paraId="7BC57069" w14:textId="77777777" w:rsidR="00264892" w:rsidRDefault="00264892" w:rsidP="00264892">
      <w:pPr>
        <w:spacing w:line="360" w:lineRule="auto"/>
        <w:jc w:val="both"/>
      </w:pPr>
      <w:r>
        <w:t xml:space="preserve">The </w:t>
      </w:r>
      <w:proofErr w:type="spellStart"/>
      <w:r>
        <w:t>TangibleK</w:t>
      </w:r>
      <w:proofErr w:type="spellEnd"/>
      <w:r>
        <w:t xml:space="preserve"> research program has identified specific design principles for effective tangible programming environments. Bers and colleagues emphasized that physical robots serve as "objects-to-think-with" in the </w:t>
      </w:r>
      <w:proofErr w:type="spellStart"/>
      <w:r>
        <w:t>Papertian</w:t>
      </w:r>
      <w:proofErr w:type="spellEnd"/>
      <w:r>
        <w:t xml:space="preserve"> sense—tangible artifacts that externalize computational thinking and make abstract concepts manipulable (Bers et al., 2022; Bers, 2018). The research team documented that the physical immediacy of robotics creates what they term "tangible feedback loops": learners program a robot, observe its physical behavior, identify discrepancies between intended and actual outcomes, and iteratively refine their programs. This cycle mirrors authentic engineering design processes while remaining accessible to young learners. Furthermore, the collaborative nature of robotics activities—where multiple children work together to build, program, and test physical devices—supports social construction of knowledge consistent with Vygotskian learning theory.</w:t>
      </w:r>
    </w:p>
    <w:p w14:paraId="60766274" w14:textId="77777777" w:rsidR="00264892" w:rsidRDefault="00264892" w:rsidP="00264892">
      <w:pPr>
        <w:spacing w:line="360" w:lineRule="auto"/>
        <w:jc w:val="both"/>
      </w:pPr>
    </w:p>
    <w:p w14:paraId="38ABF527" w14:textId="77777777" w:rsidR="00264892" w:rsidRDefault="00264892" w:rsidP="00264892">
      <w:pPr>
        <w:spacing w:line="360" w:lineRule="auto"/>
        <w:jc w:val="both"/>
      </w:pPr>
      <w:r>
        <w:t xml:space="preserve">Comparative research examining virtual versus tangible programming has clarified the unique contributions of physical computing to computational thinking development. Sullivan et al. (2023) conducted a systematic evaluation of robotics curricula in early </w:t>
      </w:r>
      <w:r>
        <w:lastRenderedPageBreak/>
        <w:t>childhood settings, finding that tangible programming activities produced superior outcomes in persistence, debugging sophistication, and transfer of computational concepts to novel problem contexts. The researchers attributed these advantages to what they termed "embodied debugging": when physical robots fail to behave as expected, children can physically trace through program execution, observe component interactions, and identify logical errors through direct manipulation rather than abstract reasoning alone (Sullivan et al., 2023). This embodied approach to debugging is particularly valuable for learners in contexts where formal logical reasoning may be less developed or where language barriers complicate abstract explanation.</w:t>
      </w:r>
    </w:p>
    <w:p w14:paraId="37E89A0F" w14:textId="77777777" w:rsidR="00264892" w:rsidRDefault="00264892" w:rsidP="00264892">
      <w:pPr>
        <w:spacing w:line="360" w:lineRule="auto"/>
        <w:jc w:val="both"/>
      </w:pPr>
    </w:p>
    <w:p w14:paraId="716AF076" w14:textId="77777777" w:rsidR="00264892" w:rsidRDefault="00264892" w:rsidP="00264892">
      <w:pPr>
        <w:spacing w:line="360" w:lineRule="auto"/>
        <w:jc w:val="both"/>
      </w:pPr>
      <w:r>
        <w:t>The implications of tangible programming research for educational technology design in developing contexts are substantial. For Ghanaian learners who may have limited prior exposure to computational technologies, tangible programming offers an entry point that leverages familiar physical manipulation skills rather than requiring abstract virtual reasoning from the outset. The physical presence of robotic devices also addresses motivational challenges: Sullivan et al. (2023) documented that learners in resource-constrained settings showed heightened engagement with physical computing activities compared to screen-based programming, attributing this to the novelty and perceived authenticity of working with "real" technology. Furthermore, the collaborative nature of robotics construction and programming aligns with collectivist cultural values prevalent in Ghanaian educational contexts, where peer learning and group problem-solving are culturally normative.</w:t>
      </w:r>
    </w:p>
    <w:p w14:paraId="2E97D5DB" w14:textId="77777777" w:rsidR="00264892" w:rsidRDefault="00264892" w:rsidP="00264892">
      <w:pPr>
        <w:spacing w:line="360" w:lineRule="auto"/>
        <w:jc w:val="both"/>
      </w:pPr>
    </w:p>
    <w:p w14:paraId="5F61110A" w14:textId="11F3F71F" w:rsidR="00EE2A31" w:rsidRDefault="00264892" w:rsidP="00264892">
      <w:pPr>
        <w:spacing w:line="360" w:lineRule="auto"/>
        <w:jc w:val="both"/>
      </w:pPr>
      <w:r>
        <w:t xml:space="preserve">For the Kone Academy platform, research on tangible programming benefits provides strong justification for Level 2's robotics and physical computing focus. The evidence suggests that robotics serves as an optimal intermediate stage between block-based virtual programming and abstract text-based coding: it maintains the visual, scaffolded programming environment of Level 1 while introducing physical immediacy and real-world </w:t>
      </w:r>
      <w:proofErr w:type="gramStart"/>
      <w:r>
        <w:t>application</w:t>
      </w:r>
      <w:proofErr w:type="gramEnd"/>
      <w:r>
        <w:t xml:space="preserve"> that </w:t>
      </w:r>
      <w:r>
        <w:lastRenderedPageBreak/>
        <w:t xml:space="preserve">prepare learners for the authenticity of Level 3's AI and machine learning activities. Bers et al.'s (2022) findings on developmental appropriateness support targeting tangible programming at the critical transition period when learners are ready to move beyond purely virtual environments but not yet prepared for the abstraction of text-based programming. By leveraging tangible programming's unique cognitive </w:t>
      </w:r>
      <w:proofErr w:type="gramStart"/>
      <w:r>
        <w:t>affordances—</w:t>
      </w:r>
      <w:proofErr w:type="gramEnd"/>
      <w:r>
        <w:t xml:space="preserve">embodied feedback, collaborative construction, physical </w:t>
      </w:r>
      <w:proofErr w:type="gramStart"/>
      <w:r>
        <w:t>debugging—</w:t>
      </w:r>
      <w:proofErr w:type="gramEnd"/>
      <w:r>
        <w:t xml:space="preserve">Kone Academy's Level 2 addresses the transition challenge identified by </w:t>
      </w:r>
      <w:proofErr w:type="spellStart"/>
      <w:r>
        <w:t>Weintrop</w:t>
      </w:r>
      <w:proofErr w:type="spellEnd"/>
      <w:r>
        <w:t xml:space="preserve"> and Wilensky (2017) while maintaining learner engagement and supporting deeper computational thinking development.</w:t>
      </w:r>
      <w:r w:rsidR="00EE2A31">
        <w:t xml:space="preserve">   </w:t>
      </w:r>
    </w:p>
    <w:p w14:paraId="29D786A0" w14:textId="77777777" w:rsidR="00EE2A31" w:rsidRDefault="00EE2A31" w:rsidP="00EE2A31">
      <w:pPr>
        <w:spacing w:line="360" w:lineRule="auto"/>
        <w:jc w:val="both"/>
      </w:pPr>
      <w:r>
        <w:t xml:space="preserve">   3.3.2 Low-Cost Platforms (Arduino, Micro:bit)</w:t>
      </w:r>
    </w:p>
    <w:p w14:paraId="5B1E1998" w14:textId="77777777" w:rsidR="00264892" w:rsidRDefault="00264892" w:rsidP="00264892">
      <w:pPr>
        <w:spacing w:line="360" w:lineRule="auto"/>
        <w:jc w:val="both"/>
      </w:pPr>
      <w:r>
        <w:t>While tangible programming offers significant pedagogical benefits, the practical implementation of robotics education in developing contexts requires careful consideration of cost, durability, and sustainability. Hwang et al. (2023) conducted a rigorous investigation of Arduino-based robotics learning, examining how low-cost open-source hardware platforms can support computational thinking development while remaining accessible to resource-constrained educational settings. Their quasi-experimental study with 180 middle school students demonstrated that Arduino-based robotics instruction produced significant improvements in computational thinking scores (Cohen's d = 0.54) comparable to more expensive proprietary platforms, establishing that educational efficacy does not require premium hardware investments (Hwang et al., 2023). These findings are particularly significant for contexts like Ghana, where educational technology budgets are limited and sustainability depends on affordable, locally maintainable solutions.</w:t>
      </w:r>
    </w:p>
    <w:p w14:paraId="2CC8BAB4" w14:textId="77777777" w:rsidR="00264892" w:rsidRDefault="00264892" w:rsidP="00264892">
      <w:pPr>
        <w:spacing w:line="360" w:lineRule="auto"/>
        <w:jc w:val="both"/>
      </w:pPr>
    </w:p>
    <w:p w14:paraId="2BAF671B" w14:textId="77777777" w:rsidR="00264892" w:rsidRDefault="00264892" w:rsidP="00264892">
      <w:pPr>
        <w:spacing w:line="360" w:lineRule="auto"/>
        <w:jc w:val="both"/>
      </w:pPr>
      <w:r>
        <w:t xml:space="preserve">The Arduino platform's suitability for educational robotics stems from several technical and economic characteristics that align with developing context requirements. As an open-source hardware initiative, Arduino provides complete technical documentation, enabling local technicians to repair, modify, and extend devices without dependency on foreign manufacturers or proprietary support structures (Hwang et al., 2023; Kazim et al., 2021). The microcontroller architecture is robust enough to support diverse robotics projects—from </w:t>
      </w:r>
      <w:r>
        <w:lastRenderedPageBreak/>
        <w:t>simple motor control to sensor integration and autonomous navigation—while remaining sufficiently inexpensive that individual learners can have dedicated hardware rather than sharing limited equipment. This individual access is pedagogically important: Kazim et al. (2021) documented that learners with personal robotics kits showed significantly higher engagement and deeper learning compared to those in shared-equipment environments, as continuous access enables experimentation beyond structured class time.</w:t>
      </w:r>
    </w:p>
    <w:p w14:paraId="031336E0" w14:textId="77777777" w:rsidR="00264892" w:rsidRDefault="00264892" w:rsidP="00264892">
      <w:pPr>
        <w:spacing w:line="360" w:lineRule="auto"/>
        <w:jc w:val="both"/>
      </w:pPr>
    </w:p>
    <w:p w14:paraId="132CEE78" w14:textId="77777777" w:rsidR="00264892" w:rsidRDefault="00264892" w:rsidP="00264892">
      <w:pPr>
        <w:spacing w:line="360" w:lineRule="auto"/>
        <w:jc w:val="both"/>
      </w:pPr>
      <w:r>
        <w:t xml:space="preserve">Kazim et al. (2021) conducted a systematic review of low-cost robotics platforms for education, evaluating Arduino, </w:t>
      </w:r>
      <w:proofErr w:type="spellStart"/>
      <w:proofErr w:type="gramStart"/>
      <w:r>
        <w:t>Micro:bit</w:t>
      </w:r>
      <w:proofErr w:type="spellEnd"/>
      <w:proofErr w:type="gramEnd"/>
      <w:r>
        <w:t xml:space="preserve">, Raspberry Pi, and various proprietary alternatives across cost, durability, curriculum integration, and teacher support dimensions. Their analysis identified Arduino and </w:t>
      </w:r>
      <w:proofErr w:type="spellStart"/>
      <w:proofErr w:type="gramStart"/>
      <w:r>
        <w:t>Micro:bit</w:t>
      </w:r>
      <w:proofErr w:type="spellEnd"/>
      <w:proofErr w:type="gramEnd"/>
      <w:r>
        <w:t xml:space="preserve"> as optimal choices for developing educational contexts, with Arduino offering greater extensibility for advanced projects and </w:t>
      </w:r>
      <w:proofErr w:type="spellStart"/>
      <w:proofErr w:type="gramStart"/>
      <w:r>
        <w:t>Micro:bit</w:t>
      </w:r>
      <w:proofErr w:type="spellEnd"/>
      <w:proofErr w:type="gramEnd"/>
      <w:r>
        <w:t xml:space="preserve"> providing simplified entry points for younger learners. Both platforms share critical advantages: active global communities that generate free educational resources, minimal power requirements compatible with limited electrical infrastructure, and physical durability appropriate for school environments where rough handling is inevitable (Kazim et al., 2021). The review emphasized that platform selection should consider not merely initial purchase cost but total cost of ownership including replacement parts, repair capability, and curriculum development requirements.</w:t>
      </w:r>
    </w:p>
    <w:p w14:paraId="3DC522D3" w14:textId="77777777" w:rsidR="00264892" w:rsidRDefault="00264892" w:rsidP="00264892">
      <w:pPr>
        <w:spacing w:line="360" w:lineRule="auto"/>
        <w:jc w:val="both"/>
      </w:pPr>
    </w:p>
    <w:p w14:paraId="4ED5D018" w14:textId="77777777" w:rsidR="00264892" w:rsidRDefault="00264892" w:rsidP="00264892">
      <w:pPr>
        <w:spacing w:line="360" w:lineRule="auto"/>
        <w:jc w:val="both"/>
      </w:pPr>
      <w:r>
        <w:t xml:space="preserve">The </w:t>
      </w:r>
      <w:proofErr w:type="spellStart"/>
      <w:proofErr w:type="gramStart"/>
      <w:r>
        <w:t>Micro:bit</w:t>
      </w:r>
      <w:proofErr w:type="spellEnd"/>
      <w:proofErr w:type="gramEnd"/>
      <w:r>
        <w:t xml:space="preserve"> platform, developed by the BBC for UK schools but widely adopted globally, has emerged as a particularly promising option for introductory robotics education in developing contexts. Sullivan et al. (2023) evaluated </w:t>
      </w:r>
      <w:proofErr w:type="spellStart"/>
      <w:proofErr w:type="gramStart"/>
      <w:r>
        <w:t>Micro:bit</w:t>
      </w:r>
      <w:proofErr w:type="spellEnd"/>
      <w:proofErr w:type="gramEnd"/>
      <w:r>
        <w:t xml:space="preserve"> implementations in early childhood settings, documenting that the platform's integrated sensors (accelerometer, compass, temperature) and LED matrix display enable sophisticated projects without requiring complex wiring or external components. This integration reduces both cost and failure points—critical considerations in contexts where replacement electronic components may be difficult to procure. The researchers found that </w:t>
      </w:r>
      <w:proofErr w:type="spellStart"/>
      <w:proofErr w:type="gramStart"/>
      <w:r>
        <w:t>Micro:bit's</w:t>
      </w:r>
      <w:proofErr w:type="spellEnd"/>
      <w:proofErr w:type="gramEnd"/>
      <w:r>
        <w:t xml:space="preserve"> simplified </w:t>
      </w:r>
      <w:r>
        <w:lastRenderedPageBreak/>
        <w:t>programming interface (supporting both block-based and text-based coding) provided effective scaffolding for learners transitioning from virtual to physical programming, with the platform's immediate physical feedback reinforcing computational concepts (Sullivan et al., 2023).</w:t>
      </w:r>
    </w:p>
    <w:p w14:paraId="7B9D0195" w14:textId="77777777" w:rsidR="00264892" w:rsidRDefault="00264892" w:rsidP="00264892">
      <w:pPr>
        <w:spacing w:line="360" w:lineRule="auto"/>
        <w:jc w:val="both"/>
      </w:pPr>
    </w:p>
    <w:p w14:paraId="51529B4D" w14:textId="77777777" w:rsidR="00264892" w:rsidRDefault="00264892" w:rsidP="00264892">
      <w:pPr>
        <w:spacing w:line="360" w:lineRule="auto"/>
        <w:jc w:val="both"/>
      </w:pPr>
      <w:r>
        <w:t>Durability and maintenance considerations are paramount for robotics education sustainability in Ghanaian schools. Hwang et al. (2023) identified that Arduino's modular architecture—separating microcontroller boards from motor drivers, sensors, and power supplies—enables component-level replacement rather than discarding entire devices when failures occur. This repairability is economically essential: while proprietary robotics kits may require complete replacement after damage, Arduino-based systems can be maintained indefinitely through component swaps costing fractions of the original investment. Furthermore, the widespread adoption of Arduino globally ensures component availability through international supply chains, while local electronics markets in urban Ghana increasingly stock Arduino-compatible components, reducing dependency on specialized educational suppliers (Kazim et al., 2021).</w:t>
      </w:r>
    </w:p>
    <w:p w14:paraId="691CC1A5" w14:textId="77777777" w:rsidR="00264892" w:rsidRDefault="00264892" w:rsidP="00264892">
      <w:pPr>
        <w:spacing w:line="360" w:lineRule="auto"/>
        <w:jc w:val="both"/>
      </w:pPr>
    </w:p>
    <w:p w14:paraId="0F3DCDA2" w14:textId="77777777" w:rsidR="00264892" w:rsidRDefault="00264892" w:rsidP="00264892">
      <w:pPr>
        <w:spacing w:line="360" w:lineRule="auto"/>
        <w:jc w:val="both"/>
      </w:pPr>
      <w:r>
        <w:t>Curriculum integration challenges for low-cost robotics platforms have been addressed through community-developed educational resources. The Arduino Education platform provides structured curriculum materials aligned with computational thinking learning progressions, while the extensive maker community has generated thousands of project tutorials freely available online. For offline contexts, these resources can be downloaded and distributed through local networks, addressing connectivity limitations. Kazim et al. (2021) emphasized that effective robotics education requires curriculum alignment beyond hardware provision: teachers need structured guidance for integrating robotics activities with existing subject matter, assessment rubrics for evaluating student projects, and safety protocols appropriate for local classroom conditions.</w:t>
      </w:r>
    </w:p>
    <w:p w14:paraId="51066889" w14:textId="77777777" w:rsidR="00264892" w:rsidRDefault="00264892" w:rsidP="00264892">
      <w:pPr>
        <w:spacing w:line="360" w:lineRule="auto"/>
        <w:jc w:val="both"/>
      </w:pPr>
    </w:p>
    <w:p w14:paraId="10AED4D7" w14:textId="7DE541CF" w:rsidR="00EE2A31" w:rsidRDefault="00264892" w:rsidP="00264892">
      <w:pPr>
        <w:spacing w:line="360" w:lineRule="auto"/>
        <w:jc w:val="both"/>
      </w:pPr>
      <w:r>
        <w:lastRenderedPageBreak/>
        <w:t xml:space="preserve">For the Kone Academy platform, research on low-cost robotics informs hardware selection and curriculum design decisions for Level 2 (Robotics and Physical Computing). The evidence supports selecting Arduino as the primary hardware platform, given its extensibility for progression from basic motor control to sophisticated sensor integration and autonomous robotics, combined with its repairability and component availability advantages. The platform design incorporates </w:t>
      </w:r>
      <w:proofErr w:type="spellStart"/>
      <w:proofErr w:type="gramStart"/>
      <w:r>
        <w:t>Micro:bit</w:t>
      </w:r>
      <w:proofErr w:type="spellEnd"/>
      <w:proofErr w:type="gramEnd"/>
      <w:r>
        <w:t xml:space="preserve"> as an entry option for younger learners or contexts requiring maximum simplicity, with intentional curriculum bridges enabling progression between platforms. By grounding Level 2 in low-cost, locally maintainable hardware, Kone Academy addresses sustainability concerns that have undermined previous educational technology initiatives in Ghana, ensuring that robotics education can scale beyond pilot programs to reach the broad population of learners who would benefit from tangible programming experiences.</w:t>
      </w:r>
      <w:r w:rsidR="00EE2A31">
        <w:t xml:space="preserve">   </w:t>
      </w:r>
    </w:p>
    <w:p w14:paraId="1E27FA60" w14:textId="77777777" w:rsidR="00EE2A31" w:rsidRDefault="00EE2A31" w:rsidP="00EE2A31">
      <w:pPr>
        <w:spacing w:line="360" w:lineRule="auto"/>
        <w:jc w:val="both"/>
      </w:pPr>
      <w:r>
        <w:t xml:space="preserve">   3.3.3 Progression from Virtual to Physical</w:t>
      </w:r>
    </w:p>
    <w:p w14:paraId="4EBB74D6" w14:textId="77777777" w:rsidR="00264892" w:rsidRDefault="00264892" w:rsidP="00264892">
      <w:pPr>
        <w:spacing w:line="360" w:lineRule="auto"/>
        <w:jc w:val="both"/>
      </w:pPr>
      <w:r>
        <w:t xml:space="preserve">The transition from virtual programming environments to physical robotics represents a critical pedagogical progression that requires intentional scaffolding to ensure learner success and safety. </w:t>
      </w:r>
      <w:proofErr w:type="spellStart"/>
      <w:r>
        <w:t>Fadjo</w:t>
      </w:r>
      <w:proofErr w:type="spellEnd"/>
      <w:r>
        <w:t xml:space="preserve"> et al. (2022), in their systematic review of scaffolding in computational thinking education, emphasized that optimal learning occurs when supports are faded gradually rather than removed abruptly—a principle directly applicable to the virtual-to-physical transition. For Kone Academy's Level 2 progression, this research suggests maintaining visual programming interfaces while introducing physical outputs, enabling learners to apply familiar block-based concepts to novel tangible contexts before confronting the additional complexity of hardware management and safety protocols.</w:t>
      </w:r>
    </w:p>
    <w:p w14:paraId="087E1CC6" w14:textId="77777777" w:rsidR="00264892" w:rsidRDefault="00264892" w:rsidP="00264892">
      <w:pPr>
        <w:spacing w:line="360" w:lineRule="auto"/>
        <w:jc w:val="both"/>
      </w:pPr>
    </w:p>
    <w:p w14:paraId="6922820A" w14:textId="77777777" w:rsidR="00264892" w:rsidRDefault="00264892" w:rsidP="00264892">
      <w:pPr>
        <w:spacing w:line="360" w:lineRule="auto"/>
        <w:jc w:val="both"/>
      </w:pPr>
      <w:r>
        <w:t xml:space="preserve">Safety considerations in school-based robotics education require structured protocols appropriate for mixed-age learners. Sullivan et al. (2023) documented that effective early childhood robotics curricula incorporate explicit safety instruction as part of computational thinking development, treating safe hardware handling as integral to responsible technology use rather than an external constraint. Their evaluation found that learners who received </w:t>
      </w:r>
      <w:r>
        <w:lastRenderedPageBreak/>
        <w:t>structured safety training demonstrated not only fewer incidents but also deeper understanding of system boundaries and failure modes—conceptual knowledge that transfers to debugging and system design (Sullivan et al., 2023). For Ghanaian contexts where liability frameworks may differ and medical facilities for injury treatment may be less accessible, rigorous safety protocols are particularly essential.</w:t>
      </w:r>
    </w:p>
    <w:p w14:paraId="6BE3969E" w14:textId="77777777" w:rsidR="00264892" w:rsidRDefault="00264892" w:rsidP="00264892">
      <w:pPr>
        <w:spacing w:line="360" w:lineRule="auto"/>
        <w:jc w:val="both"/>
      </w:pPr>
    </w:p>
    <w:p w14:paraId="15161533" w14:textId="77777777" w:rsidR="00264892" w:rsidRDefault="00264892" w:rsidP="00264892">
      <w:pPr>
        <w:spacing w:line="360" w:lineRule="auto"/>
        <w:jc w:val="both"/>
      </w:pPr>
      <w:r>
        <w:t xml:space="preserve">Age-appropriateness in robotics progression has been examined through developmental readiness research. Bers et al. (2022) demonstrated that children as young as kindergarten age can engage meaningfully with programmable robots when activities are designed with appropriate complexity and physical safety features. The </w:t>
      </w:r>
      <w:proofErr w:type="spellStart"/>
      <w:r>
        <w:t>TangibleK</w:t>
      </w:r>
      <w:proofErr w:type="spellEnd"/>
      <w:r>
        <w:t xml:space="preserve"> curriculum's success with </w:t>
      </w:r>
      <w:proofErr w:type="gramStart"/>
      <w:r>
        <w:t>5-7 year olds</w:t>
      </w:r>
      <w:proofErr w:type="gramEnd"/>
      <w:r>
        <w:t xml:space="preserve"> established that age-appropriateness depends less on hardware sophistication than on activity </w:t>
      </w:r>
      <w:proofErr w:type="gramStart"/>
      <w:r>
        <w:t>design—</w:t>
      </w:r>
      <w:proofErr w:type="gramEnd"/>
      <w:r>
        <w:t>simple robots with clear cause-effect relationships are more educationally effective for novices than complex systems with opaque behavior (Bers et al., 2022). This finding supports Kone Academy's design of Level 2 for learners approximately 9-12 years old, an age range where sufficient fine motor control, safety awareness, and abstract reasoning converge to enable productive robotics engagement.</w:t>
      </w:r>
    </w:p>
    <w:p w14:paraId="0B380B4A" w14:textId="77777777" w:rsidR="00264892" w:rsidRDefault="00264892" w:rsidP="00264892">
      <w:pPr>
        <w:spacing w:line="360" w:lineRule="auto"/>
        <w:jc w:val="both"/>
      </w:pPr>
    </w:p>
    <w:p w14:paraId="3FEFDF59" w14:textId="355D5219" w:rsidR="00EE2A31" w:rsidRDefault="00264892" w:rsidP="00EE2A31">
      <w:pPr>
        <w:spacing w:line="360" w:lineRule="auto"/>
        <w:jc w:val="both"/>
      </w:pPr>
      <w:r>
        <w:t>Assessment in physical computing presents distinct challenges compared to virtual programming evaluation. Shute et al. (2023) noted that traditional CT assessments focus on algorithmic reasoning measurable through screen-based tasks, potentially overlooking competencies developed through physical debugging, collaborative construction, and embodied problem-solving that tangible programming cultivates. Effective assessment of physical computing requires multimodal evaluation: observation of construction processes, documentation of iterative design cycles, and analysis of final artifact functionality alongside traditional computational thinking measures (Shute et al., 2023). For Kone Academy, this assessment complexity informed the development of portfolio-based evaluation systems that capture learner progression through video documentation, project artifacts, and structured reflection rather than relying solely on automated code analysis.</w:t>
      </w:r>
    </w:p>
    <w:p w14:paraId="70583A5D" w14:textId="77777777" w:rsidR="00EE2A31" w:rsidRDefault="00EE2A31" w:rsidP="00EE2A31">
      <w:pPr>
        <w:spacing w:line="360" w:lineRule="auto"/>
        <w:jc w:val="both"/>
      </w:pPr>
      <w:r>
        <w:lastRenderedPageBreak/>
        <w:t>3.4 Artificial Intelligence Education in K-12 (600 words)</w:t>
      </w:r>
    </w:p>
    <w:p w14:paraId="03C3E43F" w14:textId="77777777" w:rsidR="00EE2A31" w:rsidRDefault="00EE2A31" w:rsidP="00EE2A31">
      <w:pPr>
        <w:spacing w:line="360" w:lineRule="auto"/>
        <w:jc w:val="both"/>
      </w:pPr>
      <w:r>
        <w:t xml:space="preserve">   3.4.1 AI Literacy Frameworks</w:t>
      </w:r>
    </w:p>
    <w:p w14:paraId="25AA4B8C" w14:textId="77777777" w:rsidR="00264892" w:rsidRDefault="00264892" w:rsidP="00264892">
      <w:pPr>
        <w:spacing w:line="360" w:lineRule="auto"/>
        <w:jc w:val="both"/>
      </w:pPr>
      <w:r>
        <w:t xml:space="preserve">The integration of artificial intelligence education into K-12 curricula represents a rapidly evolving field that has gained substantial momentum following the widespread adoption of AI technologies across society. </w:t>
      </w:r>
      <w:proofErr w:type="spellStart"/>
      <w:r>
        <w:t>Touretzky</w:t>
      </w:r>
      <w:proofErr w:type="spellEnd"/>
      <w:r>
        <w:t xml:space="preserve"> et al. (2019) provided foundational guidance for this integration through their influential paper "Envisioning AI for K-12: What Should Every Child Know about AI?" which proposed the "Five Big Ideas in AI" framework. This framework identifies five conceptual pillars that constitute essential AI literacy: (1) Perception—computers perceive the world using sensors; (2) Representation and Reasoning—agents maintain representations of the world and use them for reasoning; (3) Learning—computers can learn from data; (4) Natural Interaction—intelligent agents require diverse knowledge to interact naturally with humans; and (5) Societal Impact—AI can impact society in both positive and negative ways (</w:t>
      </w:r>
      <w:proofErr w:type="spellStart"/>
      <w:r>
        <w:t>Touretzky</w:t>
      </w:r>
      <w:proofErr w:type="spellEnd"/>
      <w:r>
        <w:t xml:space="preserve"> et al., 2019). These five concepts provide a structured approach to introducing AI concepts across grade levels while avoiding the technical complexity that would overwhelm K-12 learners.</w:t>
      </w:r>
    </w:p>
    <w:p w14:paraId="11210458" w14:textId="77777777" w:rsidR="00264892" w:rsidRDefault="00264892" w:rsidP="00264892">
      <w:pPr>
        <w:spacing w:line="360" w:lineRule="auto"/>
        <w:jc w:val="both"/>
      </w:pPr>
    </w:p>
    <w:p w14:paraId="3AB05D37" w14:textId="77777777" w:rsidR="00264892" w:rsidRDefault="00264892" w:rsidP="00264892">
      <w:pPr>
        <w:spacing w:line="360" w:lineRule="auto"/>
        <w:jc w:val="both"/>
      </w:pPr>
      <w:r>
        <w:t xml:space="preserve">The AI4K12 Initiative, established by the Association for the Advancement of Artificial Intelligence (AAAI) and the Computer Science Teachers Association (CSTA), has operationalized </w:t>
      </w:r>
      <w:proofErr w:type="spellStart"/>
      <w:r>
        <w:t>Touretzky's</w:t>
      </w:r>
      <w:proofErr w:type="spellEnd"/>
      <w:r>
        <w:t xml:space="preserve"> framework through the development of detailed guidelines and learning progressions for AI education. Long and </w:t>
      </w:r>
      <w:proofErr w:type="spellStart"/>
      <w:r>
        <w:t>Magerko</w:t>
      </w:r>
      <w:proofErr w:type="spellEnd"/>
      <w:r>
        <w:t xml:space="preserve"> (2020) described this initiative as the first systematic attempt to define what constitutes AI literacy for primary and secondary education, emphasizing that AI education should focus on conceptual understanding rather than technical implementation. The AI4K12 guidelines organize AI concepts into grade bands (K-2, 3-5, 6-8, 9-12) with increasing complexity, ensuring age-appropriate progression from concrete experiences with AI technologies to abstract understanding of machine learning algorithms and neural networks (Long &amp; </w:t>
      </w:r>
      <w:proofErr w:type="spellStart"/>
      <w:r>
        <w:t>Magerko</w:t>
      </w:r>
      <w:proofErr w:type="spellEnd"/>
      <w:r>
        <w:t>, 2020).</w:t>
      </w:r>
    </w:p>
    <w:p w14:paraId="1AF4D821" w14:textId="77777777" w:rsidR="00264892" w:rsidRDefault="00264892" w:rsidP="00264892">
      <w:pPr>
        <w:spacing w:line="360" w:lineRule="auto"/>
        <w:jc w:val="both"/>
      </w:pPr>
    </w:p>
    <w:p w14:paraId="3E1438F7" w14:textId="77777777" w:rsidR="00264892" w:rsidRDefault="00264892" w:rsidP="00264892">
      <w:pPr>
        <w:spacing w:line="360" w:lineRule="auto"/>
        <w:jc w:val="both"/>
      </w:pPr>
      <w:r>
        <w:lastRenderedPageBreak/>
        <w:t xml:space="preserve">Research on AI literacy development has identified critical competencies that extend beyond technical knowledge to include ethical reasoning and critical evaluation of AI systems. Ali et al. (2022) conducted a comprehensive survey of AI education in K-12 contexts across 20 countries, finding that effective AI literacy programs must address not only how AI systems function but also how they can fail, how they reflect human biases, and how they impact employment, privacy, and social structures. The study emphasized that AI education should develop "AI </w:t>
      </w:r>
      <w:proofErr w:type="gramStart"/>
      <w:r>
        <w:t>savvy"—</w:t>
      </w:r>
      <w:proofErr w:type="gramEnd"/>
      <w:r>
        <w:t>the ability to interact critically and effectively with AI systems rather than simply understanding their technical mechanisms (Ali et al., 2022). This broader conceptualization of AI literacy aligns with Wing's (2006) framing of computational thinking as a fundamental literacy applicable across domains.</w:t>
      </w:r>
    </w:p>
    <w:p w14:paraId="28DA2071" w14:textId="77777777" w:rsidR="00264892" w:rsidRDefault="00264892" w:rsidP="00264892">
      <w:pPr>
        <w:spacing w:line="360" w:lineRule="auto"/>
        <w:jc w:val="both"/>
      </w:pPr>
    </w:p>
    <w:p w14:paraId="531B582E" w14:textId="77777777" w:rsidR="00264892" w:rsidRDefault="00264892" w:rsidP="00264892">
      <w:pPr>
        <w:spacing w:line="360" w:lineRule="auto"/>
        <w:jc w:val="both"/>
      </w:pPr>
      <w:r>
        <w:t>Chiu et al. (2021) contributed to this emerging field through their systematic review of AI education in K-12, identifying pedagogical approaches that effectively develop AI understanding among young learners. The review highlighted that successful AI education programs employ hands-on activities with pre-built AI tools (such as image classification or sentiment analysis applications) before introducing underlying algorithms, enabling learners to experience AI capabilities concretely before attempting to understand abstract mechanisms (Chiu et al., 2021). This experiential approach mirrors constructionist principles and provides a pedagogical foundation for introducing AI concepts without requiring advanced mathematics or programming prerequisites.</w:t>
      </w:r>
    </w:p>
    <w:p w14:paraId="5B12C157" w14:textId="77777777" w:rsidR="00264892" w:rsidRDefault="00264892" w:rsidP="00264892">
      <w:pPr>
        <w:spacing w:line="360" w:lineRule="auto"/>
        <w:jc w:val="both"/>
      </w:pPr>
    </w:p>
    <w:p w14:paraId="798FFE45" w14:textId="77777777" w:rsidR="00264892" w:rsidRDefault="00264892" w:rsidP="00264892">
      <w:pPr>
        <w:spacing w:line="360" w:lineRule="auto"/>
        <w:jc w:val="both"/>
      </w:pPr>
      <w:proofErr w:type="gramStart"/>
      <w:r>
        <w:t>The competency</w:t>
      </w:r>
      <w:proofErr w:type="gramEnd"/>
      <w:r>
        <w:t xml:space="preserve"> progression for AI literacy presents unique challenges compared to traditional programming education. While programming concepts follow relatively linear progression from sequences to conditionals to loops to functions, AI concepts require understanding probabilistic reasoning, training data dependencies, and emergent behaviors that may contradict deterministic programming intuitions. </w:t>
      </w:r>
      <w:proofErr w:type="spellStart"/>
      <w:r>
        <w:t>Touretzky</w:t>
      </w:r>
      <w:proofErr w:type="spellEnd"/>
      <w:r>
        <w:t xml:space="preserve"> et al. (2019) addressed this challenge by recommending that initial AI exposure focus on perception and societal impact—concepts that can be understood through observation and discussion—before </w:t>
      </w:r>
      <w:r>
        <w:lastRenderedPageBreak/>
        <w:t>progressing to learning and reasoning mechanisms that require more technical background. This progression aligns with established learning science principles of moving from concrete to abstract understanding.</w:t>
      </w:r>
    </w:p>
    <w:p w14:paraId="241A8AD7" w14:textId="77777777" w:rsidR="00264892" w:rsidRDefault="00264892" w:rsidP="00264892">
      <w:pPr>
        <w:spacing w:line="360" w:lineRule="auto"/>
        <w:jc w:val="both"/>
      </w:pPr>
    </w:p>
    <w:p w14:paraId="294D11A1" w14:textId="77777777" w:rsidR="00264892" w:rsidRDefault="00264892" w:rsidP="00264892">
      <w:pPr>
        <w:spacing w:line="360" w:lineRule="auto"/>
        <w:jc w:val="both"/>
      </w:pPr>
      <w:r>
        <w:t xml:space="preserve">For the Ghanaian educational context, AI literacy frameworks must be adapted to address infrastructure limitations and curriculum integration challenges. Ali et al. (2022) noted that AI education in developing contexts faces </w:t>
      </w:r>
      <w:proofErr w:type="gramStart"/>
      <w:r>
        <w:t>particular obstacles</w:t>
      </w:r>
      <w:proofErr w:type="gramEnd"/>
      <w:r>
        <w:t xml:space="preserve"> including limited internet connectivity (required for many cloud-based AI services), scarce computing hardware capable of running AI workloads, and teacher preparation gaps. However, the researchers also identified opportunities: offline-capable AI tools, mobile-first approaches leveraging smartphone penetration, and the cultural relevance of AI applications in agriculture, healthcare, and language translation for multilingual African contexts (Ali et al., 2022). These findings suggest that effective AI education in Ghana requires not merely importing frameworks developed for resource-rich contexts but adapting them to local technological and cultural realities.</w:t>
      </w:r>
    </w:p>
    <w:p w14:paraId="0CAA17D2" w14:textId="77777777" w:rsidR="00264892" w:rsidRDefault="00264892" w:rsidP="00264892">
      <w:pPr>
        <w:spacing w:line="360" w:lineRule="auto"/>
        <w:jc w:val="both"/>
      </w:pPr>
    </w:p>
    <w:p w14:paraId="28E9851C" w14:textId="2C618E57" w:rsidR="00EE2A31" w:rsidRDefault="00264892" w:rsidP="00264892">
      <w:pPr>
        <w:spacing w:line="360" w:lineRule="auto"/>
        <w:jc w:val="both"/>
      </w:pPr>
      <w:r>
        <w:t>For the Kone Academy platform, research on AI literacy frameworks directly informs the design of Level 3 (Artificial Intelligence and Machine Learning). The Five Big Ideas framework provides a structure for organizing AI content, while the AI4K12 grade band guidelines inform the targeting of concepts to appropriate developmental levels. Kone Academy's design prioritizes the "Perception" and "Learning" big ideas through hands-on activities with image classification and pattern recognition—capabilities that can be implemented on modest hardware—while addressing "Societal Impact" through locally relevant case studies examining AI applications in African agriculture, healthcare, and education. By grounding Level 3 in established AI literacy frameworks while adapting implementation for offline functionality and local context, the platform extends AI education access to learners who would otherwise be excluded by resource constraints or curriculum gaps.</w:t>
      </w:r>
      <w:r w:rsidR="00EE2A31">
        <w:t xml:space="preserve">   </w:t>
      </w:r>
    </w:p>
    <w:p w14:paraId="54CBC36D" w14:textId="77777777" w:rsidR="00264892" w:rsidRDefault="00EE2A31" w:rsidP="00EE2A31">
      <w:pPr>
        <w:spacing w:line="360" w:lineRule="auto"/>
        <w:jc w:val="both"/>
      </w:pPr>
      <w:r>
        <w:t xml:space="preserve">   3.4.2 AI Ethics and Responsible AI</w:t>
      </w:r>
    </w:p>
    <w:p w14:paraId="0BA4A253" w14:textId="77777777" w:rsidR="00264892" w:rsidRDefault="00264892" w:rsidP="00264892">
      <w:pPr>
        <w:spacing w:line="360" w:lineRule="auto"/>
        <w:jc w:val="both"/>
      </w:pPr>
      <w:r>
        <w:lastRenderedPageBreak/>
        <w:t>The rapid deployment of artificial intelligence technologies across societal domains has intensified focus on ethical considerations, particularly regarding algorithmic bias, fairness, transparency, and accountability. Perrotti and Howard (2022) conducted a systematic review examining AI ethics education in K-12 contexts, synthesizing findings from 34 empirical studies published between 2016 and 2021. Their analysis revealed that while technical AI literacy has received substantial attention, ethics education remains underdeveloped in most K-12 AI curricula, with fewer than 30% of reviewed programs incorporating structured ethical reasoning components (Perrotti &amp; Howard, 2022). This gap is particularly concerning given that children and adolescents are increasingly interacting with AI systems—recommendation algorithms, voice assistants, automated assessment tools—without critical frameworks for evaluating these systems' limitations, biases, or societal impacts.</w:t>
      </w:r>
    </w:p>
    <w:p w14:paraId="45F40D10" w14:textId="77777777" w:rsidR="00264892" w:rsidRDefault="00264892" w:rsidP="00264892">
      <w:pPr>
        <w:spacing w:line="360" w:lineRule="auto"/>
        <w:jc w:val="both"/>
      </w:pPr>
    </w:p>
    <w:p w14:paraId="3EA60085" w14:textId="77777777" w:rsidR="00264892" w:rsidRDefault="00264892" w:rsidP="00264892">
      <w:pPr>
        <w:spacing w:line="360" w:lineRule="auto"/>
        <w:jc w:val="both"/>
      </w:pPr>
      <w:r>
        <w:t>The systematic review identified several recurring ethical themes that K-12 AI education should address. Algorithmic bias emerged as the most frequently discussed concern, with studies documenting that children as young as 10 years old can understand and identify biased outcomes when presented with concrete examples (Perrotti &amp; Howard, 2022). Fairness in AI systems—encompassing both distributive fairness (who receives benefits and harms) and procedural fairness (transparency and due process)—represents a conceptually accessible entry point for introducing AI ethics to younger learners. The review emphasized that effective ethics education employs real-world case studies rather than abstract principles, enabling learners to connect ethical concepts to their lived experiences with technology (Perrotti &amp; Howard, 2022).</w:t>
      </w:r>
    </w:p>
    <w:p w14:paraId="016EC2C4" w14:textId="77777777" w:rsidR="00264892" w:rsidRDefault="00264892" w:rsidP="00264892">
      <w:pPr>
        <w:spacing w:line="360" w:lineRule="auto"/>
        <w:jc w:val="both"/>
      </w:pPr>
    </w:p>
    <w:p w14:paraId="11328185" w14:textId="77777777" w:rsidR="00264892" w:rsidRDefault="00264892" w:rsidP="00264892">
      <w:pPr>
        <w:spacing w:line="360" w:lineRule="auto"/>
        <w:jc w:val="both"/>
      </w:pPr>
      <w:r>
        <w:t xml:space="preserve">Privacy and data rights constitute another critical dimension of AI ethics education. Perrotti and Howard (2022) documented that K-12 learners generally lack understanding of how AI systems collect, process, and monetize personal data. Effective educational interventions, according to the review, employ experiential approaches where learners examine the data </w:t>
      </w:r>
      <w:r>
        <w:lastRenderedPageBreak/>
        <w:t xml:space="preserve">trails they generate through digital activities and consider what inferences AI systems might draw from this information. These activities develop "data </w:t>
      </w:r>
      <w:proofErr w:type="gramStart"/>
      <w:r>
        <w:t>awareness"—</w:t>
      </w:r>
      <w:proofErr w:type="gramEnd"/>
      <w:r>
        <w:t>an understanding of personal data as a resource with value and risks—without requiring technical knowledge of database systems or machine learning architectures.</w:t>
      </w:r>
    </w:p>
    <w:p w14:paraId="599F7427" w14:textId="77777777" w:rsidR="00264892" w:rsidRDefault="00264892" w:rsidP="00264892">
      <w:pPr>
        <w:spacing w:line="360" w:lineRule="auto"/>
        <w:jc w:val="both"/>
      </w:pPr>
    </w:p>
    <w:p w14:paraId="5537E148" w14:textId="77777777" w:rsidR="00264892" w:rsidRDefault="00264892" w:rsidP="00264892">
      <w:pPr>
        <w:spacing w:line="360" w:lineRule="auto"/>
        <w:jc w:val="both"/>
      </w:pPr>
      <w:r>
        <w:t>Age-appropriate ethics pedagogy presents distinct challenges compared to technical AI education. While young learners can engage with concrete examples of biased algorithms or privacy violations, abstract ethical frameworks (utilitarianism, deontological ethics, virtue ethics) exceed typical K-12 cognitive development. Perrotti and Howard (2022) recommended "ethical reasoning skills" over "ethical theory instruction" for K-12 contexts: teaching learners to identify stakeholders, consider multiple perspectives, evaluate consequences, and articulate value-based positions rather than applying formal ethical frameworks. This skills-based approach aligns with established moral education research and enables progressive development of ethical reasoning from concrete examples to abstract principles.</w:t>
      </w:r>
    </w:p>
    <w:p w14:paraId="5BCA78E5" w14:textId="77777777" w:rsidR="00264892" w:rsidRDefault="00264892" w:rsidP="00264892">
      <w:pPr>
        <w:spacing w:line="360" w:lineRule="auto"/>
        <w:jc w:val="both"/>
      </w:pPr>
    </w:p>
    <w:p w14:paraId="018CDF0F" w14:textId="77777777" w:rsidR="00264892" w:rsidRDefault="00264892" w:rsidP="00264892">
      <w:pPr>
        <w:spacing w:line="360" w:lineRule="auto"/>
        <w:jc w:val="both"/>
      </w:pPr>
      <w:r>
        <w:t xml:space="preserve">The cultural dimension of AI ethics education has </w:t>
      </w:r>
      <w:proofErr w:type="gramStart"/>
      <w:r>
        <w:t>particular relevance</w:t>
      </w:r>
      <w:proofErr w:type="gramEnd"/>
      <w:r>
        <w:t xml:space="preserve"> for non-Western contexts including Ghana. Perrotti and Howard (2022) noted that most AI ethics education materials are developed in Western contexts and may not resonate with learners from diverse cultural backgrounds. Concepts such as individual privacy rights, algorithmic fairness, and AI accountability reflect Western liberal democratic values that may not align with collectivist cultural frameworks prevalent in many African societies. The review recommended adapting AI ethics case studies to local contexts—examining AI applications in agriculture, healthcare, or governance that are culturally relevant to learners' communities—while maintaining universal ethical principles regarding human dignity and non-discrimination.</w:t>
      </w:r>
    </w:p>
    <w:p w14:paraId="1455EB37" w14:textId="77777777" w:rsidR="00264892" w:rsidRDefault="00264892" w:rsidP="00264892">
      <w:pPr>
        <w:spacing w:line="360" w:lineRule="auto"/>
        <w:jc w:val="both"/>
      </w:pPr>
    </w:p>
    <w:p w14:paraId="3F2D4944" w14:textId="77777777" w:rsidR="00264892" w:rsidRDefault="00264892" w:rsidP="00264892">
      <w:pPr>
        <w:spacing w:line="360" w:lineRule="auto"/>
        <w:jc w:val="both"/>
      </w:pPr>
      <w:r>
        <w:lastRenderedPageBreak/>
        <w:t xml:space="preserve">For the Ghanaian educational context, AI ethics education must address specific vulnerabilities and opportunities. Bias in AI systems trained predominantly on Western data sets can produce discriminatory outcomes for African populations—facial recognition systems with higher error rates for Black faces, natural language processing that fails with African English variants or local languages, healthcare algorithms that underrepresent tropical diseases. </w:t>
      </w:r>
      <w:proofErr w:type="spellStart"/>
      <w:r>
        <w:t>Adarkwah</w:t>
      </w:r>
      <w:proofErr w:type="spellEnd"/>
      <w:r>
        <w:t xml:space="preserve"> et al. (2022) emphasized that ethics education in developing contexts should empower learners to identify and challenge such biases, positioning African youth not merely as consumers of AI technologies developed elsewhere but as critical evaluators and eventually creators of AI systems appropriate for African contexts.</w:t>
      </w:r>
    </w:p>
    <w:p w14:paraId="47608218" w14:textId="77777777" w:rsidR="00264892" w:rsidRDefault="00264892" w:rsidP="00264892">
      <w:pPr>
        <w:spacing w:line="360" w:lineRule="auto"/>
        <w:jc w:val="both"/>
      </w:pPr>
    </w:p>
    <w:p w14:paraId="518B6AF9" w14:textId="5C6BA058" w:rsidR="00EE2A31" w:rsidRDefault="00264892" w:rsidP="00264892">
      <w:pPr>
        <w:spacing w:line="360" w:lineRule="auto"/>
        <w:jc w:val="both"/>
      </w:pPr>
      <w:r>
        <w:t xml:space="preserve">For the Kone Academy platform, research on AI ethics informs the design of Level 3's "Societal Impact" component within the Five Big Ideas framework. The platform incorporates age-appropriate ethics modules that employ Ghanaian case studies—examining AI applications in cocoa farming, malaria diagnosis, or local language translation—to develop ethical reasoning skills grounded in learners' cultural context. These modules emphasize practical skills (identifying bias, evaluating fairness, protecting privacy) over abstract theory, aligning with Perrotti and Howard's (2022) recommendations for K-12 ethics pedagogy. By integrating ethics throughout Level 3 rather than treating it as an isolated module, Kone Academy seeks to develop what Long and </w:t>
      </w:r>
      <w:proofErr w:type="spellStart"/>
      <w:r>
        <w:t>Magerko</w:t>
      </w:r>
      <w:proofErr w:type="spellEnd"/>
      <w:r>
        <w:t xml:space="preserve"> (2020) termed "responsible AI </w:t>
      </w:r>
      <w:proofErr w:type="gramStart"/>
      <w:r>
        <w:t>savvy"—</w:t>
      </w:r>
      <w:proofErr w:type="gramEnd"/>
      <w:r>
        <w:t>the ability to use AI technologies critically, ethically, and effectively.</w:t>
      </w:r>
      <w:r w:rsidR="00EE2A31">
        <w:t xml:space="preserve">   </w:t>
      </w:r>
    </w:p>
    <w:p w14:paraId="6C93B7D5" w14:textId="77777777" w:rsidR="00EE2A31" w:rsidRDefault="00EE2A31" w:rsidP="00EE2A31">
      <w:pPr>
        <w:spacing w:line="360" w:lineRule="auto"/>
        <w:jc w:val="both"/>
      </w:pPr>
      <w:r>
        <w:t xml:space="preserve">   3.4.3 Current State of K-12 AI Education</w:t>
      </w:r>
    </w:p>
    <w:p w14:paraId="65D327C8" w14:textId="77777777" w:rsidR="00264892" w:rsidRDefault="00264892" w:rsidP="00264892">
      <w:pPr>
        <w:spacing w:line="360" w:lineRule="auto"/>
        <w:jc w:val="both"/>
      </w:pPr>
      <w:r>
        <w:t xml:space="preserve">The integration of artificial intelligence into K-12 education, while rapidly expanding, remains in early stages of development with significant variability in implementation quality, curricular coherence, and educator preparedness across contexts. Ali et al. (2022) conducted the most comprehensive systematic review to date of AI education in K-12 settings, analyzing 47 empirical studies from 20 countries published between 2015 and 2021. Their analysis revealed that AI education has transitioned from exploratory pilot programs to increasingly structured curricular integration, yet major gaps persist in </w:t>
      </w:r>
      <w:r>
        <w:lastRenderedPageBreak/>
        <w:t>assessment frameworks, teacher preparation, and equitable access (Ali et al., 2022). The review documented that only 34% of reviewed programs employed validated assessment instruments to measure AI literacy outcomes, while the majority relied on informal observations or self-reported confidence measures—limiting confidence in claims about educational efficacy.</w:t>
      </w:r>
    </w:p>
    <w:p w14:paraId="70AA0429" w14:textId="77777777" w:rsidR="00264892" w:rsidRDefault="00264892" w:rsidP="00264892">
      <w:pPr>
        <w:spacing w:line="360" w:lineRule="auto"/>
        <w:jc w:val="both"/>
      </w:pPr>
    </w:p>
    <w:p w14:paraId="456E974C" w14:textId="77777777" w:rsidR="00264892" w:rsidRDefault="00264892" w:rsidP="00264892">
      <w:pPr>
        <w:spacing w:line="360" w:lineRule="auto"/>
        <w:jc w:val="both"/>
      </w:pPr>
      <w:r>
        <w:t xml:space="preserve">Long and </w:t>
      </w:r>
      <w:proofErr w:type="spellStart"/>
      <w:r>
        <w:t>Magerko</w:t>
      </w:r>
      <w:proofErr w:type="spellEnd"/>
      <w:r>
        <w:t xml:space="preserve"> (2020) contributed foundational work on AI literacy competencies, proposing a comprehensive framework that identifies three interconnected competency domains: (1) conceptual understanding—knowledge of how AI systems function, their capabilities and limitations, and underlying computational mechanisms; (2) critical evaluation—ability to assess AI system outputs, identify biases, evaluate societal impacts, and make informed decisions about AI use; and (3) practical skills—capability to interact with AI tools, modify pre-built systems, and eventually create simple AI applications. This framework has been widely adopted in subsequent AI education research and curriculum development, though Ali et al. (2022) noted that most existing programs focus disproportionately on conceptual understanding while neglecting critical evaluation and practical skills dimensions.</w:t>
      </w:r>
    </w:p>
    <w:p w14:paraId="3EAF28EF" w14:textId="77777777" w:rsidR="00264892" w:rsidRDefault="00264892" w:rsidP="00264892">
      <w:pPr>
        <w:spacing w:line="360" w:lineRule="auto"/>
        <w:jc w:val="both"/>
      </w:pPr>
    </w:p>
    <w:p w14:paraId="60C228FF" w14:textId="77777777" w:rsidR="00264892" w:rsidRDefault="00264892" w:rsidP="00264892">
      <w:pPr>
        <w:spacing w:line="360" w:lineRule="auto"/>
        <w:jc w:val="both"/>
      </w:pPr>
      <w:r>
        <w:t>Implementation challenges for K-12 AI education are substantial and multifaceted. Ali et al. (2022) identified infrastructure as the primary barrier: many AI applications require internet connectivity, cloud computing resources, or specialized hardware (GPUs for training neural networks) unavailable in typical school environments. This infrastructure dependency creates stark equity divides, with well-resourced schools implementing sophisticated AI laboratories while under-resourced schools cannot offer any AI exposure. The review also documented significant curriculum integration challenges, as AI concepts do not map neatly onto existing subject area boundaries—touching computer science, mathematics, ethics, and social studies—creating uncertainty about where AI education should reside within traditional school structures.</w:t>
      </w:r>
    </w:p>
    <w:p w14:paraId="13ABA61E" w14:textId="77777777" w:rsidR="00264892" w:rsidRDefault="00264892" w:rsidP="00264892">
      <w:pPr>
        <w:spacing w:line="360" w:lineRule="auto"/>
        <w:jc w:val="both"/>
      </w:pPr>
    </w:p>
    <w:p w14:paraId="3B107A75" w14:textId="77777777" w:rsidR="00264892" w:rsidRDefault="00264892" w:rsidP="00264892">
      <w:pPr>
        <w:spacing w:line="360" w:lineRule="auto"/>
        <w:jc w:val="both"/>
      </w:pPr>
      <w:r>
        <w:t>Teacher preparation represents perhaps the most critical challenge for scaling AI education. Ali et al. (2022) found that fewer than 15% of teachers implementing AI education in reviewed studies had formal training in AI or machine learning, with most relying on self-directed learning through online resources or professional development workshops of limited duration. This preparation gap has significant implications for pedagogical quality: teachers without deep AI understanding struggle to address student questions about how algorithms function, cannot effectively troubleshoot technical problems, and may inadvertently perpetuate misconceptions about AI capabilities (Ali et al., 2022). The review emphasized that sustainable AI education requires systematic investment in teacher professional development rather than one-time training events.</w:t>
      </w:r>
    </w:p>
    <w:p w14:paraId="02369EC5" w14:textId="77777777" w:rsidR="00264892" w:rsidRDefault="00264892" w:rsidP="00264892">
      <w:pPr>
        <w:spacing w:line="360" w:lineRule="auto"/>
        <w:jc w:val="both"/>
      </w:pPr>
    </w:p>
    <w:p w14:paraId="04758AE4" w14:textId="77777777" w:rsidR="00264892" w:rsidRDefault="00264892" w:rsidP="00264892">
      <w:pPr>
        <w:spacing w:line="360" w:lineRule="auto"/>
        <w:jc w:val="both"/>
      </w:pPr>
      <w:r>
        <w:t xml:space="preserve">The current state of K-12 AI education in developing contexts such as Ghana presents amplified versions of these global challenges. </w:t>
      </w:r>
      <w:proofErr w:type="spellStart"/>
      <w:r>
        <w:t>Adarkwah</w:t>
      </w:r>
      <w:proofErr w:type="spellEnd"/>
      <w:r>
        <w:t xml:space="preserve"> et al. (2022) documented that Ghanaian schools face severe infrastructure constraints including unreliable electricity, limited internet connectivity, and scarce computing hardware—incompatibilities with cloud-based AI services that assume continuous connectivity and modern devices. Teacher preparation gaps are similarly acute, with few Ghanaian educators possessing AI expertise and limited professional development opportunities available locally. However, these constraints also create opportunities for innovative approaches: offline-capable AI tools, mobile-first implementations leveraging high smartphone penetration rates, and </w:t>
      </w:r>
      <w:proofErr w:type="gramStart"/>
      <w:r>
        <w:t>locally-developed</w:t>
      </w:r>
      <w:proofErr w:type="gramEnd"/>
      <w:r>
        <w:t xml:space="preserve"> curricula aligned with Ghanaian educational priorities and cultural contexts (</w:t>
      </w:r>
      <w:proofErr w:type="spellStart"/>
      <w:r>
        <w:t>Adarkwah</w:t>
      </w:r>
      <w:proofErr w:type="spellEnd"/>
      <w:r>
        <w:t xml:space="preserve"> et al., 2022; </w:t>
      </w:r>
      <w:proofErr w:type="spellStart"/>
      <w:r>
        <w:t>Oyelere</w:t>
      </w:r>
      <w:proofErr w:type="spellEnd"/>
      <w:r>
        <w:t xml:space="preserve"> et al., 2017).</w:t>
      </w:r>
    </w:p>
    <w:p w14:paraId="2C5DFD76" w14:textId="77777777" w:rsidR="00264892" w:rsidRDefault="00264892" w:rsidP="00264892">
      <w:pPr>
        <w:spacing w:line="360" w:lineRule="auto"/>
        <w:jc w:val="both"/>
      </w:pPr>
    </w:p>
    <w:p w14:paraId="2CD15DEB" w14:textId="77777777" w:rsidR="00264892" w:rsidRDefault="00264892" w:rsidP="00264892">
      <w:pPr>
        <w:spacing w:line="360" w:lineRule="auto"/>
        <w:jc w:val="both"/>
      </w:pPr>
      <w:r>
        <w:t xml:space="preserve">Despite these challenges, momentum for K-12 AI education continues </w:t>
      </w:r>
      <w:proofErr w:type="gramStart"/>
      <w:r>
        <w:t>growing</w:t>
      </w:r>
      <w:proofErr w:type="gramEnd"/>
      <w:r>
        <w:t xml:space="preserve"> internationally. Ali et al. (2022) documented increasing policy support, with 14 countries having introduced national AI education guidelines or curriculum standards by 2021. Industry partnerships are expanding, with technology companies providing free AI tools, </w:t>
      </w:r>
      <w:r>
        <w:lastRenderedPageBreak/>
        <w:t xml:space="preserve">curriculum resources, and teacher training—though critics note these partnerships may promote specific platforms rather than develop platform-agnostic AI literacy. Research-practice partnerships are emerging, connecting university researchers with K-12 educators to develop evidence-based AI </w:t>
      </w:r>
      <w:proofErr w:type="gramStart"/>
      <w:r>
        <w:t>curricula—an encouraging trend</w:t>
      </w:r>
      <w:proofErr w:type="gramEnd"/>
      <w:r>
        <w:t xml:space="preserve"> that may address the research-to-practice gap characterizing much current AI education implementation.</w:t>
      </w:r>
    </w:p>
    <w:p w14:paraId="770CC497" w14:textId="77777777" w:rsidR="00264892" w:rsidRDefault="00264892" w:rsidP="00264892">
      <w:pPr>
        <w:spacing w:line="360" w:lineRule="auto"/>
        <w:jc w:val="both"/>
      </w:pPr>
    </w:p>
    <w:p w14:paraId="380FD0B8" w14:textId="3FDED09A" w:rsidR="00EE2A31" w:rsidRDefault="00264892" w:rsidP="00264892">
      <w:pPr>
        <w:spacing w:line="360" w:lineRule="auto"/>
        <w:jc w:val="both"/>
      </w:pPr>
      <w:r>
        <w:t xml:space="preserve">For the Kone Academy platform, the documented current state of K-12 AI education provides both rationale and guidance for Level 3 design. The scarcity of validated AI assessments informed the platform's development of portfolio-based evaluation rubrics aligned with Long and </w:t>
      </w:r>
      <w:proofErr w:type="spellStart"/>
      <w:r>
        <w:t>Magerko's</w:t>
      </w:r>
      <w:proofErr w:type="spellEnd"/>
      <w:r>
        <w:t xml:space="preserve"> competency framework. Teacher preparation challenges motivated the inclusion of extensive scaffolding materials and automated guidance systems to support educators without AI backgrounds. Infrastructure constraints in the Ghanaian context directly shaped the platform's offline-first architecture and lightweight AI implementations that function on modest hardware. By addressing the documented gaps and challenges in current K-12 AI education while leveraging emerging best practices, Kone Academy seeks to contribute to the evolution of AI education toward more equitable, effective, and sustainable </w:t>
      </w:r>
      <w:proofErr w:type="gramStart"/>
      <w:r>
        <w:t>implementation—</w:t>
      </w:r>
      <w:proofErr w:type="gramEnd"/>
      <w:r>
        <w:t>particularly for learners in developing contexts who might otherwise be excluded from AI literacy development due to resource constraints.</w:t>
      </w:r>
      <w:r w:rsidR="00EE2A31">
        <w:t xml:space="preserve">   </w:t>
      </w:r>
    </w:p>
    <w:p w14:paraId="51C6EDB2" w14:textId="77777777" w:rsidR="00EE2A31" w:rsidRDefault="00EE2A31" w:rsidP="00EE2A31">
      <w:pPr>
        <w:spacing w:line="360" w:lineRule="auto"/>
        <w:jc w:val="both"/>
      </w:pPr>
      <w:r>
        <w:t xml:space="preserve">   3.4.4 AI Education in Developing Contexts</w:t>
      </w:r>
    </w:p>
    <w:p w14:paraId="78BA5144" w14:textId="77777777" w:rsidR="00264892" w:rsidRDefault="00264892" w:rsidP="00264892">
      <w:pPr>
        <w:spacing w:line="360" w:lineRule="auto"/>
        <w:jc w:val="both"/>
      </w:pPr>
      <w:r>
        <w:t xml:space="preserve">While AI education has gained traction in well-resourced educational systems, its implementation in developing contexts presents distinct challenges that require tailored solutions. Ali et al. (2022), in their systematic review of global K-12 AI education, identified infrastructure dependency as the primary barrier to equitable AI literacy development. Cloud-based AI services—the dominant paradigm for educational AI tools—assume reliable high-speed internet connectivity, modern computing hardware, and continuous electrical power that are unavailable in many developing contexts including substantial portions of Ghana. The review documented that students in under-resourced schools were systematically excluded from AI education opportunities, with fewer than 5% of reviewed AI </w:t>
      </w:r>
      <w:r>
        <w:lastRenderedPageBreak/>
        <w:t>education programs successfully implemented in low-connectivity environments (Ali et al., 2022). This exclusion threatens to replicate and amplify existing digital divides, positioning AI as a technology for elite populations while excluding learners who would most benefit from understanding systems increasingly shaping economic and social opportunity.</w:t>
      </w:r>
    </w:p>
    <w:p w14:paraId="1ECCA673" w14:textId="77777777" w:rsidR="00264892" w:rsidRDefault="00264892" w:rsidP="00264892">
      <w:pPr>
        <w:spacing w:line="360" w:lineRule="auto"/>
        <w:jc w:val="both"/>
      </w:pPr>
    </w:p>
    <w:p w14:paraId="2C1A5049" w14:textId="77777777" w:rsidR="00264892" w:rsidRDefault="00264892" w:rsidP="00264892">
      <w:pPr>
        <w:spacing w:line="360" w:lineRule="auto"/>
        <w:jc w:val="both"/>
      </w:pPr>
      <w:r>
        <w:t>Bhardwaj et al. (2022) addressed these infrastructure challenges through their development and evaluation of offline-first learning systems designed specifically for low-resource environments. Their research demonstrated that AI education need not require continuous connectivity: machine learning models can be pre-trained and deployed locally, inference can run on modest hardware through model optimization techniques, and curriculum content can be distributed through offline media for contexts where internet access is limited or expensive. The study established proof-of-concept for lightweight AI implementations—including image classification, sentiment analysis, and simple neural network demonstrations—that function on low-cost hardware without cloud dependency (Bhardwaj et al., 2022). These findings suggest that AI education in developing contexts requires technological architectures fundamentally different from those optimized for resource-rich environments, prioritizing offline capability, low bandwidth requirements, and local processing over cloud-dependent services.</w:t>
      </w:r>
    </w:p>
    <w:p w14:paraId="0886D771" w14:textId="77777777" w:rsidR="00264892" w:rsidRDefault="00264892" w:rsidP="00264892">
      <w:pPr>
        <w:spacing w:line="360" w:lineRule="auto"/>
        <w:jc w:val="both"/>
      </w:pPr>
    </w:p>
    <w:p w14:paraId="3803B223" w14:textId="77777777" w:rsidR="00264892" w:rsidRDefault="00264892" w:rsidP="00264892">
      <w:pPr>
        <w:spacing w:line="360" w:lineRule="auto"/>
        <w:jc w:val="both"/>
      </w:pPr>
      <w:r>
        <w:t xml:space="preserve">Mobile-first approaches offer </w:t>
      </w:r>
      <w:proofErr w:type="gramStart"/>
      <w:r>
        <w:t>particular promise</w:t>
      </w:r>
      <w:proofErr w:type="gramEnd"/>
      <w:r>
        <w:t xml:space="preserve"> for AI education in contexts with limited traditional computing infrastructure but high smartphone penetration. </w:t>
      </w:r>
      <w:proofErr w:type="spellStart"/>
      <w:r>
        <w:t>Oyelere</w:t>
      </w:r>
      <w:proofErr w:type="spellEnd"/>
      <w:r>
        <w:t xml:space="preserve"> et al. (2017) documented that mobile devices have achieved near-ubiquitous penetration in Sub-Saharan African contexts, with smartphones often representing households' primary computing resource. However, the researchers noted that mobile AI education presents distinct design challenges: smaller screens constrain complex visualizations, touch interfaces differ fundamentally from mouse-keyboard interactions assumed by most educational software, and battery limitations affect usage patterns. Successful mobile AI </w:t>
      </w:r>
      <w:r>
        <w:lastRenderedPageBreak/>
        <w:t>education, according to their analysis, requires interface designs specifically optimized for mobile contexts rather than merely porting desktop applications to smaller screens.</w:t>
      </w:r>
    </w:p>
    <w:p w14:paraId="00D5C960" w14:textId="77777777" w:rsidR="00264892" w:rsidRDefault="00264892" w:rsidP="00264892">
      <w:pPr>
        <w:spacing w:line="360" w:lineRule="auto"/>
        <w:jc w:val="both"/>
      </w:pPr>
    </w:p>
    <w:p w14:paraId="249B277E" w14:textId="77777777" w:rsidR="00264892" w:rsidRDefault="00264892" w:rsidP="00264892">
      <w:pPr>
        <w:spacing w:line="360" w:lineRule="auto"/>
        <w:jc w:val="both"/>
      </w:pPr>
      <w:r>
        <w:t>The curriculum content for AI education in developing contexts requires cultural adaptation beyond mere translation. Ali et al. (2022) emphasized that AI case studies and examples drawn from Western contexts—recommendation algorithms for streaming services, voice assistants for smart homes, autonomous vehicles—may have limited resonance for learners in agrarian economies or informal urban settlements. Effective AI education in Ghanaian contexts requires locally relevant examples: AI applications in cocoa farming and agricultural extension, machine learning for malaria diagnosis and tropical disease prediction, natural language processing for Ghanaian languages and dialects. These contextualized examples serve dual purposes: they make AI concepts concretely understandable while simultaneously demonstrating AI's relevance to learners' communities and potential future careers.</w:t>
      </w:r>
    </w:p>
    <w:p w14:paraId="6F46C86A" w14:textId="77777777" w:rsidR="00264892" w:rsidRDefault="00264892" w:rsidP="00264892">
      <w:pPr>
        <w:spacing w:line="360" w:lineRule="auto"/>
        <w:jc w:val="both"/>
      </w:pPr>
    </w:p>
    <w:p w14:paraId="09838655" w14:textId="77777777" w:rsidR="00264892" w:rsidRDefault="00264892" w:rsidP="00264892">
      <w:pPr>
        <w:spacing w:line="360" w:lineRule="auto"/>
        <w:jc w:val="both"/>
      </w:pPr>
      <w:r>
        <w:t xml:space="preserve">Teacher preparation for AI education presents amplified challenges in developing contexts. </w:t>
      </w:r>
      <w:proofErr w:type="spellStart"/>
      <w:r>
        <w:t>Adarkwah</w:t>
      </w:r>
      <w:proofErr w:type="spellEnd"/>
      <w:r>
        <w:t xml:space="preserve"> et al. (2022) documented that Ghanaian educators face severe capacity constraints for technology integration generally, with AI-specific expertise virtually absent from the teaching workforce. The researchers emphasized that sustainable AI education in Ghana cannot depend on importing AI-literate teachers but must develop local capacity through systematic professional development, communities of practice, and scaffolded curriculum materials that support non-expert educators. This reality informed Kone Academy's design of extensive automated guidance systems and teacher support resources that enable effective AI instruction without requiring teachers to possess deep AI technical knowledge.</w:t>
      </w:r>
    </w:p>
    <w:p w14:paraId="15C51178" w14:textId="77777777" w:rsidR="00264892" w:rsidRDefault="00264892" w:rsidP="00264892">
      <w:pPr>
        <w:spacing w:line="360" w:lineRule="auto"/>
        <w:jc w:val="both"/>
      </w:pPr>
    </w:p>
    <w:p w14:paraId="443BF0F9" w14:textId="77777777" w:rsidR="00264892" w:rsidRDefault="00264892" w:rsidP="00264892">
      <w:pPr>
        <w:spacing w:line="360" w:lineRule="auto"/>
        <w:jc w:val="both"/>
      </w:pPr>
      <w:r>
        <w:lastRenderedPageBreak/>
        <w:t>Assessment of AI literacy in developing contexts requires approaches that account for infrastructure limitations. Traditional computer-based assessments assume reliable devices and connectivity; paper-based assessments cannot evaluate practical AI skills. Shute et al. (2023) recommended portfolio-based and project-based assessment approaches that capture learner AI literacy through artifact creation, documentation, and demonstrated application—methods compatible with intermittent connectivity and varied hardware availability. These assessment approaches also align with constructionist pedagogical principles, evaluating learning through tangible creation rather than standardized testing.</w:t>
      </w:r>
    </w:p>
    <w:p w14:paraId="4A986C21" w14:textId="77777777" w:rsidR="00264892" w:rsidRDefault="00264892" w:rsidP="00264892">
      <w:pPr>
        <w:spacing w:line="360" w:lineRule="auto"/>
        <w:jc w:val="both"/>
      </w:pPr>
    </w:p>
    <w:p w14:paraId="1B2AC0C6" w14:textId="54790880" w:rsidR="00EE2A31" w:rsidRDefault="00264892" w:rsidP="00264892">
      <w:pPr>
        <w:spacing w:line="360" w:lineRule="auto"/>
        <w:jc w:val="both"/>
      </w:pPr>
      <w:r>
        <w:t xml:space="preserve">For the Kone Academy platform, research on AI education in developing contexts has directly shaped Level 3 (Artificial Intelligence and Machine Learning) architectural and pedagogical decisions. The platform employs offline-first design with lightweight, </w:t>
      </w:r>
      <w:proofErr w:type="gramStart"/>
      <w:r>
        <w:t>locally-running</w:t>
      </w:r>
      <w:proofErr w:type="gramEnd"/>
      <w:r>
        <w:t xml:space="preserve"> AI models that demonstrate machine learning concepts without cloud dependency. Mobile-optimized interfaces ensure accessibility on the devices most Ghanaian learners </w:t>
      </w:r>
      <w:proofErr w:type="gramStart"/>
      <w:r>
        <w:t>actually possess</w:t>
      </w:r>
      <w:proofErr w:type="gramEnd"/>
      <w:r>
        <w:t xml:space="preserve">. </w:t>
      </w:r>
      <w:proofErr w:type="gramStart"/>
      <w:r>
        <w:t>Culturally-relevant</w:t>
      </w:r>
      <w:proofErr w:type="gramEnd"/>
      <w:r>
        <w:t xml:space="preserve"> case studies drawn from African applications ground AI concepts in contexts meaningful to learners. Extensive scaffolding and automated guidance support teachers without AI expertise. Portfolio-based assessment captures learning outcomes without requiring continuous connectivity or specialized testing infrastructure. By addressing the specific challenges documented in developing context AI education research, Kone Academy seeks to extend AI literacy access to learners systematically excluded by infrastructure-dependent approaches—positioning African youth not as passive consumers of AI technologies developed elsewhere but as informed critics and eventual creators of AI systems appropriate for African contexts and needs.</w:t>
      </w:r>
    </w:p>
    <w:p w14:paraId="523221BA" w14:textId="77777777" w:rsidR="00EE2A31" w:rsidRDefault="00EE2A31" w:rsidP="00EE2A31">
      <w:pPr>
        <w:spacing w:line="360" w:lineRule="auto"/>
        <w:jc w:val="both"/>
      </w:pPr>
      <w:r>
        <w:t>3.5 EdTech in Africa and Developing Countries (700 words)</w:t>
      </w:r>
    </w:p>
    <w:p w14:paraId="6844C671" w14:textId="77777777" w:rsidR="00EE2A31" w:rsidRDefault="00EE2A31" w:rsidP="00EE2A31">
      <w:pPr>
        <w:spacing w:line="360" w:lineRule="auto"/>
        <w:jc w:val="both"/>
      </w:pPr>
      <w:r>
        <w:t xml:space="preserve">   3.5.1 Mobile and Ubiquitous Learning</w:t>
      </w:r>
    </w:p>
    <w:p w14:paraId="15E186EF" w14:textId="77777777" w:rsidR="00264892" w:rsidRDefault="00264892" w:rsidP="00264892">
      <w:pPr>
        <w:spacing w:line="360" w:lineRule="auto"/>
        <w:jc w:val="both"/>
      </w:pPr>
      <w:r>
        <w:t xml:space="preserve">The educational technology landscape in developing contexts has been fundamentally shaped by the rapid proliferation of mobile devices, creating both unprecedented access </w:t>
      </w:r>
      <w:r>
        <w:lastRenderedPageBreak/>
        <w:t xml:space="preserve">opportunities and unique design challenges that differ substantially from resource-rich educational environments. Traxler (2007) provided foundational conceptualization of mobile learning as a distinct educational paradigm, arguing that mobile devices are not merely portable versions of desktop computers but represent an entirely different relationship between learners, technology, and educational content. His work established that mobile learning is characterized by spontaneity, personalization, and contextual immediacy—attributes that align closely with constructionist pedagogical principles but require fundamentally different design approaches than traditional computer-based instruction (Traxler, 2007). This reconceptualization of educational technology has </w:t>
      </w:r>
      <w:proofErr w:type="gramStart"/>
      <w:r>
        <w:t>particular relevance</w:t>
      </w:r>
      <w:proofErr w:type="gramEnd"/>
      <w:r>
        <w:t xml:space="preserve"> for contexts where mobile phones may represent the only computing technology accessible to learners and teachers.</w:t>
      </w:r>
    </w:p>
    <w:p w14:paraId="080245C9" w14:textId="77777777" w:rsidR="00264892" w:rsidRDefault="00264892" w:rsidP="00264892">
      <w:pPr>
        <w:spacing w:line="360" w:lineRule="auto"/>
        <w:jc w:val="both"/>
      </w:pPr>
    </w:p>
    <w:p w14:paraId="5A3BE405" w14:textId="77777777" w:rsidR="00264892" w:rsidRDefault="00264892" w:rsidP="00264892">
      <w:pPr>
        <w:spacing w:line="360" w:lineRule="auto"/>
        <w:jc w:val="both"/>
      </w:pPr>
      <w:r>
        <w:t xml:space="preserve">The infrastructure realities of Sub-Saharan Africa have made mobile-first approaches not merely preferable but </w:t>
      </w:r>
      <w:proofErr w:type="gramStart"/>
      <w:r>
        <w:t>often</w:t>
      </w:r>
      <w:proofErr w:type="gramEnd"/>
      <w:r>
        <w:t xml:space="preserve"> essential for educational technology implementation. </w:t>
      </w:r>
      <w:proofErr w:type="spellStart"/>
      <w:r>
        <w:t>Oyelere</w:t>
      </w:r>
      <w:proofErr w:type="spellEnd"/>
      <w:r>
        <w:t xml:space="preserve"> et al. (2017) conducted extensive research on mobile ubiquitous learning in STEM education across multiple African countries, documenting that mobile devices have achieved near-ubiquitous penetration even in rural and underserved communities where traditional computing infrastructure remains scarce. Their analysis revealed that smartphones and feature phones have become the primary means of internet access for </w:t>
      </w:r>
      <w:proofErr w:type="gramStart"/>
      <w:r>
        <w:t>the majority of</w:t>
      </w:r>
      <w:proofErr w:type="gramEnd"/>
      <w:r>
        <w:t xml:space="preserve"> African learners, with mobile network coverage extending significantly beyond areas served by reliable electrical grids or fixed-line internet connections (</w:t>
      </w:r>
      <w:proofErr w:type="spellStart"/>
      <w:r>
        <w:t>Oyelere</w:t>
      </w:r>
      <w:proofErr w:type="spellEnd"/>
      <w:r>
        <w:t xml:space="preserve"> et al., 2017). This infrastructure profile necessitates educational technology designs that function effectively within the constraints and affordances of mobile ecosystems.</w:t>
      </w:r>
    </w:p>
    <w:p w14:paraId="46A76FE7" w14:textId="77777777" w:rsidR="00264892" w:rsidRDefault="00264892" w:rsidP="00264892">
      <w:pPr>
        <w:spacing w:line="360" w:lineRule="auto"/>
        <w:jc w:val="both"/>
      </w:pPr>
    </w:p>
    <w:p w14:paraId="207CD3D3" w14:textId="77777777" w:rsidR="00264892" w:rsidRDefault="00264892" w:rsidP="00264892">
      <w:pPr>
        <w:spacing w:line="360" w:lineRule="auto"/>
        <w:jc w:val="both"/>
      </w:pPr>
      <w:r>
        <w:t xml:space="preserve">However, the technical limitations of mobile devices present significant challenges for complex educational applications such as programming and AI education. </w:t>
      </w:r>
      <w:proofErr w:type="spellStart"/>
      <w:r>
        <w:t>Oyelere</w:t>
      </w:r>
      <w:proofErr w:type="spellEnd"/>
      <w:r>
        <w:t xml:space="preserve"> et al. (2017) identified that mobile screens constrain the presentation of complex visualizations, touch interfaces differ fundamentally from mouse-keyboard interactions assumed by most </w:t>
      </w:r>
      <w:r>
        <w:lastRenderedPageBreak/>
        <w:t>educational software, and battery limitations affect sustained usage patterns. Furthermore, mobile data costs remain prohibitive for many learners, necessitating offline-first or low-bandwidth designs that minimize continuous connectivity requirements. The researchers emphasized that successful mobile learning in African contexts requires intentional interface optimization rather than simple porting of desktop applications to smaller screens—a design principle that has guided Kone Academy's development of mobile-optimized block-based programming interfaces (</w:t>
      </w:r>
      <w:proofErr w:type="spellStart"/>
      <w:r>
        <w:t>Oyelere</w:t>
      </w:r>
      <w:proofErr w:type="spellEnd"/>
      <w:r>
        <w:t xml:space="preserve"> et al., 2017).</w:t>
      </w:r>
    </w:p>
    <w:p w14:paraId="6FD7167F" w14:textId="77777777" w:rsidR="00264892" w:rsidRDefault="00264892" w:rsidP="00264892">
      <w:pPr>
        <w:spacing w:line="360" w:lineRule="auto"/>
        <w:jc w:val="both"/>
      </w:pPr>
    </w:p>
    <w:p w14:paraId="298705F7" w14:textId="77777777" w:rsidR="00264892" w:rsidRDefault="00264892" w:rsidP="00264892">
      <w:pPr>
        <w:spacing w:line="360" w:lineRule="auto"/>
        <w:jc w:val="both"/>
      </w:pPr>
      <w:r>
        <w:t>The pedagogical implications of mobile learning extend beyond technical adaptation to encompass shifts in how educational content is structured and delivered. Traxler (2007) argued that mobile learning enables "just-in-time" educational experiences where learning can occur in authentic contexts rather than being confined to designated educational spaces and times. This flexibility is particularly valuable in developing contexts where formal schooling may be interrupted by economic activities, household responsibilities, or infrastructure limitations. Mobile learning's capacity to support bite-sized, intermittent engagement aligns with the reality that many Ghanaian learners cannot sustain extended periods of continuous study due to competing demands on their time and attention.</w:t>
      </w:r>
    </w:p>
    <w:p w14:paraId="3BFCAA13" w14:textId="77777777" w:rsidR="00264892" w:rsidRDefault="00264892" w:rsidP="00264892">
      <w:pPr>
        <w:spacing w:line="360" w:lineRule="auto"/>
        <w:jc w:val="both"/>
      </w:pPr>
    </w:p>
    <w:p w14:paraId="67157078" w14:textId="77777777" w:rsidR="00264892" w:rsidRDefault="00264892" w:rsidP="00264892">
      <w:pPr>
        <w:spacing w:line="360" w:lineRule="auto"/>
        <w:jc w:val="both"/>
      </w:pPr>
      <w:r>
        <w:t xml:space="preserve">Research has documented both the promise and pitfalls of mobile learning implementations in African educational contexts. While mobile devices offer unprecedented access, </w:t>
      </w:r>
      <w:proofErr w:type="spellStart"/>
      <w:r>
        <w:t>Oyelere</w:t>
      </w:r>
      <w:proofErr w:type="spellEnd"/>
      <w:r>
        <w:t xml:space="preserve"> et al. (2017) cautioned that device access does not automatically translate to educational benefit without appropriate content, teacher support, and pedagogical integration. Their systematic review found that successful mobile STEM education programs incorporated offline content synchronization, leveraged device sensors for hands-on science activities, and provided structured scaffolding that compensated for the absence of continuous teacher guidance. These findings suggest that effective mobile learning requires holistic design approaches that address content, </w:t>
      </w:r>
      <w:r>
        <w:lastRenderedPageBreak/>
        <w:t xml:space="preserve">pedagogy, and infrastructure simultaneously rather than </w:t>
      </w:r>
      <w:proofErr w:type="gramStart"/>
      <w:r>
        <w:t>assuming that</w:t>
      </w:r>
      <w:proofErr w:type="gramEnd"/>
      <w:r>
        <w:t xml:space="preserve"> mobile access alone will drive educational outcomes.</w:t>
      </w:r>
    </w:p>
    <w:p w14:paraId="3C889611" w14:textId="77777777" w:rsidR="00264892" w:rsidRDefault="00264892" w:rsidP="00264892">
      <w:pPr>
        <w:spacing w:line="360" w:lineRule="auto"/>
        <w:jc w:val="both"/>
      </w:pPr>
    </w:p>
    <w:p w14:paraId="5F48EF57" w14:textId="5EF1E849" w:rsidR="00264892" w:rsidRDefault="00264892" w:rsidP="00264892">
      <w:pPr>
        <w:spacing w:line="360" w:lineRule="auto"/>
        <w:jc w:val="both"/>
      </w:pPr>
      <w:r>
        <w:t xml:space="preserve">For the Kone Academy platform, research on mobile and ubiquitous learning has directly shaped architectural and pedagogical decisions. The platform employs a mobile-first design philosophy that assumes smartphones as the primary access device, with interfaces optimized for touch interaction and smaller screens. Offline-first functionality ensures that learning activities can proceed without continuous connectivity, with data synchronization occurring opportunistically when connections are available. The platform leverages mobile device capabilities—including cameras for computer vision projects, accelerometers for robotics applications, and local storage for curriculum content—to create authentic learning experiences that would be impossible with desktop-centric designs. By grounding Kone Academy in mobile learning research while adapting to the specific constraints of Ghanaian infrastructure, the platform seeks to realize the democratizing potential that Traxler (2007) envisioned for mobile educational technology while avoiding the implementation pitfalls documented by </w:t>
      </w:r>
      <w:proofErr w:type="spellStart"/>
      <w:r>
        <w:t>Oyelere</w:t>
      </w:r>
      <w:proofErr w:type="spellEnd"/>
      <w:r>
        <w:t xml:space="preserve"> et al. (2017).</w:t>
      </w:r>
    </w:p>
    <w:p w14:paraId="02A3C98F" w14:textId="77777777" w:rsidR="00EE2A31" w:rsidRDefault="00EE2A31" w:rsidP="00EE2A31">
      <w:pPr>
        <w:spacing w:line="360" w:lineRule="auto"/>
        <w:jc w:val="both"/>
      </w:pPr>
      <w:r>
        <w:t xml:space="preserve">   3.5.2 Ghana-Specific Research</w:t>
      </w:r>
    </w:p>
    <w:p w14:paraId="19FE5F35" w14:textId="77777777" w:rsidR="00264892" w:rsidRDefault="00264892" w:rsidP="00264892">
      <w:pPr>
        <w:spacing w:line="360" w:lineRule="auto"/>
        <w:jc w:val="both"/>
      </w:pPr>
      <w:r>
        <w:t xml:space="preserve">Ghana has established ambitious policy frameworks for integrating information and communication technologies (ICT) into education, yet the translation of these policies into classroom practice remains uneven and contested. Agyei-Okyere et al. (2016) conducted a comprehensive analysis of ICT in Ghanaian education, documenting that national policies have consistently emphasized technology integration since the early 2000s, with the Ghana ICT for Accelerated Development (ICT4AD) policy and subsequent education sector plans articulating visions for technology-enabled learning. However, the researchers identified substantial gaps between policy rhetoric and implementation reality, noting that while policy documents articulate sophisticated visions for educational technology, actual classroom integration remains limited by infrastructure deficits, teacher preparation gaps, and resource constraints (Agyei-Okyere et al., 2016). This policy-implementation gap has direct </w:t>
      </w:r>
      <w:r>
        <w:lastRenderedPageBreak/>
        <w:t>implications for educational technology initiatives, which must navigate between the expectations established by national frameworks and the practical constraints of local educational contexts.</w:t>
      </w:r>
    </w:p>
    <w:p w14:paraId="4E9726AE" w14:textId="77777777" w:rsidR="00264892" w:rsidRDefault="00264892" w:rsidP="00264892">
      <w:pPr>
        <w:spacing w:line="360" w:lineRule="auto"/>
        <w:jc w:val="both"/>
      </w:pPr>
    </w:p>
    <w:p w14:paraId="17B3C46B" w14:textId="77777777" w:rsidR="00264892" w:rsidRDefault="00264892" w:rsidP="00264892">
      <w:pPr>
        <w:spacing w:line="360" w:lineRule="auto"/>
        <w:jc w:val="both"/>
      </w:pPr>
      <w:r>
        <w:t xml:space="preserve">The evolution of STEM education policy in Ghana has created both opportunities and challenges for specialized educational technology platforms such as Kone Academy. </w:t>
      </w:r>
      <w:proofErr w:type="spellStart"/>
      <w:r>
        <w:t>Anamuah</w:t>
      </w:r>
      <w:proofErr w:type="spellEnd"/>
      <w:r>
        <w:t xml:space="preserve">-Mensah and </w:t>
      </w:r>
      <w:proofErr w:type="spellStart"/>
      <w:r>
        <w:t>Asabere</w:t>
      </w:r>
      <w:proofErr w:type="spellEnd"/>
      <w:r>
        <w:t xml:space="preserve"> (2022) examined STEM policy implementation in Ghanaian schools, finding that recent curriculum reforms have elevated computer science and digital literacy to core subject status, creating official mandate space for coding and computational thinking education. The researchers documented that the Ghana Education Service and Ministry of Education have introduced coding and robotics components into the basic education curriculum, recognizing that computational skills are increasingly essential for economic participation in the digital age (</w:t>
      </w:r>
      <w:proofErr w:type="spellStart"/>
      <w:r>
        <w:t>Anamuah</w:t>
      </w:r>
      <w:proofErr w:type="spellEnd"/>
      <w:r>
        <w:t xml:space="preserve">-Mensah &amp; </w:t>
      </w:r>
      <w:proofErr w:type="spellStart"/>
      <w:r>
        <w:t>Asabere</w:t>
      </w:r>
      <w:proofErr w:type="spellEnd"/>
      <w:r>
        <w:t>, 2022). This policy alignment provides institutional legitimacy for Kone Academy's educational mission while simultaneously creating accountability expectations that the platform must demonstrate alignment with official curriculum standards.</w:t>
      </w:r>
    </w:p>
    <w:p w14:paraId="6683033A" w14:textId="77777777" w:rsidR="00264892" w:rsidRDefault="00264892" w:rsidP="00264892">
      <w:pPr>
        <w:spacing w:line="360" w:lineRule="auto"/>
        <w:jc w:val="both"/>
      </w:pPr>
    </w:p>
    <w:p w14:paraId="4B1FB76A" w14:textId="77777777" w:rsidR="00264892" w:rsidRDefault="00264892" w:rsidP="00264892">
      <w:pPr>
        <w:spacing w:line="360" w:lineRule="auto"/>
        <w:jc w:val="both"/>
      </w:pPr>
      <w:r>
        <w:t>However, the implementation of ICT and STEM policies in Ghanaian schools has encountered persistent challenges that complicate educational technology adoption. Agyei-Okyere et al. (2016) identified that while policies mandate technology integration, actual provision of computing infrastructure, internet connectivity, and technical support remains highly uneven across schools, with well-resourced urban institutions enjoying advantages unavailable to rural and peri-urban schools. This inequality reproduces and amplifies existing educational disparities, positioning technology as a domain of elite schools while under-resourced institutions struggle to meet basic policy requirements. The researchers emphasized that effective educational technology in Ghana cannot assume uniform infrastructure availability but must function within the constrained environments characteristic of many public schools.</w:t>
      </w:r>
    </w:p>
    <w:p w14:paraId="1ACC3434" w14:textId="77777777" w:rsidR="00264892" w:rsidRDefault="00264892" w:rsidP="00264892">
      <w:pPr>
        <w:spacing w:line="360" w:lineRule="auto"/>
        <w:jc w:val="both"/>
      </w:pPr>
    </w:p>
    <w:p w14:paraId="26FB6870" w14:textId="77777777" w:rsidR="00264892" w:rsidRDefault="00264892" w:rsidP="00264892">
      <w:pPr>
        <w:spacing w:line="360" w:lineRule="auto"/>
        <w:jc w:val="both"/>
      </w:pPr>
      <w:r>
        <w:t xml:space="preserve">Teacher preparation for ICT and STEM education represents a particularly acute implementation challenge. </w:t>
      </w:r>
      <w:proofErr w:type="spellStart"/>
      <w:r>
        <w:t>Anamuah</w:t>
      </w:r>
      <w:proofErr w:type="spellEnd"/>
      <w:r>
        <w:t xml:space="preserve">-Mensah and </w:t>
      </w:r>
      <w:proofErr w:type="spellStart"/>
      <w:r>
        <w:t>Asabere</w:t>
      </w:r>
      <w:proofErr w:type="spellEnd"/>
      <w:r>
        <w:t xml:space="preserve"> (2022) documented that Ghanaian teacher education programs have struggled to keep pace with rapidly evolving technology requirements, with many practicing teachers possessing minimal training in computer science, coding, or educational technology integration. The researchers found that teachers often lack confidence in technology-mediated instruction and require substantial professional development support to effectively integrate computational thinking activities into their classrooms. This preparation gap creates both a challenge and an opportunity for platform design: while teachers may lack deep technical expertise, they possess pedagogical knowledge and local contextual understanding that effective educational technology should </w:t>
      </w:r>
      <w:proofErr w:type="gramStart"/>
      <w:r>
        <w:t>leverage</w:t>
      </w:r>
      <w:proofErr w:type="gramEnd"/>
      <w:r>
        <w:t xml:space="preserve"> rather than bypass.</w:t>
      </w:r>
    </w:p>
    <w:p w14:paraId="15E25759" w14:textId="77777777" w:rsidR="00264892" w:rsidRDefault="00264892" w:rsidP="00264892">
      <w:pPr>
        <w:spacing w:line="360" w:lineRule="auto"/>
        <w:jc w:val="both"/>
      </w:pPr>
    </w:p>
    <w:p w14:paraId="44C9D283" w14:textId="273DAFD3" w:rsidR="00EE2A31" w:rsidRDefault="00264892" w:rsidP="00264892">
      <w:pPr>
        <w:spacing w:line="360" w:lineRule="auto"/>
        <w:jc w:val="both"/>
      </w:pPr>
      <w:r>
        <w:t xml:space="preserve">For the Kone Academy platform, research on Ghanaian ICT and STEM policy provides important strategic guidance. The alignment between Kone Academy's three-tiered curriculum (Coding → Robotics → AI) and Ghana's evolving national curriculum standards positions the platform as a supportive resource for policy implementation rather than an external intervention. However, the documented implementation gaps—infrastructure limitations, teacher preparation deficits, resource constraints—require platform design adaptations including offline-first functionality, extensive automated scaffolding that reduces teacher technical burden, and low-cost hardware requirements compatible with Ghanaian school budgets. By grounding platform design in understanding of Ghanaian policy aspirations while addressing documented implementation barriers, Kone Academy seeks to contribute to policy goals that might otherwise remain aspirational rather than achievable for </w:t>
      </w:r>
      <w:proofErr w:type="gramStart"/>
      <w:r>
        <w:t>the majority of</w:t>
      </w:r>
      <w:proofErr w:type="gramEnd"/>
      <w:r>
        <w:t xml:space="preserve"> Ghanaian learners.</w:t>
      </w:r>
      <w:r w:rsidR="00EE2A31">
        <w:t xml:space="preserve">   </w:t>
      </w:r>
    </w:p>
    <w:p w14:paraId="0D9DD28B" w14:textId="77777777" w:rsidR="00EE2A31" w:rsidRDefault="00EE2A31" w:rsidP="00EE2A31">
      <w:pPr>
        <w:spacing w:line="360" w:lineRule="auto"/>
        <w:jc w:val="both"/>
      </w:pPr>
      <w:r>
        <w:t xml:space="preserve">   3.5.3 Challenges and Opportunities</w:t>
      </w:r>
    </w:p>
    <w:p w14:paraId="0F596429" w14:textId="77777777" w:rsidR="00264892" w:rsidRDefault="00264892" w:rsidP="00264892">
      <w:pPr>
        <w:spacing w:line="360" w:lineRule="auto"/>
        <w:jc w:val="both"/>
      </w:pPr>
      <w:r>
        <w:t xml:space="preserve">The implementation of educational technology in developing contexts such as Ghana confronts a distinctive constellation of challenges that differ qualitatively from those </w:t>
      </w:r>
      <w:r>
        <w:lastRenderedPageBreak/>
        <w:t xml:space="preserve">encountered in well-resourced educational systems. </w:t>
      </w:r>
      <w:proofErr w:type="spellStart"/>
      <w:r>
        <w:t>Yebuah</w:t>
      </w:r>
      <w:proofErr w:type="spellEnd"/>
      <w:r>
        <w:t xml:space="preserve"> and Yeboah (2018) conducted comprehensive research on ICT integration barriers in Ghanaian higher education, identifying infrastructure deficits, inadequate technical support, and limited institutional commitment as primary obstacles to sustainable educational technology adoption. While their research focused on tertiary contexts, these challenges are amplified in basic and secondary education where resource constraints are more severe and technical support infrastructure is often nonexistent. Their analysis documented that even when initial technology deployments succeed, sustainability failures are common as equipment deteriorates, software becomes obsolete, and initial enthusiasm wanes without systematic institutional support (</w:t>
      </w:r>
      <w:proofErr w:type="spellStart"/>
      <w:r>
        <w:t>Yebuah</w:t>
      </w:r>
      <w:proofErr w:type="spellEnd"/>
      <w:r>
        <w:t xml:space="preserve"> &amp; Yeboah, 2018).</w:t>
      </w:r>
    </w:p>
    <w:p w14:paraId="736423E7" w14:textId="77777777" w:rsidR="00264892" w:rsidRDefault="00264892" w:rsidP="00264892">
      <w:pPr>
        <w:spacing w:line="360" w:lineRule="auto"/>
        <w:jc w:val="both"/>
      </w:pPr>
    </w:p>
    <w:p w14:paraId="63C238CC" w14:textId="77777777" w:rsidR="00264892" w:rsidRDefault="00264892" w:rsidP="00264892">
      <w:pPr>
        <w:spacing w:line="360" w:lineRule="auto"/>
        <w:jc w:val="both"/>
      </w:pPr>
      <w:r>
        <w:t xml:space="preserve">Connectivity issues represent perhaps the most fundamental constraint for educational technology in Ghana. While mobile network coverage has expanded dramatically, reliable high-speed internet access remains scarce outside major urban centers, and data costs consume disproportionate shares of household budgets. </w:t>
      </w:r>
      <w:proofErr w:type="spellStart"/>
      <w:r>
        <w:t>Yebuah</w:t>
      </w:r>
      <w:proofErr w:type="spellEnd"/>
      <w:r>
        <w:t xml:space="preserve"> and Yeboah (2018) emphasized that educational technology designs assuming continuous connectivity create exclusionary barriers for learners in contexts where internet access is intermittent, expensive, or entirely unavailable. This connectivity reality necessitates offline-first architectural approaches that enable core learning functionality without network dependency, with online features serving supplementary rather than essential functions—a design philosophy that fundamentally constrains platform capabilities while maximizing accessibility.</w:t>
      </w:r>
    </w:p>
    <w:p w14:paraId="2D09C8E5" w14:textId="77777777" w:rsidR="00264892" w:rsidRDefault="00264892" w:rsidP="00264892">
      <w:pPr>
        <w:spacing w:line="360" w:lineRule="auto"/>
        <w:jc w:val="both"/>
      </w:pPr>
    </w:p>
    <w:p w14:paraId="6B6CCA69" w14:textId="77777777" w:rsidR="00264892" w:rsidRDefault="00264892" w:rsidP="00264892">
      <w:pPr>
        <w:spacing w:line="360" w:lineRule="auto"/>
        <w:jc w:val="both"/>
      </w:pPr>
      <w:r>
        <w:t xml:space="preserve">Device access presents additional complexity beyond simple availability statistics. While smartphone penetration has increased substantially, device capabilities vary widely, with many learners possessing older devices with limited processing power, storage capacity, and screen resolution. Lane (2012), in foundational work on educational technology in developing contexts, argued that effective designs must accommodate device </w:t>
      </w:r>
      <w:r>
        <w:lastRenderedPageBreak/>
        <w:t xml:space="preserve">heterogeneity rather than targeting optimal specifications, ensuring that educational applications function adequately on modest hardware while progressively enhancing experiences for learners with more capable devices. This inclusive design approach directly contradicts the tendencies of many educational technology developers who </w:t>
      </w:r>
      <w:proofErr w:type="gramStart"/>
      <w:r>
        <w:t>optimize for</w:t>
      </w:r>
      <w:proofErr w:type="gramEnd"/>
      <w:r>
        <w:t xml:space="preserve"> premium devices and network conditions, effectively excluding learners in developing contexts.</w:t>
      </w:r>
    </w:p>
    <w:p w14:paraId="479E1A73" w14:textId="77777777" w:rsidR="00264892" w:rsidRDefault="00264892" w:rsidP="00264892">
      <w:pPr>
        <w:spacing w:line="360" w:lineRule="auto"/>
        <w:jc w:val="both"/>
      </w:pPr>
    </w:p>
    <w:p w14:paraId="176994CE" w14:textId="77777777" w:rsidR="00264892" w:rsidRDefault="00264892" w:rsidP="00264892">
      <w:pPr>
        <w:spacing w:line="360" w:lineRule="auto"/>
        <w:jc w:val="both"/>
      </w:pPr>
      <w:r>
        <w:t>Sustainability models for educational technology in developing contexts require reconceptualization beyond the subscription or licensing paradigms prevalent in resource-rich markets. Wiley and Hilton (2023), in their analysis of open educational resources (OER) sustainability, documented that successful educational technology initiatives in developing contexts increasingly employ open-source approaches that reduce dependency on proprietary software and external vendor support. Open-source platforms enable local adaptation, community-driven maintenance, and cumulative improvement through global collaboration—characteristics particularly valuable in contexts where commercial educational technology vendors may lack incentive to provide sustained support for small or low-revenue markets. The researchers emphasized that sustainability in developing contexts requires not merely financial viability but technical independence and local capacity development.</w:t>
      </w:r>
    </w:p>
    <w:p w14:paraId="487E734F" w14:textId="77777777" w:rsidR="00264892" w:rsidRDefault="00264892" w:rsidP="00264892">
      <w:pPr>
        <w:spacing w:line="360" w:lineRule="auto"/>
        <w:jc w:val="both"/>
      </w:pPr>
    </w:p>
    <w:p w14:paraId="361A7AB0" w14:textId="77777777" w:rsidR="00264892" w:rsidRDefault="00264892" w:rsidP="00264892">
      <w:pPr>
        <w:spacing w:line="360" w:lineRule="auto"/>
        <w:jc w:val="both"/>
      </w:pPr>
      <w:r>
        <w:t xml:space="preserve">The open educational resources movement offers </w:t>
      </w:r>
      <w:proofErr w:type="gramStart"/>
      <w:r>
        <w:t>particular promise</w:t>
      </w:r>
      <w:proofErr w:type="gramEnd"/>
      <w:r>
        <w:t xml:space="preserve"> for educational technology sustainability in Ghana. Wiley and Hilton (2023) documented that OER adoption has expanded significantly across African educational institutions, driven by recognition that proprietary educational materials are often unaffordable, culturally inappropriate, or pedagogically misaligned with local needs. For educational technology platforms, OER principles suggest curriculum content that is freely available, adaptable to local contexts, and maintainable by local educators rather than dependent on external content providers. This open approach aligns with constructionist pedagogical principles while addressing </w:t>
      </w:r>
      <w:r>
        <w:lastRenderedPageBreak/>
        <w:t>sustainability concerns that have undermined previous educational technology initiatives in Ghana.</w:t>
      </w:r>
    </w:p>
    <w:p w14:paraId="30E17560" w14:textId="77777777" w:rsidR="00264892" w:rsidRDefault="00264892" w:rsidP="00264892">
      <w:pPr>
        <w:spacing w:line="360" w:lineRule="auto"/>
        <w:jc w:val="both"/>
      </w:pPr>
    </w:p>
    <w:p w14:paraId="0DFFCAD6" w14:textId="5460A9A2" w:rsidR="00EE2A31" w:rsidRDefault="00264892" w:rsidP="00264892">
      <w:pPr>
        <w:spacing w:line="360" w:lineRule="auto"/>
        <w:jc w:val="both"/>
      </w:pPr>
      <w:r>
        <w:t xml:space="preserve">For the Kone Academy platform, research on developing context challenges has shaped fundamental architectural and business model decisions. The platform employs offline-first design that assumes intermittent connectivity, accommodating the infrastructure realities documented by </w:t>
      </w:r>
      <w:proofErr w:type="spellStart"/>
      <w:r>
        <w:t>Yebuah</w:t>
      </w:r>
      <w:proofErr w:type="spellEnd"/>
      <w:r>
        <w:t xml:space="preserve"> and Yeboah (2018). Device heterogeneity considerations inform performance optimization targets that ensure adequate functionality across the spectrum of devices </w:t>
      </w:r>
      <w:proofErr w:type="gramStart"/>
      <w:r>
        <w:t>actually available</w:t>
      </w:r>
      <w:proofErr w:type="gramEnd"/>
      <w:r>
        <w:t xml:space="preserve"> to Ghanaian learners. The open-source foundation enables local technical capacity development and community adaptation, addressing Lane's (2012) emphasis on technical independence and Wiley and Hilton's (2023) sustainability principles. By systematically addressing documented implementation challenges while leveraging open educational resource approaches, Kone Academy seeks to avoid the sustainability failures that have characterized many previous educational technology initiatives in developing contexts—positioning the platform not as an external intervention but as a locally-adaptable, community-sustainable educational infrastructure.</w:t>
      </w:r>
      <w:r w:rsidR="00EE2A31">
        <w:t xml:space="preserve">   </w:t>
      </w:r>
    </w:p>
    <w:p w14:paraId="29153AB3" w14:textId="77777777" w:rsidR="00EE2A31" w:rsidRDefault="00EE2A31" w:rsidP="00EE2A31">
      <w:pPr>
        <w:spacing w:line="360" w:lineRule="auto"/>
        <w:jc w:val="both"/>
      </w:pPr>
      <w:r>
        <w:t xml:space="preserve">   3.5.4 Offline-First and Low-Bandwidth Solutions</w:t>
      </w:r>
    </w:p>
    <w:p w14:paraId="214B8575" w14:textId="77777777" w:rsidR="00264892" w:rsidRDefault="00264892" w:rsidP="00264892">
      <w:pPr>
        <w:spacing w:line="360" w:lineRule="auto"/>
        <w:jc w:val="both"/>
      </w:pPr>
      <w:r>
        <w:t xml:space="preserve">The technical architecture of educational technology platforms for developing contexts must fundamentally reconceptualize the relationship between connectivity and functionality, shifting from cloud-dependent models to offline-first approaches that assume intermittent connectivity as the norm rather than the exception. Bhardwaj et al. (2022) addressed these architectural challenges through systematic development and evaluation of offline-first learning systems specifically designed for low-resource environments. Their research demonstrated that educational technology need not require continuous connectivity: machine learning models can be pre-trained and deployed locally, curriculum content can be cached for offline access, and learner progress can be synchronized opportunistically when connections become available (Bhardwaj et al., 2022). These </w:t>
      </w:r>
      <w:r>
        <w:lastRenderedPageBreak/>
        <w:t>findings establish proof-of-concept for educational platforms that function robustly in connectivity-constrained environments without sacrificing pedagogical capability.</w:t>
      </w:r>
    </w:p>
    <w:p w14:paraId="694BA46E" w14:textId="77777777" w:rsidR="00264892" w:rsidRDefault="00264892" w:rsidP="00264892">
      <w:pPr>
        <w:spacing w:line="360" w:lineRule="auto"/>
        <w:jc w:val="both"/>
      </w:pPr>
    </w:p>
    <w:p w14:paraId="15F00261" w14:textId="77777777" w:rsidR="00264892" w:rsidRDefault="00264892" w:rsidP="00264892">
      <w:pPr>
        <w:spacing w:line="360" w:lineRule="auto"/>
        <w:jc w:val="both"/>
      </w:pPr>
      <w:r>
        <w:t>The synchronization strategies employed in offline-first architectures present distinct technical challenges that differ fundamentally from real-time cloud applications. Thies et al. (2007), in seminal work on information and communication technologies for developing regions, documented that successful offline-capable systems employ store-and-forward architectures that queue data locally and transmit during connectivity windows, with conflict resolution mechanisms that handle simultaneous edits by multiple users. For educational platforms, this architecture enables learners to engage fully with content, complete activities, and generate artifacts without connectivity, with their work propagating to shared repositories and teacher dashboards when network access permits. The researchers emphasized that user experience design must make synchronization transparent to learners, avoiding frustration from explicit manual sync processes that might fail unpredictably (Thies et al., 2007).</w:t>
      </w:r>
    </w:p>
    <w:p w14:paraId="339804BA" w14:textId="77777777" w:rsidR="00264892" w:rsidRDefault="00264892" w:rsidP="00264892">
      <w:pPr>
        <w:spacing w:line="360" w:lineRule="auto"/>
        <w:jc w:val="both"/>
      </w:pPr>
    </w:p>
    <w:p w14:paraId="69FA23F7" w14:textId="77777777" w:rsidR="00264892" w:rsidRDefault="00264892" w:rsidP="00264892">
      <w:pPr>
        <w:spacing w:line="360" w:lineRule="auto"/>
        <w:jc w:val="both"/>
      </w:pPr>
      <w:r>
        <w:t xml:space="preserve">Local content </w:t>
      </w:r>
      <w:proofErr w:type="gramStart"/>
      <w:r>
        <w:t>caching</w:t>
      </w:r>
      <w:proofErr w:type="gramEnd"/>
      <w:r>
        <w:t xml:space="preserve"> represents a critical component of offline-first educational technology. Bhardwaj et al. (2022) demonstrated that curriculum content—including interactive simulations, instructional videos, and assessment materials—can be pre-loaded onto devices during periods of connectivity or initial installation, enabling subsequent offline access. This caching strategy reduces dependency on continuous content delivery while maintaining rich multimedia experiences that enhance learning. The researchers identified that effective </w:t>
      </w:r>
      <w:proofErr w:type="gramStart"/>
      <w:r>
        <w:t>caching</w:t>
      </w:r>
      <w:proofErr w:type="gramEnd"/>
      <w:r>
        <w:t xml:space="preserve"> requires intelligent content prioritization algorithms that ensure essential curriculum components are always available while managing storage constraints on devices with limited capacity. For Kone Academy, this research informs content packaging strategies that bundle complete curriculum modules for offline access while enabling incremental updates when connectivity permits.</w:t>
      </w:r>
    </w:p>
    <w:p w14:paraId="3C42B71D" w14:textId="77777777" w:rsidR="00264892" w:rsidRDefault="00264892" w:rsidP="00264892">
      <w:pPr>
        <w:spacing w:line="360" w:lineRule="auto"/>
        <w:jc w:val="both"/>
      </w:pPr>
    </w:p>
    <w:p w14:paraId="66779B17" w14:textId="77777777" w:rsidR="00264892" w:rsidRDefault="00264892" w:rsidP="00264892">
      <w:pPr>
        <w:spacing w:line="360" w:lineRule="auto"/>
        <w:jc w:val="both"/>
      </w:pPr>
      <w:r>
        <w:lastRenderedPageBreak/>
        <w:t xml:space="preserve">The bandwidth efficiency of offline-first </w:t>
      </w:r>
      <w:proofErr w:type="gramStart"/>
      <w:r>
        <w:t>architectures</w:t>
      </w:r>
      <w:proofErr w:type="gramEnd"/>
      <w:r>
        <w:t xml:space="preserve"> extends beyond mere </w:t>
      </w:r>
      <w:proofErr w:type="gramStart"/>
      <w:r>
        <w:t>content</w:t>
      </w:r>
      <w:proofErr w:type="gramEnd"/>
      <w:r>
        <w:t xml:space="preserve"> </w:t>
      </w:r>
      <w:proofErr w:type="gramStart"/>
      <w:r>
        <w:t>caching</w:t>
      </w:r>
      <w:proofErr w:type="gramEnd"/>
      <w:r>
        <w:t xml:space="preserve"> to encompass entire interaction models. Thies et al. (2007) documented that users in developing contexts employ sophisticated strategies for managing connectivity costs, including selective synchronization of high-priority data, compression of transmitted information, and batching of updates to minimize connection establishment overhead. Educational technology designs that respect these strategies—providing granular control over synchronization, </w:t>
      </w:r>
      <w:proofErr w:type="gramStart"/>
      <w:r>
        <w:t>employing</w:t>
      </w:r>
      <w:proofErr w:type="gramEnd"/>
      <w:r>
        <w:t xml:space="preserve"> aggressive data compression, and optimizing protocols for high-latency, low-bandwidth connections—demonstrate higher adoption rates and sustained engagement compared to platforms that assume unlimited bandwidth availability.</w:t>
      </w:r>
    </w:p>
    <w:p w14:paraId="1585AD1B" w14:textId="77777777" w:rsidR="00264892" w:rsidRDefault="00264892" w:rsidP="00264892">
      <w:pPr>
        <w:spacing w:line="360" w:lineRule="auto"/>
        <w:jc w:val="both"/>
      </w:pPr>
    </w:p>
    <w:p w14:paraId="56AA5799" w14:textId="444E9FED" w:rsidR="00EE2A31" w:rsidRDefault="00264892" w:rsidP="00264892">
      <w:pPr>
        <w:spacing w:line="360" w:lineRule="auto"/>
        <w:jc w:val="both"/>
      </w:pPr>
      <w:r>
        <w:t xml:space="preserve">For the Kone Academy platform, research on offline-first and low-bandwidth solutions has shaped fundamental architectural decisions. The platform employs a progressive web application architecture that </w:t>
      </w:r>
      <w:proofErr w:type="gramStart"/>
      <w:r>
        <w:t>caches</w:t>
      </w:r>
      <w:proofErr w:type="gramEnd"/>
      <w:r>
        <w:t xml:space="preserve"> essential curriculum content locally while enabling dynamic updates when connectivity is available. Synchronization strategies queue learner progress, project artifacts, and </w:t>
      </w:r>
      <w:proofErr w:type="gramStart"/>
      <w:r>
        <w:t>assessment</w:t>
      </w:r>
      <w:proofErr w:type="gramEnd"/>
      <w:r>
        <w:t xml:space="preserve"> data for transmission during connectivity windows, with automatic retry mechanisms that handle transient network failures transparently. Local AI models for image classification and pattern recognition enable Level 3 activities without cloud dependency, while curriculum content bundles support complete offline learning experiences. By grounding technical architecture in the offline-first research documented by Bhardwaj et al. (2022) and Thies et al. (2007), Kone Academy ensures that connectivity limitations do not exclude learners from full participation in coding, robotics, and AI education—addressing the infrastructure barriers that have undermined previous educational technology initiatives in Ghana.</w:t>
      </w:r>
    </w:p>
    <w:p w14:paraId="5FEF64BE" w14:textId="77777777" w:rsidR="00EE2A31" w:rsidRDefault="00EE2A31" w:rsidP="00EE2A31">
      <w:pPr>
        <w:spacing w:line="360" w:lineRule="auto"/>
        <w:jc w:val="both"/>
      </w:pPr>
      <w:r>
        <w:t>3.6 Pedagogical Design and Assessment (500 words)</w:t>
      </w:r>
    </w:p>
    <w:p w14:paraId="7DF8B6E5" w14:textId="77777777" w:rsidR="00EE2A31" w:rsidRDefault="00EE2A31" w:rsidP="00EE2A31">
      <w:pPr>
        <w:spacing w:line="360" w:lineRule="auto"/>
        <w:jc w:val="both"/>
      </w:pPr>
      <w:r>
        <w:t xml:space="preserve">   3.6.1 Scaffolding and Progressive Learning</w:t>
      </w:r>
    </w:p>
    <w:p w14:paraId="2E748E91" w14:textId="77777777" w:rsidR="00570462" w:rsidRDefault="00EE2A31" w:rsidP="00570462">
      <w:pPr>
        <w:spacing w:line="360" w:lineRule="auto"/>
        <w:jc w:val="both"/>
      </w:pPr>
      <w:r>
        <w:t xml:space="preserve">  </w:t>
      </w:r>
      <w:r w:rsidR="00570462">
        <w:t xml:space="preserve">Effective educational technology design requires careful attention to how learning supports are structured, introduced, and gradually removed as learners develop competence—a </w:t>
      </w:r>
      <w:r w:rsidR="00570462">
        <w:lastRenderedPageBreak/>
        <w:t xml:space="preserve">process educational </w:t>
      </w:r>
      <w:proofErr w:type="gramStart"/>
      <w:r w:rsidR="00570462">
        <w:t>researchers</w:t>
      </w:r>
      <w:proofErr w:type="gramEnd"/>
      <w:r w:rsidR="00570462">
        <w:t xml:space="preserve"> term "scaffolding." </w:t>
      </w:r>
      <w:proofErr w:type="spellStart"/>
      <w:r w:rsidR="00570462">
        <w:t>Fadjo</w:t>
      </w:r>
      <w:proofErr w:type="spellEnd"/>
      <w:r w:rsidR="00570462">
        <w:t xml:space="preserve"> et al. (2022) conducted a comprehensive systematic review of scaffolding in computational thinking education, analyzing 42 empirical studies to identify principles for optimal support design. Their analysis revealed that scaffolding is most effective when it is intentionally faded rather than abruptly removed, when it addresses specific learning objectives rather than providing generic assistance, and when it gradually transfers responsibility to learners as they demonstrate increasing capability (</w:t>
      </w:r>
      <w:proofErr w:type="spellStart"/>
      <w:r w:rsidR="00570462">
        <w:t>Fadjo</w:t>
      </w:r>
      <w:proofErr w:type="spellEnd"/>
      <w:r w:rsidR="00570462">
        <w:t xml:space="preserve"> et al., 2022). These findings have direct implications for Kone Academy's three-tiered curriculum design, where the progression from Level 1 (Coding) through Level 2 (Robotics) to Level 3 (AI) represents a deliberate scaffolding sequence.</w:t>
      </w:r>
    </w:p>
    <w:p w14:paraId="488E1D1A" w14:textId="77777777" w:rsidR="00570462" w:rsidRDefault="00570462" w:rsidP="00570462">
      <w:pPr>
        <w:spacing w:line="360" w:lineRule="auto"/>
        <w:jc w:val="both"/>
      </w:pPr>
    </w:p>
    <w:p w14:paraId="0EFF52C7" w14:textId="77777777" w:rsidR="00570462" w:rsidRDefault="00570462" w:rsidP="00570462">
      <w:pPr>
        <w:spacing w:line="360" w:lineRule="auto"/>
        <w:jc w:val="both"/>
      </w:pPr>
      <w:r>
        <w:t>The systematic review distinguished between several scaffolding types that operate at different levels of educational design. Procedural scaffolds provide step-by-step guidance for completing tasks, conceptual scaffolds make abstract ideas concrete through representations and analogies, and metacognitive scaffolds support learners in monitoring their own understanding and problem-solving processes (</w:t>
      </w:r>
      <w:proofErr w:type="spellStart"/>
      <w:r>
        <w:t>Fadjo</w:t>
      </w:r>
      <w:proofErr w:type="spellEnd"/>
      <w:r>
        <w:t xml:space="preserve"> et al., 2022). Effective computational thinking education, according to the review, employs all three scaffold types in coordinated fashion—providing initial procedural support that gradually decreases as conceptual understanding deepens, while simultaneously developing metacognitive awareness that enables self-directed learning. This multi-dimensional scaffolding approach informs Kone Academy's design across all three curriculum levels.</w:t>
      </w:r>
    </w:p>
    <w:p w14:paraId="74175815" w14:textId="77777777" w:rsidR="00570462" w:rsidRDefault="00570462" w:rsidP="00570462">
      <w:pPr>
        <w:spacing w:line="360" w:lineRule="auto"/>
        <w:jc w:val="both"/>
      </w:pPr>
    </w:p>
    <w:p w14:paraId="3E9B1BE2" w14:textId="77777777" w:rsidR="00570462" w:rsidRDefault="00570462" w:rsidP="00570462">
      <w:pPr>
        <w:spacing w:line="360" w:lineRule="auto"/>
        <w:jc w:val="both"/>
      </w:pPr>
      <w:r>
        <w:t xml:space="preserve">The timing of scaffold fading emerges as a critical design decision. </w:t>
      </w:r>
      <w:proofErr w:type="spellStart"/>
      <w:r>
        <w:t>Fadjo</w:t>
      </w:r>
      <w:proofErr w:type="spellEnd"/>
      <w:r>
        <w:t xml:space="preserve"> et al. (2022) found that premature removal of </w:t>
      </w:r>
      <w:proofErr w:type="gramStart"/>
      <w:r>
        <w:t>supports</w:t>
      </w:r>
      <w:proofErr w:type="gramEnd"/>
      <w:r>
        <w:t xml:space="preserve"> leads to learner frustration and attrition, while prolonged scaffolding creates dependency that inhibits transfer to novel contexts. Optimal fading occurs at "moments of readiness"—points where learners demonstrate consistent independent success with scaffolded tasks, suggesting preparedness for increased challenge. For Kone Academy, this research supports the design of adaptive progression </w:t>
      </w:r>
      <w:r>
        <w:lastRenderedPageBreak/>
        <w:t>mechanisms that monitor learner performance and adjust scaffolding levels dynamically rather than following fixed timelines.</w:t>
      </w:r>
    </w:p>
    <w:p w14:paraId="5F89897D" w14:textId="77777777" w:rsidR="00570462" w:rsidRDefault="00570462" w:rsidP="00570462">
      <w:pPr>
        <w:spacing w:line="360" w:lineRule="auto"/>
        <w:jc w:val="both"/>
      </w:pPr>
    </w:p>
    <w:p w14:paraId="3A6C58D4" w14:textId="77777777" w:rsidR="00570462" w:rsidRDefault="00570462" w:rsidP="00570462">
      <w:pPr>
        <w:spacing w:line="360" w:lineRule="auto"/>
        <w:jc w:val="both"/>
      </w:pPr>
      <w:r>
        <w:t xml:space="preserve">The transition between educational levels represents a particularly vulnerable point in scaffolding sequences. </w:t>
      </w:r>
      <w:proofErr w:type="spellStart"/>
      <w:r>
        <w:t>Weintrop</w:t>
      </w:r>
      <w:proofErr w:type="spellEnd"/>
      <w:r>
        <w:t xml:space="preserve"> and Wilensky (2017), in their study of block-based to text-based programming transitions, documented that learners often experience "support </w:t>
      </w:r>
      <w:proofErr w:type="gramStart"/>
      <w:r>
        <w:t>cliffs"—</w:t>
      </w:r>
      <w:proofErr w:type="gramEnd"/>
      <w:r>
        <w:t>abrupt drops in available assistance that exceed current capability. Kone Academy's three-tiered design explicitly addresses this vulnerability through overlapping scaffolds: Level 2 maintains the visual programming interface familiar from Level 1 while introducing physical computing complexity, and Level 3 preserves hands-on concrete manipulation from Level 2 while adding abstract AI concepts. This overlap ensures continuity of support during transitions rather than requiring learners to simultaneously adapt to multiple new challenges.</w:t>
      </w:r>
    </w:p>
    <w:p w14:paraId="69987D60" w14:textId="77777777" w:rsidR="00570462" w:rsidRDefault="00570462" w:rsidP="00570462">
      <w:pPr>
        <w:spacing w:line="360" w:lineRule="auto"/>
        <w:jc w:val="both"/>
      </w:pPr>
    </w:p>
    <w:p w14:paraId="1A0ECD34" w14:textId="77777777" w:rsidR="00570462" w:rsidRDefault="00570462" w:rsidP="00570462">
      <w:pPr>
        <w:spacing w:line="360" w:lineRule="auto"/>
        <w:jc w:val="both"/>
      </w:pPr>
      <w:r>
        <w:t xml:space="preserve">For Ghanaian educational contexts, scaffolding design must account for teacher capacity limitations. </w:t>
      </w:r>
      <w:proofErr w:type="spellStart"/>
      <w:r>
        <w:t>Fadjo</w:t>
      </w:r>
      <w:proofErr w:type="spellEnd"/>
      <w:r>
        <w:t xml:space="preserve"> et al. (2022) noted that in settings where teachers lack deep subject matter expertise, automated scaffolding systems within educational technology become particularly important. Kone Academy incorporates extensive built-in scaffolding—including worked examples, intelligent hints, and error-specific feedback—to compensate for limited teacher availability of coding and AI expertise. However, the platform also preserves teacher agency by providing dashboard visibility into learner progress and scaffolding interactions, enabling educator oversight and intervention even without technical expertise.</w:t>
      </w:r>
    </w:p>
    <w:p w14:paraId="44E30AFF" w14:textId="77777777" w:rsidR="00570462" w:rsidRDefault="00570462" w:rsidP="00570462">
      <w:pPr>
        <w:spacing w:line="360" w:lineRule="auto"/>
        <w:jc w:val="both"/>
      </w:pPr>
    </w:p>
    <w:p w14:paraId="100B7D18" w14:textId="5529C0F0" w:rsidR="00EE2A31" w:rsidRDefault="00570462" w:rsidP="00570462">
      <w:pPr>
        <w:spacing w:line="360" w:lineRule="auto"/>
        <w:jc w:val="both"/>
      </w:pPr>
      <w:r>
        <w:t xml:space="preserve">The cultural dimension of scaffolding has received limited research attention but carries significance for Ghanaian implementation. Scaffolding strategies developed in Western contexts may assume individualistic learning patterns that conflict with collectivist cultural norms prevalent in Ghana. Effective scaffolding in this context may require greater emphasis </w:t>
      </w:r>
      <w:r>
        <w:lastRenderedPageBreak/>
        <w:t>on collaborative problem-solving structures, peer assistance mechanisms, and community knowledge-sharing practices rather than purely individual support systems. Kone Academy's design incorporates social features enabling learners to share projects, provide feedback, and collaborate on designs—leveraging collectivist cultural strengths as a form of social scaffolding alongside individualized automated supports.</w:t>
      </w:r>
      <w:r w:rsidR="00EE2A31">
        <w:t xml:space="preserve">   </w:t>
      </w:r>
    </w:p>
    <w:p w14:paraId="23CAA995" w14:textId="77777777" w:rsidR="00EE2A31" w:rsidRDefault="00EE2A31" w:rsidP="00EE2A31">
      <w:pPr>
        <w:spacing w:line="360" w:lineRule="auto"/>
        <w:jc w:val="both"/>
      </w:pPr>
      <w:r>
        <w:t xml:space="preserve">   3.6.2 Active and Constructionist Learning</w:t>
      </w:r>
    </w:p>
    <w:p w14:paraId="7EEE13F5" w14:textId="77777777" w:rsidR="00570462" w:rsidRDefault="00570462" w:rsidP="00570462">
      <w:pPr>
        <w:spacing w:line="360" w:lineRule="auto"/>
        <w:jc w:val="both"/>
      </w:pPr>
      <w:r>
        <w:t>The pedagogical foundations of effective coding education extend beyond content sequencing to encompass how learning activities are structured and learner engagement is supported. Bonwell and Eison (1991) provided seminal conceptualization of active learning as an instructional approach that "involves students in doing things and thinking about the things they are doing," contrasting sharply with passive transmission models where learners receive information without meaningful cognitive engagement. Their framework identified key characteristics of active learning: emphasizing higher-order thinking (application, analysis, synthesis, evaluation), providing informal feedback through activities rather than formal assessment, and structuring substantial engagement with content through discussion, writing, and problem-solving (Bonwell &amp; Eison, 1991). These principles align closely with constructionist approaches, creating pedagogical coherence between active learning theory and the hands-on, project-based methods employed in Kone Academy's platform design.</w:t>
      </w:r>
    </w:p>
    <w:p w14:paraId="0E808EED" w14:textId="77777777" w:rsidR="00570462" w:rsidRDefault="00570462" w:rsidP="00570462">
      <w:pPr>
        <w:spacing w:line="360" w:lineRule="auto"/>
        <w:jc w:val="both"/>
      </w:pPr>
    </w:p>
    <w:p w14:paraId="74F7C361" w14:textId="77777777" w:rsidR="00570462" w:rsidRDefault="00570462" w:rsidP="00570462">
      <w:pPr>
        <w:spacing w:line="360" w:lineRule="auto"/>
        <w:jc w:val="both"/>
      </w:pPr>
      <w:r>
        <w:t xml:space="preserve">The distinction between active and passive learning has particular significance for computational thinking education. Research consistently demonstrates that programming concepts learned through hands-on </w:t>
      </w:r>
      <w:proofErr w:type="gramStart"/>
      <w:r>
        <w:t>creation—</w:t>
      </w:r>
      <w:proofErr w:type="gramEnd"/>
      <w:r>
        <w:t xml:space="preserve">designing algorithms, debugging code, building projects—produce deeper understanding and better retention than concepts presented through lecture or demonstration alone. Bonwell and Eison (1991) noted that active learning addresses the "student activity </w:t>
      </w:r>
      <w:proofErr w:type="gramStart"/>
      <w:r>
        <w:t>gap"—</w:t>
      </w:r>
      <w:proofErr w:type="gramEnd"/>
      <w:r>
        <w:t xml:space="preserve">the discrepancy between faculty expectations that students engage with material outside class and actual student study behaviors—by embedding engagement within instructional design rather than assuming </w:t>
      </w:r>
      <w:r>
        <w:lastRenderedPageBreak/>
        <w:t>independent study will occur. For Ghanaian educational contexts where learner persistence may be challenged by competing demands on attention and time, this embedded engagement approach is particularly valuable.</w:t>
      </w:r>
    </w:p>
    <w:p w14:paraId="600F63A9" w14:textId="77777777" w:rsidR="00570462" w:rsidRDefault="00570462" w:rsidP="00570462">
      <w:pPr>
        <w:spacing w:line="360" w:lineRule="auto"/>
        <w:jc w:val="both"/>
      </w:pPr>
    </w:p>
    <w:p w14:paraId="496F3B50" w14:textId="77777777" w:rsidR="00570462" w:rsidRDefault="00570462" w:rsidP="00570462">
      <w:pPr>
        <w:spacing w:line="360" w:lineRule="auto"/>
        <w:jc w:val="both"/>
      </w:pPr>
      <w:r>
        <w:t xml:space="preserve">The constructionist learning paradigm, articulated by </w:t>
      </w:r>
      <w:proofErr w:type="spellStart"/>
      <w:r>
        <w:t>Papert</w:t>
      </w:r>
      <w:proofErr w:type="spellEnd"/>
      <w:r>
        <w:t xml:space="preserve"> (1980) and extended through contemporary research, operationalizes active learning principles through specific pedagogical practices: learning through making, creating shareable artifacts, and engaging in personally meaningful projects. Bonwell and Eison's (1991) active learning characteristics map directly onto constructionist practices: "doing things" corresponds to building digital and physical artifacts, while "thinking about what they are doing" encompasses the reflective practices surrounding project creation and debugging. This theoretical alignment supports Kone Academy's integration of active learning principles with constructionist pedagogy, creating coherent instructional design across all three curriculum levels.</w:t>
      </w:r>
    </w:p>
    <w:p w14:paraId="4B433BA3" w14:textId="77777777" w:rsidR="00570462" w:rsidRDefault="00570462" w:rsidP="00570462">
      <w:pPr>
        <w:spacing w:line="360" w:lineRule="auto"/>
        <w:jc w:val="both"/>
      </w:pPr>
    </w:p>
    <w:p w14:paraId="6D53B24E" w14:textId="77777777" w:rsidR="00570462" w:rsidRDefault="00570462" w:rsidP="00570462">
      <w:pPr>
        <w:spacing w:line="360" w:lineRule="auto"/>
        <w:jc w:val="both"/>
      </w:pPr>
      <w:r>
        <w:t>Practical implementation of active learning in technology-mediated environments presents distinct challenges and opportunities. Bonwell and Eison (1991) acknowledged that active learning requires more complex classroom management than lecture-based instruction, as learners engage with materials at different paces and encounter varied difficulties requiring differentiated support. Digital platforms can address this challenge through automated scaffolding, intelligent feedback systems, and self-paced progression that adapts to individual learner needs—mechanisms that enable active learning at scale while maintaining personalization. Kone Academy leverages these affordances to implement active learning principles within a platform architecture that supports diverse learners without requiring continuous teacher facilitation.</w:t>
      </w:r>
    </w:p>
    <w:p w14:paraId="3EEC4F39" w14:textId="77777777" w:rsidR="00570462" w:rsidRDefault="00570462" w:rsidP="00570462">
      <w:pPr>
        <w:spacing w:line="360" w:lineRule="auto"/>
        <w:jc w:val="both"/>
      </w:pPr>
    </w:p>
    <w:p w14:paraId="5396F466" w14:textId="0AA82556" w:rsidR="00EE2A31" w:rsidRDefault="00570462" w:rsidP="00570462">
      <w:pPr>
        <w:spacing w:line="360" w:lineRule="auto"/>
        <w:jc w:val="both"/>
      </w:pPr>
      <w:r>
        <w:t xml:space="preserve">For the Ghanaian educational context, active learning approaches address pedagogical challenges beyond engagement alone. Bonwell and Eison (1991) documented that active </w:t>
      </w:r>
      <w:r>
        <w:lastRenderedPageBreak/>
        <w:t>learning improves retention among students from diverse educational backgrounds, potentially compensating for varying prior preparation that characterizes heterogeneous classrooms. The emphasis on application and problem-solving rather than memorization aligns with Ghana's evolving curriculum standards that prioritize practical competencies over theoretical knowledge. Furthermore, the collaborative dimensions of active learning—peer discussion, group problem-solving, shared artifact creation—resonate with collectivist cultural values prevalent in Ghanaian communities, positioning collaborative learning as culturally appropriate rather than merely pedagogically effective.</w:t>
      </w:r>
      <w:r w:rsidR="00EE2A31">
        <w:t xml:space="preserve">   </w:t>
      </w:r>
    </w:p>
    <w:p w14:paraId="612AC9AA" w14:textId="77777777" w:rsidR="00EE2A31" w:rsidRDefault="00EE2A31" w:rsidP="00EE2A31">
      <w:pPr>
        <w:spacing w:line="360" w:lineRule="auto"/>
        <w:jc w:val="both"/>
      </w:pPr>
      <w:r>
        <w:t xml:space="preserve">   3.6.3 Assessing Computational Thinking</w:t>
      </w:r>
    </w:p>
    <w:p w14:paraId="2E3135D8" w14:textId="77777777" w:rsidR="00570462" w:rsidRDefault="00570462" w:rsidP="00570462">
      <w:pPr>
        <w:spacing w:line="360" w:lineRule="auto"/>
        <w:jc w:val="both"/>
      </w:pPr>
      <w:r>
        <w:t>The assessment of computational thinking presents unique challenges that extend beyond traditional testing methodologies, requiring approaches that capture process competencies alongside conceptual knowledge. Shute et al. (2023) addressed these challenges through development and validation of the STEM CT Assessment, a comprehensive instrument designed to measure computational thinking across multiple dimensions. Their research established that effective CT assessment must evaluate not merely declarative knowledge of computational concepts but procedural skills in applying these concepts to novel problems and conditional knowledge of when and why to employ specific strategies (Shute et al., 2023). This multidimensional assessment approach informs Kone Academy's evaluation design, which incorporates diverse measurement strategies rather than relying solely on traditional testing formats.</w:t>
      </w:r>
    </w:p>
    <w:p w14:paraId="30EB6BC0" w14:textId="77777777" w:rsidR="00570462" w:rsidRDefault="00570462" w:rsidP="00570462">
      <w:pPr>
        <w:spacing w:line="360" w:lineRule="auto"/>
        <w:jc w:val="both"/>
      </w:pPr>
    </w:p>
    <w:p w14:paraId="52916048" w14:textId="77777777" w:rsidR="00570462" w:rsidRDefault="00570462" w:rsidP="00570462">
      <w:pPr>
        <w:spacing w:line="360" w:lineRule="auto"/>
        <w:jc w:val="both"/>
      </w:pPr>
      <w:r>
        <w:t xml:space="preserve">The validation work conducted by Shute et al. (2023) revealed significant gaps in existing CT assessment instruments, including over-reliance on self-reported confidence measures, lack of authentic problem contexts, and limited coverage of CT dimensions beyond algorithmic thinking. Their systematic review found that only 23% of existing CT assessments met established psychometric standards for validity and reliability, suggesting that the field has prioritized assessment convenience over measurement rigor (Shute et al., 2023). For Kone Academy, these findings motivated investment in robust assessment design that </w:t>
      </w:r>
      <w:r>
        <w:lastRenderedPageBreak/>
        <w:t>supports credible claims about learning outcomes while remaining feasible for implementation in resource-constrained Ghanaian contexts.</w:t>
      </w:r>
    </w:p>
    <w:p w14:paraId="2E277CD7" w14:textId="77777777" w:rsidR="00570462" w:rsidRDefault="00570462" w:rsidP="00570462">
      <w:pPr>
        <w:spacing w:line="360" w:lineRule="auto"/>
        <w:jc w:val="both"/>
      </w:pPr>
    </w:p>
    <w:p w14:paraId="3BED1B9F" w14:textId="77777777" w:rsidR="00570462" w:rsidRDefault="00570462" w:rsidP="00570462">
      <w:pPr>
        <w:spacing w:line="360" w:lineRule="auto"/>
        <w:jc w:val="both"/>
      </w:pPr>
      <w:r>
        <w:t xml:space="preserve">Alternative assessment strategies offer </w:t>
      </w:r>
      <w:proofErr w:type="gramStart"/>
      <w:r>
        <w:t>particular promise</w:t>
      </w:r>
      <w:proofErr w:type="gramEnd"/>
      <w:r>
        <w:t xml:space="preserve"> for capturing CT development in authentic learning contexts. Portfolio-based assessment, where learners compile projects, documentation, and reflective commentary demonstrating their computational thinking over time, enables evaluation of process and progress rather than merely endpoint achievement. Shute et al. (2023) documented that portfolio approaches align with constructionist pedagogical principles by valuing artifact creation and iterative refinement—core activities in effective CT education. For Kone Academy, portfolio assessment provides a culturally appropriate evaluation method that accommodates varying pacing and acknowledges diverse forms of computational thinking expression, while generating evidence of learning suitable for both formative and summative purposes.</w:t>
      </w:r>
    </w:p>
    <w:p w14:paraId="12498299" w14:textId="77777777" w:rsidR="00570462" w:rsidRDefault="00570462" w:rsidP="00570462">
      <w:pPr>
        <w:spacing w:line="360" w:lineRule="auto"/>
        <w:jc w:val="both"/>
      </w:pPr>
    </w:p>
    <w:p w14:paraId="2923E746" w14:textId="77777777" w:rsidR="00570462" w:rsidRDefault="00570462" w:rsidP="00570462">
      <w:pPr>
        <w:spacing w:line="360" w:lineRule="auto"/>
        <w:jc w:val="both"/>
      </w:pPr>
      <w:r>
        <w:t>Embedded assessment—integrating evaluation directly within learning activities rather than separating testing from instruction—enables continuous monitoring of CT development without consuming additional instructional time. Shute et al. (2023) identified that well-designed digital platforms can capture process data (sequencing of programming blocks, debugging attempts, time-on-task) that provides insight into computational thinking strategies invisible to traditional assessment formats. Kone Academy leverages these affordances through learning analytics that track learner interaction patterns, enabling adaptive scaffolding adjustment and generating diagnostic information about individual and group learning trajectories.</w:t>
      </w:r>
    </w:p>
    <w:p w14:paraId="616C2B0A" w14:textId="77777777" w:rsidR="00570462" w:rsidRDefault="00570462" w:rsidP="00570462">
      <w:pPr>
        <w:spacing w:line="360" w:lineRule="auto"/>
        <w:jc w:val="both"/>
      </w:pPr>
    </w:p>
    <w:p w14:paraId="0905C2A0" w14:textId="0DBC0AD5" w:rsidR="00EE2A31" w:rsidRDefault="00570462" w:rsidP="00570462">
      <w:pPr>
        <w:spacing w:line="360" w:lineRule="auto"/>
        <w:jc w:val="both"/>
      </w:pPr>
      <w:r>
        <w:t xml:space="preserve">For the Ghanaian educational context, assessment design must accommodate infrastructure constraints including intermittent connectivity and limited computing time. Traditional online testing assumes continuous connectivity that may be unavailable, while </w:t>
      </w:r>
      <w:r>
        <w:lastRenderedPageBreak/>
        <w:t>paper-based assessment cannot capture the process dimensions essential to CT evaluation. Shute et al. (2023) recommended hybrid approaches that enable offline assessment activity with local data storage, followed by synchronization of results when connectivity permits. Kone Academy implements this model through offline-capable assessment modules that queue learner responses locally, transmitting to teacher dashboards opportunistically rather than requiring real-time connectivity.</w:t>
      </w:r>
      <w:r w:rsidR="00EE2A31">
        <w:t xml:space="preserve">   </w:t>
      </w:r>
    </w:p>
    <w:p w14:paraId="3D0823C8" w14:textId="77777777" w:rsidR="00EE2A31" w:rsidRDefault="00EE2A31" w:rsidP="00EE2A31">
      <w:pPr>
        <w:spacing w:line="360" w:lineRule="auto"/>
        <w:jc w:val="both"/>
      </w:pPr>
      <w:r>
        <w:t xml:space="preserve">   3.6.4 Design-Based Research in Education</w:t>
      </w:r>
    </w:p>
    <w:p w14:paraId="22282165" w14:textId="77777777" w:rsidR="00570462" w:rsidRDefault="00EE2A31" w:rsidP="00570462">
      <w:pPr>
        <w:spacing w:line="360" w:lineRule="auto"/>
        <w:jc w:val="both"/>
      </w:pPr>
      <w:r>
        <w:t xml:space="preserve">  </w:t>
      </w:r>
      <w:r w:rsidR="00570462">
        <w:t>The methodological approach underlying Kone Academy's development and evaluation draws upon design-based research (DBR), a paradigm that integrates educational design with systematic inquiry to generate both practical innovations and theoretical insights. Anderson and Shattuck (2012) conducted a comprehensive decade review of design-based research in education, analyzing 179 studies published between 1997 and 2006 to characterize the methodology's evolution, application domains, and contributions to educational knowledge. Their analysis documented DBR's emergence as a distinctive research approach that addresses the limitations of both laboratory experiments—often lacking ecological validity—and formative evaluation—typically insufficient for generalizable knowledge generation (Anderson &amp; Shattuck, 2012).</w:t>
      </w:r>
    </w:p>
    <w:p w14:paraId="7895D410" w14:textId="77777777" w:rsidR="00570462" w:rsidRDefault="00570462" w:rsidP="00570462">
      <w:pPr>
        <w:spacing w:line="360" w:lineRule="auto"/>
        <w:jc w:val="both"/>
      </w:pPr>
    </w:p>
    <w:p w14:paraId="26F568BE" w14:textId="77777777" w:rsidR="00570462" w:rsidRDefault="00570462" w:rsidP="00570462">
      <w:pPr>
        <w:spacing w:line="360" w:lineRule="auto"/>
        <w:jc w:val="both"/>
      </w:pPr>
      <w:r>
        <w:t>The defining characteristics of design-based research, as articulated by Anderson and Shattuck (2012), include: situated learning contexts (studies conducted in authentic educational environments rather than artificial laboratories), interventionist focus (researchers actively design and test educational interventions), iterative refinement (multiple cycles of implementation, analysis, and redesign), and dual outcomes (practical innovations and theoretical contributions). These characteristics align closely with Kone Academy's development trajectory, which involves iterative platform refinement based on implementation data from Ghanaian educational contexts, generating both an improved educational technology product and knowledge about effective coding education in developing contexts.</w:t>
      </w:r>
    </w:p>
    <w:p w14:paraId="2FC00F7A" w14:textId="77777777" w:rsidR="00570462" w:rsidRDefault="00570462" w:rsidP="00570462">
      <w:pPr>
        <w:spacing w:line="360" w:lineRule="auto"/>
        <w:jc w:val="both"/>
      </w:pPr>
    </w:p>
    <w:p w14:paraId="761E759D" w14:textId="77777777" w:rsidR="00570462" w:rsidRDefault="00570462" w:rsidP="00570462">
      <w:pPr>
        <w:spacing w:line="360" w:lineRule="auto"/>
        <w:jc w:val="both"/>
      </w:pPr>
      <w:r>
        <w:t>The methodological rigor of design-based research has been subject to critical examination. Anderson and Shattuck (2012) noted early DBR studies often lacked explicit methodological documentation, making it difficult to evaluate quality or replicate findings. However, the decade review documented increasing methodological sophistication, with later studies providing detailed accounts of design decisions, data collection procedures, and analytical approaches. For Kone Academy, this methodological evolution informs research design that prioritizes transparent documentation of design rationale, systematic data collection across implementation cycles, and explicit analytical frameworks for interpreting findings.</w:t>
      </w:r>
    </w:p>
    <w:p w14:paraId="0992EE04" w14:textId="77777777" w:rsidR="00570462" w:rsidRDefault="00570462" w:rsidP="00570462">
      <w:pPr>
        <w:spacing w:line="360" w:lineRule="auto"/>
        <w:jc w:val="both"/>
      </w:pPr>
    </w:p>
    <w:p w14:paraId="64C1CB2B" w14:textId="77777777" w:rsidR="00570462" w:rsidRDefault="00570462" w:rsidP="00570462">
      <w:pPr>
        <w:spacing w:line="360" w:lineRule="auto"/>
        <w:jc w:val="both"/>
      </w:pPr>
      <w:r>
        <w:t xml:space="preserve">The theoretical contributions of design-based research extend beyond specific interventions to inform broader understanding of learning and instruction. Anderson and Shattuck (2012) identified that effective DBR generates "humble </w:t>
      </w:r>
      <w:proofErr w:type="gramStart"/>
      <w:r>
        <w:t>theory"—</w:t>
      </w:r>
      <w:proofErr w:type="gramEnd"/>
      <w:r>
        <w:t>contextually grounded principles that guide design decisions without claiming universal applicability. This epistemological stance is particularly appropriate for educational technology research in developing contexts, where interventions successful in one setting may require substantial adaptation for different infrastructure, cultural, or institutional conditions. Kone Academy's research framework aims to generate design principles for coding education platforms in low-resource African contexts—knowledge that requires adaptation rather than direct transfer for application elsewhere.</w:t>
      </w:r>
    </w:p>
    <w:p w14:paraId="799C27E7" w14:textId="77777777" w:rsidR="00570462" w:rsidRDefault="00570462" w:rsidP="00570462">
      <w:pPr>
        <w:spacing w:line="360" w:lineRule="auto"/>
        <w:jc w:val="both"/>
      </w:pPr>
    </w:p>
    <w:p w14:paraId="76B3CFB6" w14:textId="77777777" w:rsidR="00570462" w:rsidRDefault="00570462" w:rsidP="00570462">
      <w:pPr>
        <w:spacing w:line="360" w:lineRule="auto"/>
        <w:jc w:val="both"/>
      </w:pPr>
      <w:r>
        <w:t xml:space="preserve">The relationship between design and research in DBR presents ongoing challenges regarding researcher positionality and objectivity. Anderson and Shattuck (2012) acknowledged that researchers who design interventions may develop confirmation biases favoring their own creations. Methodological safeguards include triangulation of data sources, peer debriefing, and systematic attention to negative cases—implementation challenges and failures that inform redesign. Kone Academy's evaluation framework incorporates these safeguards through mixed-methods data collection (learning analytics, assessments, observations, </w:t>
      </w:r>
      <w:r>
        <w:lastRenderedPageBreak/>
        <w:t>interviews), external advisor review, and explicit documentation of implementation difficulties alongside successes.</w:t>
      </w:r>
    </w:p>
    <w:p w14:paraId="6B3470A0" w14:textId="77777777" w:rsidR="00570462" w:rsidRDefault="00570462" w:rsidP="00570462">
      <w:pPr>
        <w:spacing w:line="360" w:lineRule="auto"/>
        <w:jc w:val="both"/>
      </w:pPr>
    </w:p>
    <w:p w14:paraId="4FD73621" w14:textId="55D19F89" w:rsidR="00EE2A31" w:rsidRDefault="00570462" w:rsidP="00570462">
      <w:pPr>
        <w:spacing w:line="360" w:lineRule="auto"/>
        <w:jc w:val="both"/>
      </w:pPr>
      <w:r>
        <w:t>For the Kone Academy platform, design-based research provides a methodological framework that integrates development and evaluation into coherent cycles of improvement. The approach justifies iterative platform refinement based on implementation evidence rather than requiring complete finalization before any evaluation—essential for resource-constrained contexts where extensive pre-implementation development may be infeasible. Furthermore, DBR's commitment to dual outcomes ensures that Kone Academy contributes both practical educational technology and research knowledge about effective coding education design in developing contexts, maximizing the value of implementation investments beyond immediate application.</w:t>
      </w:r>
    </w:p>
    <w:p w14:paraId="0E445ED1" w14:textId="77777777" w:rsidR="00EE2A31" w:rsidRDefault="00EE2A31" w:rsidP="00EE2A31">
      <w:pPr>
        <w:spacing w:line="360" w:lineRule="auto"/>
        <w:jc w:val="both"/>
      </w:pPr>
      <w:r>
        <w:t>3.7 Teacher Development and Support (400 words)</w:t>
      </w:r>
    </w:p>
    <w:p w14:paraId="6FF62EB2" w14:textId="77777777" w:rsidR="00EE2A31" w:rsidRDefault="00EE2A31" w:rsidP="00EE2A31">
      <w:pPr>
        <w:spacing w:line="360" w:lineRule="auto"/>
        <w:jc w:val="both"/>
      </w:pPr>
      <w:r>
        <w:t xml:space="preserve">   3.7.1 Effective Professional Development</w:t>
      </w:r>
    </w:p>
    <w:p w14:paraId="3CD43C21" w14:textId="77777777" w:rsidR="00570462" w:rsidRDefault="00570462" w:rsidP="00570462">
      <w:pPr>
        <w:spacing w:line="360" w:lineRule="auto"/>
        <w:jc w:val="both"/>
      </w:pPr>
      <w:r>
        <w:t xml:space="preserve">Teacher professional development represents a critical determinant of educational technology implementation success, yet traditional workshop-based approaches have consistently failed to produce sustained pedagogical change. Desimone (2009) provided a comprehensive framework for effective professional development, synthesizing research evidence to identify core features that distinguish impactful programs from ineffective interventions. The framework identifies five essential characteristics: (1) content focus—professional development should center on subject-matter content and how students learn that content rather than generic teaching techniques; (2) active learning—teachers should engage in meaningful discussion, planning, and practice rather than passive listening; (3) coherence—professional development should align with teachers' knowledge, beliefs, and school and district goals; (4) sustained duration—professional development should be intensive and ongoing rather than one-time events; and (5) collective participation—professional development should build learning communities among teachers from the same school, grade, or subject (Desimone, 2009). These principles have direct implications </w:t>
      </w:r>
      <w:r>
        <w:lastRenderedPageBreak/>
        <w:t>for designing teacher support systems that accompany educational technology platforms such as Kone Academy.</w:t>
      </w:r>
    </w:p>
    <w:p w14:paraId="351393A2" w14:textId="77777777" w:rsidR="00570462" w:rsidRDefault="00570462" w:rsidP="00570462">
      <w:pPr>
        <w:spacing w:line="360" w:lineRule="auto"/>
        <w:jc w:val="both"/>
      </w:pPr>
    </w:p>
    <w:p w14:paraId="4B1378EE" w14:textId="77777777" w:rsidR="00570462" w:rsidRDefault="00570462" w:rsidP="00570462">
      <w:pPr>
        <w:spacing w:line="360" w:lineRule="auto"/>
        <w:jc w:val="both"/>
      </w:pPr>
      <w:r>
        <w:t>The content focus characteristic addresses the persistent challenge that teachers implementing Kone Academy may lack deep expertise in coding, robotics, or artificial intelligence. Desimone's (2009) research established that professional development focusing on subject-matter content produces larger student learning gains than generic pedagogical training. For Kone Academy, this finding suggests that teacher support should prioritize building teachers' conceptual understanding of computational thinking, programming logic, and AI principles rather than merely training them to operate platform features. Teachers who understand the underlying concepts can adapt instruction to student needs, troubleshoot unexpected problems, and extend learning beyond scripted activities.</w:t>
      </w:r>
    </w:p>
    <w:p w14:paraId="45131C73" w14:textId="77777777" w:rsidR="00570462" w:rsidRDefault="00570462" w:rsidP="00570462">
      <w:pPr>
        <w:spacing w:line="360" w:lineRule="auto"/>
        <w:jc w:val="both"/>
      </w:pPr>
    </w:p>
    <w:p w14:paraId="09374764" w14:textId="77777777" w:rsidR="00570462" w:rsidRDefault="00570462" w:rsidP="00570462">
      <w:pPr>
        <w:spacing w:line="360" w:lineRule="auto"/>
        <w:jc w:val="both"/>
      </w:pPr>
      <w:r>
        <w:t>Active learning in professional development contexts requires teachers to engage with the same kinds of learning activities they will eventually facilitate for students. Desimone (2009) documented that professional development programs where teachers actively examine student work, develop curriculum materials, or practice instructional techniques produce greater implementation fidelity than lecture-based training. For Kone Academy, this principle suggests that teacher onboarding should involve hands-on experience with the platform's three-tiered curriculum—teachers should complete coding projects, build robotics prototypes, and experiment with AI tools before attempting to facilitate student learning. This experiential preparation enables teachers to anticipate student difficulties and respond effectively to classroom challenges.</w:t>
      </w:r>
    </w:p>
    <w:p w14:paraId="28BA721D" w14:textId="77777777" w:rsidR="00570462" w:rsidRDefault="00570462" w:rsidP="00570462">
      <w:pPr>
        <w:spacing w:line="360" w:lineRule="auto"/>
        <w:jc w:val="both"/>
      </w:pPr>
    </w:p>
    <w:p w14:paraId="13B89183" w14:textId="77777777" w:rsidR="00570462" w:rsidRDefault="00570462" w:rsidP="00570462">
      <w:pPr>
        <w:spacing w:line="360" w:lineRule="auto"/>
        <w:jc w:val="both"/>
      </w:pPr>
      <w:r>
        <w:t xml:space="preserve">The coherence and sustained duration characteristics address the implementation challenges that arise when professional development is disconnected from classroom </w:t>
      </w:r>
      <w:r>
        <w:lastRenderedPageBreak/>
        <w:t>realities or too brief to enable skill consolidation. Desimone (2009) found that professional development spanning multiple days or weeks with follow-up support produces more significant changes in teacher practice than single-session workshops. For Kone Academy, this research supports the design of extended onboarding sequences supplemented by ongoing support resources, rather than assuming teachers can implement effectively after brief training. The platform incorporates extensive automated guidance that compensates for limited initial teacher preparation while preserving pathways for teacher growth through scaffolded professional development modules.</w:t>
      </w:r>
    </w:p>
    <w:p w14:paraId="2AB3134D" w14:textId="77777777" w:rsidR="00570462" w:rsidRDefault="00570462" w:rsidP="00570462">
      <w:pPr>
        <w:spacing w:line="360" w:lineRule="auto"/>
        <w:jc w:val="both"/>
      </w:pPr>
    </w:p>
    <w:p w14:paraId="5C5606CE" w14:textId="32F83A1B" w:rsidR="00EE2A31" w:rsidRDefault="00570462" w:rsidP="00570462">
      <w:pPr>
        <w:spacing w:line="360" w:lineRule="auto"/>
        <w:jc w:val="both"/>
      </w:pPr>
      <w:r>
        <w:t xml:space="preserve">Collective participation recognizes that teacher learning is enhanced through collaborative communities where educators share challenges, exchange strategies, and develop collective efficacy. Desimone (2009) documented that professional development engaging teachers from the same school or grade level produces greater implementation consistency than isolated individual training. For the Ghanaian context, where isolated schools may lack peer support structures, Kone Academy's design incorporates online communities of practice that enable teachers to collaborate across geographical distances, share </w:t>
      </w:r>
      <w:proofErr w:type="gramStart"/>
      <w:r>
        <w:t>locally-adapted</w:t>
      </w:r>
      <w:proofErr w:type="gramEnd"/>
      <w:r>
        <w:t xml:space="preserve"> curriculum materials, and develop collective expertise in computational thinking education.</w:t>
      </w:r>
      <w:r w:rsidR="00EE2A31">
        <w:t xml:space="preserve">   </w:t>
      </w:r>
    </w:p>
    <w:p w14:paraId="6B4FE7A6" w14:textId="77777777" w:rsidR="00EE2A31" w:rsidRDefault="00EE2A31" w:rsidP="00EE2A31">
      <w:pPr>
        <w:spacing w:line="360" w:lineRule="auto"/>
        <w:jc w:val="both"/>
      </w:pPr>
      <w:r>
        <w:t xml:space="preserve">   3.7.2 Teacher Self-Efficacy in CS</w:t>
      </w:r>
    </w:p>
    <w:p w14:paraId="645F95C4" w14:textId="77777777" w:rsidR="00570462" w:rsidRDefault="00570462" w:rsidP="00570462">
      <w:pPr>
        <w:spacing w:line="360" w:lineRule="auto"/>
        <w:jc w:val="both"/>
      </w:pPr>
      <w:r>
        <w:t xml:space="preserve">Teacher self-efficacy—the belief in one's capability to organize and execute courses of action required to produce given attainments—represents a critical but often overlooked factor in computer science education implementation. Bean et al. (2015) conducted seminal research examining elementary teachers' self-efficacy beliefs regarding computer science instruction, finding that many teachers, despite positive attitudes toward technology integration, harbor significant doubts about their ability to effectively teach coding and computational thinking concepts. Their study documented that teachers with lower self-efficacy in computer science were less likely to implement CS activities, more likely to abandon lessons when encountering technical difficulties, and less effective at </w:t>
      </w:r>
      <w:r>
        <w:lastRenderedPageBreak/>
        <w:t>supporting student problem-solving—demonstrating that confidence gaps directly translate into educational opportunity gaps for students (Bean et al., 2015).</w:t>
      </w:r>
    </w:p>
    <w:p w14:paraId="42015FE3" w14:textId="77777777" w:rsidR="00570462" w:rsidRDefault="00570462" w:rsidP="00570462">
      <w:pPr>
        <w:spacing w:line="360" w:lineRule="auto"/>
        <w:jc w:val="both"/>
      </w:pPr>
    </w:p>
    <w:p w14:paraId="49C85F95" w14:textId="77777777" w:rsidR="00570462" w:rsidRDefault="00570462" w:rsidP="00570462">
      <w:pPr>
        <w:spacing w:line="360" w:lineRule="auto"/>
        <w:jc w:val="both"/>
      </w:pPr>
      <w:r>
        <w:t>The sources of low self-efficacy in computer science teaching are multifaceted and differ from self-efficacy concerns in traditional subject areas. Bean et al. (2015) identified that many teachers perceive computer science as fundamentally different from their areas of expertise—requiring logical reasoning and technical troubleshooting skills they doubt they possess. Unlike reading or mathematics, where teachers typically have extensive personal experience as successful learners, many teachers have never learned to code and thus lack the experiential foundation that supports teaching confidence. This expertise gap is particularly acute in developing contexts such as Ghana, where teacher preparation programs have historically not included computer science coursework, leaving practicing teachers without any formal foundation in computational thinking or programming (</w:t>
      </w:r>
      <w:proofErr w:type="spellStart"/>
      <w:r>
        <w:t>Adarkwah</w:t>
      </w:r>
      <w:proofErr w:type="spellEnd"/>
      <w:r>
        <w:t xml:space="preserve"> et al., 2022).</w:t>
      </w:r>
    </w:p>
    <w:p w14:paraId="2707A1FC" w14:textId="77777777" w:rsidR="00570462" w:rsidRDefault="00570462" w:rsidP="00570462">
      <w:pPr>
        <w:spacing w:line="360" w:lineRule="auto"/>
        <w:jc w:val="both"/>
      </w:pPr>
    </w:p>
    <w:p w14:paraId="6ADE05A1" w14:textId="77777777" w:rsidR="00570462" w:rsidRDefault="00570462" w:rsidP="00570462">
      <w:pPr>
        <w:spacing w:line="360" w:lineRule="auto"/>
        <w:jc w:val="both"/>
      </w:pPr>
      <w:r>
        <w:t xml:space="preserve">The consequences of low teacher self-efficacy extend beyond reduced implementation to affect the quality of instruction when CS activities do occur. Bean et al. (2015) documented that teachers with low CS self-efficacy tend to rely heavily on scripted activities, avoid open-ended exploration that might expose their knowledge limitations, and deflect student questions they cannot answer rather than modeling productive </w:t>
      </w:r>
      <w:proofErr w:type="gramStart"/>
      <w:r>
        <w:t>struggle</w:t>
      </w:r>
      <w:proofErr w:type="gramEnd"/>
      <w:r>
        <w:t>. These pedagogical adaptations, while protective of teacher confidence, severely constrain student learning opportunities—limiting the development of problem-solving skills, creative expression, and conceptual understanding that effective CS education should cultivate.</w:t>
      </w:r>
    </w:p>
    <w:p w14:paraId="628ADD75" w14:textId="77777777" w:rsidR="00570462" w:rsidRDefault="00570462" w:rsidP="00570462">
      <w:pPr>
        <w:spacing w:line="360" w:lineRule="auto"/>
        <w:jc w:val="both"/>
      </w:pPr>
    </w:p>
    <w:p w14:paraId="045EC7F8" w14:textId="77777777" w:rsidR="00570462" w:rsidRDefault="00570462" w:rsidP="00570462">
      <w:pPr>
        <w:spacing w:line="360" w:lineRule="auto"/>
        <w:jc w:val="both"/>
      </w:pPr>
      <w:r>
        <w:t xml:space="preserve">Building teacher self-efficacy in computer science requires approaches that differ from traditional professional development models. Bean et al. (2015) found that self-efficacy improved most significantly when teachers experienced personal success with coding </w:t>
      </w:r>
      <w:r>
        <w:lastRenderedPageBreak/>
        <w:t xml:space="preserve">activities </w:t>
      </w:r>
      <w:proofErr w:type="gramStart"/>
      <w:r>
        <w:t>similar to</w:t>
      </w:r>
      <w:proofErr w:type="gramEnd"/>
      <w:r>
        <w:t xml:space="preserve"> those they would facilitate for students—not when they received abstract training on pedagogical strategies. This finding suggests that teacher preparation for platforms such as Kone Academy should prioritize hands-on experience with the actual curriculum, enabling teachers to complete projects, debug programs, and experience the constructionist learning cycle before attempting classroom facilitation. The researchers emphasized that early success experiences are particularly crucial; initial failures with coding can reinforce self-efficacy doubts that are difficult to overcome.</w:t>
      </w:r>
    </w:p>
    <w:p w14:paraId="432A2F3D" w14:textId="77777777" w:rsidR="00570462" w:rsidRDefault="00570462" w:rsidP="00570462">
      <w:pPr>
        <w:spacing w:line="360" w:lineRule="auto"/>
        <w:jc w:val="both"/>
      </w:pPr>
    </w:p>
    <w:p w14:paraId="44630F33" w14:textId="77777777" w:rsidR="00570462" w:rsidRDefault="00570462" w:rsidP="00570462">
      <w:pPr>
        <w:spacing w:line="360" w:lineRule="auto"/>
        <w:jc w:val="both"/>
      </w:pPr>
      <w:r>
        <w:t xml:space="preserve">For the Ghanaian educational context, teacher self-efficacy challenges are compounded by additional factors including limited technical support infrastructure, scarce peer expertise for consultation, and cultural beliefs that position technology as a masculine domain potentially inappropriate for female teachers. </w:t>
      </w:r>
      <w:proofErr w:type="spellStart"/>
      <w:r>
        <w:t>Adarkwah</w:t>
      </w:r>
      <w:proofErr w:type="spellEnd"/>
      <w:r>
        <w:t xml:space="preserve"> et al. (2022) documented that Ghanaian teachers often lack confidence not merely in their technical skills but in their legitimacy as technology educators—doubting whether they possess the authority to teach subjects they perceive as requiring specialized expertise. Kone Academy's design addresses these confidence barriers through extensive automated scaffolding that reduces teacher technical burden, comprehensive teacher guides that anticipate common questions, and community features that enable peer support across geographical distances.</w:t>
      </w:r>
    </w:p>
    <w:p w14:paraId="274B01C7" w14:textId="77777777" w:rsidR="00570462" w:rsidRDefault="00570462" w:rsidP="00570462">
      <w:pPr>
        <w:spacing w:line="360" w:lineRule="auto"/>
        <w:jc w:val="both"/>
      </w:pPr>
    </w:p>
    <w:p w14:paraId="6DBE0EA2" w14:textId="038FF880" w:rsidR="00EE2A31" w:rsidRDefault="00570462" w:rsidP="00570462">
      <w:pPr>
        <w:spacing w:line="360" w:lineRule="auto"/>
        <w:jc w:val="both"/>
      </w:pPr>
      <w:r>
        <w:t xml:space="preserve">The relationship between teacher self-efficacy and student outcomes in computer science education remains an active research area with significant implications for platform design. Bean et al. (2015) established that teacher confidence influences both whether CS education occurs and how effectively it is implemented when it does occur. For Kone Academy, this research supports investment in teacher support infrastructure that extends beyond initial training to ongoing confidence-building through scaffolded professional development, success-oriented onboarding sequences, and community features that enable teachers to share victories and troubleshoot challenges collectively. By addressing teacher self-efficacy as a fundamental implementation prerequisite rather than an </w:t>
      </w:r>
      <w:r>
        <w:lastRenderedPageBreak/>
        <w:t xml:space="preserve">afterthought, Kone Academy seeks to ensure that platform capabilities translate into classroom realities—recognizing that even the most sophisticated educational technology cannot improve student learning without </w:t>
      </w:r>
      <w:proofErr w:type="gramStart"/>
      <w:r>
        <w:t>confident</w:t>
      </w:r>
      <w:proofErr w:type="gramEnd"/>
      <w:r>
        <w:t>, capable teachers to facilitate its use.</w:t>
      </w:r>
      <w:r w:rsidR="00EE2A31">
        <w:t xml:space="preserve">   </w:t>
      </w:r>
    </w:p>
    <w:p w14:paraId="2F444587" w14:textId="77777777" w:rsidR="00EE2A31" w:rsidRDefault="00EE2A31" w:rsidP="00EE2A31">
      <w:pPr>
        <w:spacing w:line="360" w:lineRule="auto"/>
        <w:jc w:val="both"/>
      </w:pPr>
      <w:r>
        <w:t xml:space="preserve">   3.7.3 Teacher Perspectives on Block-Based Programming</w:t>
      </w:r>
    </w:p>
    <w:p w14:paraId="3072D8CD" w14:textId="77777777" w:rsidR="00570462" w:rsidRDefault="00570462" w:rsidP="00570462">
      <w:pPr>
        <w:spacing w:line="360" w:lineRule="auto"/>
        <w:jc w:val="both"/>
      </w:pPr>
      <w:r>
        <w:t xml:space="preserve">Teacher perspectives on block-based programming tools reveal complex attitudes that influence adoption and implementation, extending beyond simple self-efficacy measures to encompass beliefs about pedagogical value, curriculum fit, and student capabilities. </w:t>
      </w:r>
      <w:proofErr w:type="spellStart"/>
      <w:r>
        <w:t>Sentance</w:t>
      </w:r>
      <w:proofErr w:type="spellEnd"/>
      <w:r>
        <w:t xml:space="preserve"> and Csizmadia (2022) conducted comprehensive research examining teacher perspectives on visual programming environments, finding that teachers hold diverse and sometimes contradictory views about the educational value of block-based coding. Their study documented that while many teachers recognize block-based tools as accessible entry points for novice programmers, others question whether such environments prepare students for "real" programming or represent genuine computer science learning (</w:t>
      </w:r>
      <w:proofErr w:type="spellStart"/>
      <w:r>
        <w:t>Sentance</w:t>
      </w:r>
      <w:proofErr w:type="spellEnd"/>
      <w:r>
        <w:t xml:space="preserve"> &amp; Csizmadia, 2022). These perspective differences have significant implications for implementation, as teacher beliefs about tool legitimacy shape how enthusiastically and effectively they facilitate student learning.</w:t>
      </w:r>
    </w:p>
    <w:p w14:paraId="40F4031E" w14:textId="77777777" w:rsidR="00570462" w:rsidRDefault="00570462" w:rsidP="00570462">
      <w:pPr>
        <w:spacing w:line="360" w:lineRule="auto"/>
        <w:jc w:val="both"/>
      </w:pPr>
    </w:p>
    <w:p w14:paraId="6C287D26" w14:textId="77777777" w:rsidR="00570462" w:rsidRDefault="00570462" w:rsidP="00570462">
      <w:pPr>
        <w:spacing w:line="360" w:lineRule="auto"/>
        <w:jc w:val="both"/>
      </w:pPr>
      <w:r>
        <w:t xml:space="preserve">The adoption barriers identified by </w:t>
      </w:r>
      <w:proofErr w:type="spellStart"/>
      <w:r>
        <w:t>Sentance</w:t>
      </w:r>
      <w:proofErr w:type="spellEnd"/>
      <w:r>
        <w:t xml:space="preserve"> and Csizmadia (2022) extend beyond technical concerns to include epistemological and practical dimensions. Teachers questioned whether block-based programming develops transferable skills or merely provides simplified play experiences, worried that students might develop habits or misconceptions that would interfere with later text-based </w:t>
      </w:r>
      <w:proofErr w:type="gramStart"/>
      <w:r>
        <w:t>programming, and</w:t>
      </w:r>
      <w:proofErr w:type="gramEnd"/>
      <w:r>
        <w:t xml:space="preserve"> expressed uncertainty about how block-based activities fit within mandated curriculum frameworks. These concerns, while sometimes reflecting misunderstandings about constructionist pedagogy and computational thinking development, represent genuine professional judgments that educational technology implementation must address rather than dismiss. The researchers emphasized that teacher skepticism often derives from legitimate concerns about educational value and student preparation rather than mere resistance to innovation.</w:t>
      </w:r>
    </w:p>
    <w:p w14:paraId="6856002E" w14:textId="77777777" w:rsidR="00570462" w:rsidRDefault="00570462" w:rsidP="00570462">
      <w:pPr>
        <w:spacing w:line="360" w:lineRule="auto"/>
        <w:jc w:val="both"/>
      </w:pPr>
    </w:p>
    <w:p w14:paraId="4651DBC6" w14:textId="77777777" w:rsidR="00570462" w:rsidRDefault="00570462" w:rsidP="00570462">
      <w:pPr>
        <w:spacing w:line="360" w:lineRule="auto"/>
        <w:jc w:val="both"/>
      </w:pPr>
      <w:r>
        <w:t xml:space="preserve">Support needs for teachers implementing block-based programming differ from those for traditional computing instruction. </w:t>
      </w:r>
      <w:proofErr w:type="spellStart"/>
      <w:r>
        <w:t>Sentance</w:t>
      </w:r>
      <w:proofErr w:type="spellEnd"/>
      <w:r>
        <w:t xml:space="preserve"> and Csizmadia (2022) documented that teachers require not merely technical training in tool operation but pedagogical guidance for facilitating constructionist learning, assessing student progress in project-based environments, and connecting block-based activities to broader curriculum goals. The researchers found that teachers often felt inadequately prepared to support student debugging, facilitate collaborative project work, or evaluate learning outcomes in open-ended programming activities—professional competencies distinct from the technical skills required to create block-based programs themselves.</w:t>
      </w:r>
    </w:p>
    <w:p w14:paraId="4D690675" w14:textId="77777777" w:rsidR="00570462" w:rsidRDefault="00570462" w:rsidP="00570462">
      <w:pPr>
        <w:spacing w:line="360" w:lineRule="auto"/>
        <w:jc w:val="both"/>
      </w:pPr>
    </w:p>
    <w:p w14:paraId="512993F0" w14:textId="77777777" w:rsidR="00570462" w:rsidRDefault="00570462" w:rsidP="00570462">
      <w:pPr>
        <w:spacing w:line="360" w:lineRule="auto"/>
        <w:jc w:val="both"/>
      </w:pPr>
      <w:r>
        <w:t xml:space="preserve">The relationship between teacher perspectives and implementation quality is bidirectional: while teacher beliefs influence how tools are implemented, implementation experiences also shape teacher perspectives. </w:t>
      </w:r>
      <w:proofErr w:type="spellStart"/>
      <w:r>
        <w:t>Sentance</w:t>
      </w:r>
      <w:proofErr w:type="spellEnd"/>
      <w:r>
        <w:t xml:space="preserve"> and Csizmadia (2022) found that teachers who observed students developing sophisticated computational thinking through block-based activities became more positive about tool value, while those whose students struggled with activities or who encountered technical difficulties became more skeptical. This dynamic suggests that successful implementation requires both addressing initial teacher concerns and ensuring that early implementation experiences are positive enough to shift skeptical perspectives toward support.</w:t>
      </w:r>
    </w:p>
    <w:p w14:paraId="431D4B6F" w14:textId="77777777" w:rsidR="00570462" w:rsidRDefault="00570462" w:rsidP="00570462">
      <w:pPr>
        <w:spacing w:line="360" w:lineRule="auto"/>
        <w:jc w:val="both"/>
      </w:pPr>
    </w:p>
    <w:p w14:paraId="55E3B4B8" w14:textId="77777777" w:rsidR="00570462" w:rsidRDefault="00570462" w:rsidP="00570462">
      <w:pPr>
        <w:spacing w:line="360" w:lineRule="auto"/>
        <w:jc w:val="both"/>
      </w:pPr>
      <w:r>
        <w:t xml:space="preserve">For the Ghanaian educational context, teacher perspectives on block-based programming must be understood within broader contexts of educational technology skepticism rooted in previous implementation failures. Many Ghanaian teachers have experienced educational technology initiatives that promised transformation but delivered frustration due to infrastructure failures, inadequate support, or misalignment with classroom realities. </w:t>
      </w:r>
      <w:proofErr w:type="spellStart"/>
      <w:r>
        <w:t>Sentance</w:t>
      </w:r>
      <w:proofErr w:type="spellEnd"/>
      <w:r>
        <w:t xml:space="preserve"> and Csizmadia's (2022) findings suggest that such historical experiences may predispose teachers toward skepticism about new tools regardless of their actual merits—</w:t>
      </w:r>
      <w:r>
        <w:lastRenderedPageBreak/>
        <w:t>requiring implementation approaches that acknowledge past disappointments while demonstrating current tool viability through sustained support and demonstrated student learning outcomes.</w:t>
      </w:r>
    </w:p>
    <w:p w14:paraId="1B98D70E" w14:textId="77777777" w:rsidR="00570462" w:rsidRDefault="00570462" w:rsidP="00570462">
      <w:pPr>
        <w:spacing w:line="360" w:lineRule="auto"/>
        <w:jc w:val="both"/>
      </w:pPr>
    </w:p>
    <w:p w14:paraId="0F414EB2" w14:textId="517EF041" w:rsidR="00EE2A31" w:rsidRDefault="00570462" w:rsidP="00570462">
      <w:pPr>
        <w:spacing w:line="360" w:lineRule="auto"/>
        <w:jc w:val="both"/>
      </w:pPr>
      <w:r>
        <w:t xml:space="preserve">For Kone Academy, research on teacher perspectives informs support system design that addresses both practical and epistemological concerns. The platform provides clear documentation connecting block-based activities to Ghanaian curriculum standards, explicit guidance for facilitating constructionist learning, and assessment rubrics that demonstrate how to evaluate student progress in project-based environments. By acknowledging legitimate teacher concerns about educational value while providing concrete support for addressing those concerns, Kone Academy seeks to shift teacher perspectives from </w:t>
      </w:r>
      <w:proofErr w:type="spellStart"/>
      <w:r>
        <w:t>skeptical</w:t>
      </w:r>
      <w:r>
        <w:rPr>
          <w:rFonts w:ascii="Microsoft JhengHei" w:eastAsia="Microsoft JhengHei" w:hAnsi="Microsoft JhengHei" w:cs="Microsoft JhengHei" w:hint="eastAsia"/>
        </w:rPr>
        <w:t>观望</w:t>
      </w:r>
      <w:proofErr w:type="spellEnd"/>
      <w:r>
        <w:t xml:space="preserve"> to confident facilitation—recognizing that teacher buy-in is essential for implementation success regardless of platform technical capabilities.</w:t>
      </w:r>
      <w:r w:rsidR="00EE2A31">
        <w:t xml:space="preserve">   </w:t>
      </w:r>
    </w:p>
    <w:p w14:paraId="5774B889" w14:textId="77777777" w:rsidR="00EE2A31" w:rsidRDefault="00EE2A31" w:rsidP="00EE2A31">
      <w:pPr>
        <w:spacing w:line="360" w:lineRule="auto"/>
        <w:jc w:val="both"/>
      </w:pPr>
      <w:r>
        <w:t xml:space="preserve">   3.7.4 AI Teacher Professional Development</w:t>
      </w:r>
    </w:p>
    <w:p w14:paraId="19BF1350" w14:textId="77777777" w:rsidR="00570462" w:rsidRDefault="00570462" w:rsidP="00570462">
      <w:pPr>
        <w:spacing w:line="360" w:lineRule="auto"/>
        <w:jc w:val="both"/>
      </w:pPr>
      <w:r>
        <w:t>Preparing teachers to implement artificial intelligence curricula presents distinct challenges that extend beyond traditional computer science professional development, requiring attention to rapidly evolving content, interdisciplinary connections, and ethical dimensions that many teachers have never encountered in their own education. Chiu et al. (2023) conducted systematic research examining professional development for AI education, analyzing programs across multiple countries to identify effective approaches for preparing teachers who often have no prior AI background. Their analysis revealed that successful AI teacher preparation requires distinct strategies from traditional coding professional development, given AI's interdisciplinary nature spanning computer science, mathematics, ethics, and domain-specific applications (Chiu et al., 2023).</w:t>
      </w:r>
    </w:p>
    <w:p w14:paraId="5254AA7F" w14:textId="77777777" w:rsidR="00570462" w:rsidRDefault="00570462" w:rsidP="00570462">
      <w:pPr>
        <w:spacing w:line="360" w:lineRule="auto"/>
        <w:jc w:val="both"/>
      </w:pPr>
    </w:p>
    <w:p w14:paraId="151D9A17" w14:textId="77777777" w:rsidR="00570462" w:rsidRDefault="00570462" w:rsidP="00570462">
      <w:pPr>
        <w:spacing w:line="360" w:lineRule="auto"/>
        <w:jc w:val="both"/>
      </w:pPr>
      <w:r>
        <w:t xml:space="preserve">The content knowledge requirements for AI teaching differ qualitatively from those for programming instruction. While teachers can learn block-based programming through </w:t>
      </w:r>
      <w:r>
        <w:lastRenderedPageBreak/>
        <w:t>relatively brief hands-on experiences and subsequently facilitate student learning effectively, AI concepts—including machine learning, neural networks, training data, and algorithmic bias—require more substantial conceptual grounding. Chiu et al. (2023) documented that teachers who lacked deep understanding of how AI systems function struggled to address student questions about model behavior, could not effectively explain why AI systems make errors or exhibit bias, and avoided open-ended discussions of AI ethics due to uncertainty about their own positions. These findings suggest that AI professional development must prioritize building robust conceptual understanding rather than merely training teachers to use AI tools or deliver scripted activities.</w:t>
      </w:r>
    </w:p>
    <w:p w14:paraId="2BAD1091" w14:textId="77777777" w:rsidR="00570462" w:rsidRDefault="00570462" w:rsidP="00570462">
      <w:pPr>
        <w:spacing w:line="360" w:lineRule="auto"/>
        <w:jc w:val="both"/>
      </w:pPr>
    </w:p>
    <w:p w14:paraId="29614499" w14:textId="77777777" w:rsidR="00570462" w:rsidRDefault="00570462" w:rsidP="00570462">
      <w:pPr>
        <w:spacing w:line="360" w:lineRule="auto"/>
        <w:jc w:val="both"/>
      </w:pPr>
      <w:r>
        <w:t>The interdisciplinary nature of AI education creates curriculum integration challenges that professional development must address. Chiu et al. (2023) found that teachers often struggled to locate AI education within existing subject boundaries—uncertain whether it belonged in computer science, mathematics, science, or social studies curricula. This disciplinary ambiguity generated implementation paralysis, with teachers deferring AI instruction until curricular placement was clarified. Successful professional development programs, according to the researchers, explicitly addressed integration strategies, providing examples of how AI concepts could connect to existing subjects and demonstrating that AI education was not merely an additional burden but a vehicle for deepening learning across disciplines.</w:t>
      </w:r>
    </w:p>
    <w:p w14:paraId="139164B9" w14:textId="77777777" w:rsidR="00570462" w:rsidRDefault="00570462" w:rsidP="00570462">
      <w:pPr>
        <w:spacing w:line="360" w:lineRule="auto"/>
        <w:jc w:val="both"/>
      </w:pPr>
    </w:p>
    <w:p w14:paraId="4BD1B717" w14:textId="77777777" w:rsidR="00570462" w:rsidRDefault="00570462" w:rsidP="00570462">
      <w:pPr>
        <w:spacing w:line="360" w:lineRule="auto"/>
        <w:jc w:val="both"/>
      </w:pPr>
      <w:r>
        <w:t xml:space="preserve">Ethical dimensions of AI education present </w:t>
      </w:r>
      <w:proofErr w:type="gramStart"/>
      <w:r>
        <w:t>particular challenges</w:t>
      </w:r>
      <w:proofErr w:type="gramEnd"/>
      <w:r>
        <w:t xml:space="preserve"> for teacher preparation. Chiu et al. (2023) documented that teachers often felt unprepared to facilitate discussions of algorithmic bias, privacy, and AI societal impact—topics requiring nuanced understanding of both technical mechanisms and value-based reasoning. Unlike programming errors that have clear correct solutions, AI ethics questions often involve legitimate disagreement and context-dependent judgment. Professional development that provided teachers with frameworks for ethical reasoning, case studies for discussion, and </w:t>
      </w:r>
      <w:r>
        <w:lastRenderedPageBreak/>
        <w:t>guidance for managing disagreement enabled more confident facilitation of AI ethics components than approaches that assumed teachers could spontaneously lead such discussions.</w:t>
      </w:r>
    </w:p>
    <w:p w14:paraId="4769DBCD" w14:textId="77777777" w:rsidR="00570462" w:rsidRDefault="00570462" w:rsidP="00570462">
      <w:pPr>
        <w:spacing w:line="360" w:lineRule="auto"/>
        <w:jc w:val="both"/>
      </w:pPr>
    </w:p>
    <w:p w14:paraId="43221745" w14:textId="77777777" w:rsidR="00570462" w:rsidRDefault="00570462" w:rsidP="00570462">
      <w:pPr>
        <w:spacing w:line="360" w:lineRule="auto"/>
        <w:jc w:val="both"/>
      </w:pPr>
      <w:r>
        <w:t>The rapid evolution of AI technologies complicates professional development design. Chiu et al. (2023) noted that AI capabilities and applications change so quickly that static professional development content becomes obsolete within months. Successful programs employed strategies for ongoing learning—community of practice structures, regular resource updates, and mechanisms for teachers to share new developments—rather than one-time training events. This dynamic professional development model recognizes that AI literacy is not a fixed competence but an evolving capacity requiring continuous updating.</w:t>
      </w:r>
    </w:p>
    <w:p w14:paraId="0DE39D11" w14:textId="77777777" w:rsidR="00570462" w:rsidRDefault="00570462" w:rsidP="00570462">
      <w:pPr>
        <w:spacing w:line="360" w:lineRule="auto"/>
        <w:jc w:val="both"/>
      </w:pPr>
    </w:p>
    <w:p w14:paraId="700D5756" w14:textId="77777777" w:rsidR="00570462" w:rsidRDefault="00570462" w:rsidP="00570462">
      <w:pPr>
        <w:spacing w:line="360" w:lineRule="auto"/>
        <w:jc w:val="both"/>
      </w:pPr>
      <w:r>
        <w:t xml:space="preserve">For the Ghanaian educational context, AI teacher professional development faces amplified challenges including limited baseline computer science knowledge among teachers, scarce access to AI experts for consultation, and cultural factors that may shape how AI concepts are understood and discussed. Chiu et al.'s (2023) findings suggest that Ghanaian teachers would benefit from extended preparation time, </w:t>
      </w:r>
      <w:proofErr w:type="gramStart"/>
      <w:r>
        <w:t>locally-relevant</w:t>
      </w:r>
      <w:proofErr w:type="gramEnd"/>
      <w:r>
        <w:t xml:space="preserve"> AI case studies that connect to African applications, and ongoing support structures that compensate for limited local expertise. The research emphasizes that effective AI education implementation cannot proceed faster than teacher preparation allows—rushing implementation with unprepared teachers risks poor experiences that damage both teacher confidence and student learning.</w:t>
      </w:r>
    </w:p>
    <w:p w14:paraId="4ADC66FE" w14:textId="77777777" w:rsidR="00570462" w:rsidRDefault="00570462" w:rsidP="00570462">
      <w:pPr>
        <w:spacing w:line="360" w:lineRule="auto"/>
        <w:jc w:val="both"/>
      </w:pPr>
    </w:p>
    <w:p w14:paraId="72F6F0CA" w14:textId="0467F5B8" w:rsidR="00EE2A31" w:rsidRDefault="00570462" w:rsidP="00570462">
      <w:pPr>
        <w:spacing w:line="360" w:lineRule="auto"/>
        <w:jc w:val="both"/>
      </w:pPr>
      <w:r>
        <w:t xml:space="preserve">For the Kone Academy platform, research on AI teacher professional development has shaped extensive scaffolding resources for Level 3 implementation. The platform provides comprehensive teacher guides that explain AI concepts in accessible language, video demonstrations of effective AI lesson facilitation, discussion guides for ethical topics, and clear curriculum integration suggestions. By prioritizing teacher preparation alongside </w:t>
      </w:r>
      <w:r>
        <w:lastRenderedPageBreak/>
        <w:t xml:space="preserve">student curriculum, Kone Academy seeks to ensure that AI education implementation occurs at a pace teachers can support </w:t>
      </w:r>
      <w:proofErr w:type="gramStart"/>
      <w:r>
        <w:t>effectively—recognizing</w:t>
      </w:r>
      <w:proofErr w:type="gramEnd"/>
      <w:r>
        <w:t xml:space="preserve"> that ambitious AI education goals require commensurate investment in teacher capability development.</w:t>
      </w:r>
    </w:p>
    <w:p w14:paraId="068069E6" w14:textId="77777777" w:rsidR="00EE2A31" w:rsidRDefault="00EE2A31" w:rsidP="00EE2A31">
      <w:pPr>
        <w:spacing w:line="360" w:lineRule="auto"/>
        <w:jc w:val="both"/>
      </w:pPr>
      <w:r>
        <w:t>3.8 Gender and Inclusion (400 words)</w:t>
      </w:r>
    </w:p>
    <w:p w14:paraId="076B616B" w14:textId="77777777" w:rsidR="00EE2A31" w:rsidRDefault="00EE2A31" w:rsidP="00EE2A31">
      <w:pPr>
        <w:spacing w:line="360" w:lineRule="auto"/>
        <w:jc w:val="both"/>
      </w:pPr>
      <w:r>
        <w:t xml:space="preserve">   3.8.1 Early Intervention for Girls</w:t>
      </w:r>
    </w:p>
    <w:p w14:paraId="4A1061A1" w14:textId="77777777" w:rsidR="00570462" w:rsidRDefault="00570462" w:rsidP="00570462">
      <w:pPr>
        <w:spacing w:line="360" w:lineRule="auto"/>
        <w:jc w:val="both"/>
      </w:pPr>
      <w:r>
        <w:t>The underrepresentation of girls and women in computer science and technology fields has been extensively documented, with research identifying that gender disparities in computing interest and participation emerge surprisingly early in educational trajectories. Master et al. (2017) conducted seminal research examining when and why girls' interest in computer science begins to decline, finding that stereotypes about computing as a masculine domain take hold during early elementary school years—well before formal computer science instruction typically begins. Their experimental studies with children ages 6-10 demonstrated that girls who encountered computer science activities before absorbing stereotypical associations maintained higher interest and self-efficacy than those whose first exposures occurred after stereotypes had solidified (Master et al., 2017). These findings establish the critical importance of early intervention, suggesting that waiting until middle or high school to engage girls in computing may be too late to counteract stereotypes that have already influenced self-concept and career aspirations.</w:t>
      </w:r>
    </w:p>
    <w:p w14:paraId="717E3C7F" w14:textId="77777777" w:rsidR="00570462" w:rsidRDefault="00570462" w:rsidP="00570462">
      <w:pPr>
        <w:spacing w:line="360" w:lineRule="auto"/>
        <w:jc w:val="both"/>
      </w:pPr>
    </w:p>
    <w:p w14:paraId="12E3BA44" w14:textId="77777777" w:rsidR="00570462" w:rsidRDefault="00570462" w:rsidP="00570462">
      <w:pPr>
        <w:spacing w:line="360" w:lineRule="auto"/>
        <w:jc w:val="both"/>
      </w:pPr>
      <w:r>
        <w:t xml:space="preserve">The mechanisms through which early intervention </w:t>
      </w:r>
      <w:proofErr w:type="gramStart"/>
      <w:r>
        <w:t>affects</w:t>
      </w:r>
      <w:proofErr w:type="gramEnd"/>
      <w:r>
        <w:t xml:space="preserve"> girls' computing trajectories involve self-efficacy development and stereotype threat mitigation. Master et al. (2017) documented that girls who had positive early experiences with programming and robotics developed stronger beliefs in their capability to succeed in computing activities, which in </w:t>
      </w:r>
      <w:proofErr w:type="gramStart"/>
      <w:r>
        <w:t>turn predicted</w:t>
      </w:r>
      <w:proofErr w:type="gramEnd"/>
      <w:r>
        <w:t xml:space="preserve"> sustained interest and continued participation. Conversely, girls whose first computing experiences occurred in contexts where they were aware of gender imbalances or encountered stereotypical messaging showed reduced self-efficacy and increased likelihood of disengagement. This research suggests that the quality and context of early computing exposure </w:t>
      </w:r>
      <w:proofErr w:type="gramStart"/>
      <w:r>
        <w:t>matters</w:t>
      </w:r>
      <w:proofErr w:type="gramEnd"/>
      <w:r>
        <w:t xml:space="preserve"> as much as the timing—interventions that occur in supportive, </w:t>
      </w:r>
      <w:r>
        <w:lastRenderedPageBreak/>
        <w:t>stereotype-free environments produce better outcomes than those that simply provide access without attending to social context.</w:t>
      </w:r>
    </w:p>
    <w:p w14:paraId="456D8C5C" w14:textId="77777777" w:rsidR="00570462" w:rsidRDefault="00570462" w:rsidP="00570462">
      <w:pPr>
        <w:spacing w:line="360" w:lineRule="auto"/>
        <w:jc w:val="both"/>
      </w:pPr>
    </w:p>
    <w:p w14:paraId="16AE6E1B" w14:textId="77777777" w:rsidR="00570462" w:rsidRDefault="00570462" w:rsidP="00570462">
      <w:pPr>
        <w:spacing w:line="360" w:lineRule="auto"/>
        <w:jc w:val="both"/>
      </w:pPr>
      <w:r>
        <w:t xml:space="preserve">The design of early computing interventions for girls requires attention to factors beyond mere accessibility. Master et al. (2017) found that girls responded more positively to computing activities framed as creative expression or social problem-solving than to those framed as technical skill-building or competition. This finding aligns with broader research on gender and motivation, suggesting that computing education designed to appeal broadly should incorporate diverse activity types that resonate with varied interests rather than assuming that all learners will be motivated by the same challenges or rewards. For Kone Academy, this research supports curriculum design that emphasizes creative projects, collaborative activities, and </w:t>
      </w:r>
      <w:proofErr w:type="gramStart"/>
      <w:r>
        <w:t>socially-relevant</w:t>
      </w:r>
      <w:proofErr w:type="gramEnd"/>
      <w:r>
        <w:t xml:space="preserve"> applications alongside technical skill development.</w:t>
      </w:r>
    </w:p>
    <w:p w14:paraId="3CC2BCA1" w14:textId="77777777" w:rsidR="00570462" w:rsidRDefault="00570462" w:rsidP="00570462">
      <w:pPr>
        <w:spacing w:line="360" w:lineRule="auto"/>
        <w:jc w:val="both"/>
      </w:pPr>
    </w:p>
    <w:p w14:paraId="15CB3685" w14:textId="77777777" w:rsidR="00570462" w:rsidRDefault="00570462" w:rsidP="00570462">
      <w:pPr>
        <w:spacing w:line="360" w:lineRule="auto"/>
        <w:jc w:val="both"/>
      </w:pPr>
      <w:r>
        <w:t xml:space="preserve">The cultural dimension of gender and computing requires attention in Ghanaian contexts, where traditional gender roles may interact with computing stereotypes to produce distinctive barriers for girls. While Master et al.'s (2017) research was conducted in Western contexts, the underlying principle—that early positive experiences can inoculate against later stereotype threat—appears transferable. However, the specific content and framing of effective interventions may require cultural adaptation to resonate with Ghanaian girls' values, interests, and social contexts. Research on gender and STEM in African contexts suggests that family and community support, visible female role models, and explicit connections between computing and </w:t>
      </w:r>
      <w:proofErr w:type="gramStart"/>
      <w:r>
        <w:t>locally-valued</w:t>
      </w:r>
      <w:proofErr w:type="gramEnd"/>
      <w:r>
        <w:t xml:space="preserve"> outcomes (such as community development or entrepreneurship) may be particularly important for sustaining girls' engagement.</w:t>
      </w:r>
    </w:p>
    <w:p w14:paraId="2FF7517A" w14:textId="77777777" w:rsidR="00570462" w:rsidRDefault="00570462" w:rsidP="00570462">
      <w:pPr>
        <w:spacing w:line="360" w:lineRule="auto"/>
        <w:jc w:val="both"/>
      </w:pPr>
    </w:p>
    <w:p w14:paraId="22E70AD7" w14:textId="3DFD81E6" w:rsidR="00EE2A31" w:rsidRDefault="00570462" w:rsidP="00570462">
      <w:pPr>
        <w:spacing w:line="360" w:lineRule="auto"/>
        <w:jc w:val="both"/>
      </w:pPr>
      <w:r>
        <w:lastRenderedPageBreak/>
        <w:t xml:space="preserve">For the Kone Academy platform, research on early intervention for girls informs design decisions across all three curriculum levels. The platform incorporates features specifically intended to support girls' engagement: diverse project exemplars including female creators, collaborative structures that enable peer learning and social interaction, and curriculum connections to </w:t>
      </w:r>
      <w:proofErr w:type="gramStart"/>
      <w:r>
        <w:t>socially-relevant</w:t>
      </w:r>
      <w:proofErr w:type="gramEnd"/>
      <w:r>
        <w:t xml:space="preserve"> applications of computing. By providing positive early computing experiences in stereotype-reducing contexts, Kone Academy seeks to contribute to gender equity in </w:t>
      </w:r>
      <w:proofErr w:type="gramStart"/>
      <w:r>
        <w:t>computing—</w:t>
      </w:r>
      <w:proofErr w:type="gramEnd"/>
      <w:r>
        <w:t xml:space="preserve">recognizing that achieving representative participation requires intentional design decisions rather than </w:t>
      </w:r>
      <w:proofErr w:type="gramStart"/>
      <w:r>
        <w:t>assuming that</w:t>
      </w:r>
      <w:proofErr w:type="gramEnd"/>
      <w:r>
        <w:t xml:space="preserve"> gender-neutral platforms will produce equitable outcomes.</w:t>
      </w:r>
      <w:r w:rsidR="00EE2A31">
        <w:t xml:space="preserve">   </w:t>
      </w:r>
    </w:p>
    <w:p w14:paraId="14978EB5" w14:textId="77777777" w:rsidR="00EE2A31" w:rsidRDefault="00EE2A31" w:rsidP="00EE2A31">
      <w:pPr>
        <w:spacing w:line="360" w:lineRule="auto"/>
        <w:jc w:val="both"/>
      </w:pPr>
      <w:r>
        <w:t xml:space="preserve">   3.8.2 Systematic Reviews on Gender in CS</w:t>
      </w:r>
    </w:p>
    <w:p w14:paraId="7ADE45B9" w14:textId="77777777" w:rsidR="00570462" w:rsidRDefault="00570462" w:rsidP="00570462">
      <w:pPr>
        <w:spacing w:line="360" w:lineRule="auto"/>
        <w:jc w:val="both"/>
      </w:pPr>
      <w:r>
        <w:t>The gender gap in computer science has been extensively examined through systematic reviews that synthesize empirical evidence on causes, manifestations, and intervention effectiveness. Grissom et al. (2021) conducted a comprehensive systematic review examining gender disparities in computing education, analyzing 61 empirical studies published between 2014 and 2019. Their analysis confirmed persistent underrepresentation of girls and women across computing education contexts, while identifying that disparities are not uniform—they vary across educational levels, cultural contexts, and computing subdisciplines. The review documented that gender gaps are smallest in early elementary computing activities, widen substantially during adolescence, and reach their maximum in higher education and professional computing—suggesting that educational interventions may have their greatest impact when implemented before secondary school when gaps are still relatively narrow (Grissom et al., 2021).</w:t>
      </w:r>
    </w:p>
    <w:p w14:paraId="3C25CC22" w14:textId="77777777" w:rsidR="00570462" w:rsidRDefault="00570462" w:rsidP="00570462">
      <w:pPr>
        <w:spacing w:line="360" w:lineRule="auto"/>
        <w:jc w:val="both"/>
      </w:pPr>
    </w:p>
    <w:p w14:paraId="11150CFF" w14:textId="77777777" w:rsidR="00570462" w:rsidRDefault="00570462" w:rsidP="00570462">
      <w:pPr>
        <w:spacing w:line="360" w:lineRule="auto"/>
        <w:jc w:val="both"/>
      </w:pPr>
      <w:r>
        <w:t xml:space="preserve">Margolis et al. (2023) contributed to this literature through a systematic review specifically examining intervention strategies for addressing gender disparities in K-12 computing. Their analysis of 47 intervention studies identified several approaches with demonstrated effectiveness: mentorship programs connecting girls with female computing professionals, extracurricular computing clubs providing stereotype-free learning environments, </w:t>
      </w:r>
      <w:r>
        <w:lastRenderedPageBreak/>
        <w:t>curriculum modifications that emphasize social relevance and creative applications of computing, and explicit instruction addressing stereotype threat and growth mindset. The review emphasized that single-intervention approaches show limited sustained impact, while comprehensive programs combining multiple strategies produce more durable changes in participation and persistence (Margolis et al., 2023).</w:t>
      </w:r>
    </w:p>
    <w:p w14:paraId="6FA0418A" w14:textId="77777777" w:rsidR="00570462" w:rsidRDefault="00570462" w:rsidP="00570462">
      <w:pPr>
        <w:spacing w:line="360" w:lineRule="auto"/>
        <w:jc w:val="both"/>
      </w:pPr>
    </w:p>
    <w:p w14:paraId="71FF4018" w14:textId="77777777" w:rsidR="00570462" w:rsidRDefault="00570462" w:rsidP="00570462">
      <w:pPr>
        <w:spacing w:line="360" w:lineRule="auto"/>
        <w:jc w:val="both"/>
      </w:pPr>
      <w:r>
        <w:t>The mechanisms through which effective interventions operate extend beyond mere exposure to computing activities. Grissom et al. (2021) documented that successful interventions address both individual-level factors (self-efficacy, interest, identity) and environmental factors (stereotypes, peer culture, classroom climate). Interventions focusing solely on building girls' technical skills without addressing social context show limited impact, as girls may develop capability without developing the sense of belonging that sustains participation. Conversely, interventions that create supportive peer communities and counter stereotypical messaging enable girls to maintain engagement even when encountering technical challenges that might otherwise prompt disengagement.</w:t>
      </w:r>
    </w:p>
    <w:p w14:paraId="684AC763" w14:textId="77777777" w:rsidR="00570462" w:rsidRDefault="00570462" w:rsidP="00570462">
      <w:pPr>
        <w:spacing w:line="360" w:lineRule="auto"/>
        <w:jc w:val="both"/>
      </w:pPr>
    </w:p>
    <w:p w14:paraId="17D005BF" w14:textId="77777777" w:rsidR="00570462" w:rsidRDefault="00570462" w:rsidP="00570462">
      <w:pPr>
        <w:spacing w:line="360" w:lineRule="auto"/>
        <w:jc w:val="both"/>
      </w:pPr>
      <w:r>
        <w:t xml:space="preserve">The cultural specificity of gender and computing represents an important consideration for intervention design. While systematic reviews by Grissom et al. (2021) and Margolis et al. (2023) were conducted primarily with Western contexts, the fundamental </w:t>
      </w:r>
      <w:proofErr w:type="gramStart"/>
      <w:r>
        <w:t>mechanisms—</w:t>
      </w:r>
      <w:proofErr w:type="gramEnd"/>
      <w:r>
        <w:t>stereotype threat, self-efficacy</w:t>
      </w:r>
      <w:proofErr w:type="gramStart"/>
      <w:r>
        <w:t>, sense</w:t>
      </w:r>
      <w:proofErr w:type="gramEnd"/>
      <w:r>
        <w:t xml:space="preserve"> of belonging—appear transferable across cultures, even as their specific manifestations may differ. For Ghanaian contexts, where traditional gender roles may interact with computing stereotypes in distinctive ways, interventions must attend to local cultural norms while addressing universal barriers to girls' participation.</w:t>
      </w:r>
    </w:p>
    <w:p w14:paraId="22792FA1" w14:textId="77777777" w:rsidR="00570462" w:rsidRDefault="00570462" w:rsidP="00570462">
      <w:pPr>
        <w:spacing w:line="360" w:lineRule="auto"/>
        <w:jc w:val="both"/>
      </w:pPr>
    </w:p>
    <w:p w14:paraId="429276E1" w14:textId="1E24F2A8" w:rsidR="00EE2A31" w:rsidRDefault="00570462" w:rsidP="00570462">
      <w:pPr>
        <w:spacing w:line="360" w:lineRule="auto"/>
        <w:jc w:val="both"/>
      </w:pPr>
      <w:r>
        <w:t xml:space="preserve">For Kone Academy, research on gender in computer science informs platform design decisions intended to support equitable participation. The platform incorporates diverse role models and exemplars, emphasizes collaborative and creative computing activities, </w:t>
      </w:r>
      <w:r>
        <w:lastRenderedPageBreak/>
        <w:t>provides multiple pathways for success that accommodate different learning approaches, and includes explicit attention to growth mindset and stereotype inoculation. By implementing evidence-based strategies from systematic reviews while attending to Ghanaian cultural contexts, Kone Academy seeks to contribute to gender equity in computing education.</w:t>
      </w:r>
      <w:r w:rsidR="00EE2A31">
        <w:t xml:space="preserve">   </w:t>
      </w:r>
    </w:p>
    <w:p w14:paraId="07E75F8C" w14:textId="77777777" w:rsidR="00EE2A31" w:rsidRDefault="00EE2A31" w:rsidP="00EE2A31">
      <w:pPr>
        <w:spacing w:line="360" w:lineRule="auto"/>
        <w:jc w:val="both"/>
      </w:pPr>
      <w:r>
        <w:t xml:space="preserve">   3.8.3 Inclusive Design Principles</w:t>
      </w:r>
    </w:p>
    <w:p w14:paraId="5249451E" w14:textId="77777777" w:rsidR="00EE2A31" w:rsidRDefault="00EE2A31" w:rsidP="00EE2A31">
      <w:pPr>
        <w:spacing w:line="360" w:lineRule="auto"/>
        <w:jc w:val="both"/>
      </w:pPr>
      <w:r>
        <w:t xml:space="preserve">      - Universal Design for Learning</w:t>
      </w:r>
    </w:p>
    <w:p w14:paraId="5FED5FC5" w14:textId="77777777" w:rsidR="00EE2A31" w:rsidRDefault="00EE2A31" w:rsidP="00EE2A31">
      <w:pPr>
        <w:spacing w:line="360" w:lineRule="auto"/>
        <w:jc w:val="both"/>
      </w:pPr>
      <w:r>
        <w:t xml:space="preserve">      - Addressing multiple barriers</w:t>
      </w:r>
    </w:p>
    <w:p w14:paraId="307FFA89" w14:textId="77777777" w:rsidR="00EE2A31" w:rsidRDefault="00EE2A31" w:rsidP="00EE2A31">
      <w:pPr>
        <w:spacing w:line="360" w:lineRule="auto"/>
        <w:jc w:val="both"/>
      </w:pPr>
      <w:r>
        <w:t xml:space="preserve">      - Culturally responsive pedagogy</w:t>
      </w:r>
    </w:p>
    <w:p w14:paraId="38BB17D0" w14:textId="77777777" w:rsidR="00EE2A31" w:rsidRDefault="00EE2A31" w:rsidP="00EE2A31">
      <w:pPr>
        <w:spacing w:line="360" w:lineRule="auto"/>
        <w:jc w:val="both"/>
      </w:pPr>
    </w:p>
    <w:p w14:paraId="7C8D4952" w14:textId="77777777" w:rsidR="00EE2A31" w:rsidRDefault="00EE2A31" w:rsidP="00EE2A31">
      <w:pPr>
        <w:spacing w:line="360" w:lineRule="auto"/>
        <w:jc w:val="both"/>
      </w:pPr>
      <w:r>
        <w:t>3.9 Research Gaps and Opportunities (300 words)</w:t>
      </w:r>
    </w:p>
    <w:p w14:paraId="5342C8EC" w14:textId="77777777" w:rsidR="00EE2A31" w:rsidRDefault="00EE2A31" w:rsidP="00EE2A31">
      <w:pPr>
        <w:spacing w:line="360" w:lineRule="auto"/>
        <w:jc w:val="both"/>
      </w:pPr>
      <w:r>
        <w:t xml:space="preserve">   - Limited African context research</w:t>
      </w:r>
    </w:p>
    <w:p w14:paraId="4422E292" w14:textId="77777777" w:rsidR="00EE2A31" w:rsidRDefault="00EE2A31" w:rsidP="00EE2A31">
      <w:pPr>
        <w:spacing w:line="360" w:lineRule="auto"/>
        <w:jc w:val="both"/>
      </w:pPr>
      <w:r>
        <w:t xml:space="preserve">   - Gap between block-based and text-based (the "middle")</w:t>
      </w:r>
    </w:p>
    <w:p w14:paraId="095AD6E8" w14:textId="77777777" w:rsidR="00EE2A31" w:rsidRDefault="00EE2A31" w:rsidP="00EE2A31">
      <w:pPr>
        <w:spacing w:line="360" w:lineRule="auto"/>
        <w:jc w:val="both"/>
      </w:pPr>
      <w:r>
        <w:t xml:space="preserve">   - Integrated Coding→Robotics→AI progression studies</w:t>
      </w:r>
    </w:p>
    <w:p w14:paraId="7CF329EA" w14:textId="77777777" w:rsidR="00EE2A31" w:rsidRDefault="00EE2A31" w:rsidP="00EE2A31">
      <w:pPr>
        <w:spacing w:line="360" w:lineRule="auto"/>
        <w:jc w:val="both"/>
      </w:pPr>
      <w:r>
        <w:t xml:space="preserve">   - Offline-first platform pedagogical research</w:t>
      </w:r>
    </w:p>
    <w:p w14:paraId="179BF996" w14:textId="77777777" w:rsidR="00EE2A31" w:rsidRDefault="00EE2A31" w:rsidP="00EE2A31">
      <w:pPr>
        <w:spacing w:line="360" w:lineRule="auto"/>
        <w:jc w:val="both"/>
      </w:pPr>
      <w:r>
        <w:t xml:space="preserve">   - Long-term outcome studies</w:t>
      </w:r>
    </w:p>
    <w:p w14:paraId="55C2A178" w14:textId="77777777" w:rsidR="00EE2A31" w:rsidRDefault="00EE2A31" w:rsidP="00EE2A31">
      <w:pPr>
        <w:spacing w:line="360" w:lineRule="auto"/>
        <w:jc w:val="both"/>
      </w:pPr>
    </w:p>
    <w:p w14:paraId="26B9585B" w14:textId="77777777" w:rsidR="00EE2A31" w:rsidRDefault="00EE2A31" w:rsidP="00EE2A31">
      <w:pPr>
        <w:spacing w:line="360" w:lineRule="auto"/>
        <w:jc w:val="both"/>
      </w:pPr>
      <w:r>
        <w:t>================================================================================</w:t>
      </w:r>
    </w:p>
    <w:p w14:paraId="2F7F53C8" w14:textId="77777777" w:rsidR="00EE2A31" w:rsidRDefault="00EE2A31" w:rsidP="00EE2A31">
      <w:pPr>
        <w:spacing w:line="360" w:lineRule="auto"/>
        <w:jc w:val="both"/>
      </w:pPr>
      <w:r>
        <w:t>SECTION 4: THE KONE ACADEMY PLATFORM (2,000-2,500 words)</w:t>
      </w:r>
    </w:p>
    <w:p w14:paraId="42BDE664" w14:textId="77777777" w:rsidR="00EE2A31" w:rsidRDefault="00EE2A31" w:rsidP="00EE2A31">
      <w:pPr>
        <w:spacing w:line="360" w:lineRule="auto"/>
        <w:jc w:val="both"/>
      </w:pPr>
      <w:r>
        <w:t>================================================================================</w:t>
      </w:r>
    </w:p>
    <w:p w14:paraId="0A3C4FCA" w14:textId="77777777" w:rsidR="00EE2A31" w:rsidRDefault="00EE2A31" w:rsidP="00EE2A31">
      <w:pPr>
        <w:spacing w:line="360" w:lineRule="auto"/>
        <w:jc w:val="both"/>
      </w:pPr>
    </w:p>
    <w:p w14:paraId="46CDBA78" w14:textId="77777777" w:rsidR="00EE2A31" w:rsidRDefault="00EE2A31" w:rsidP="00EE2A31">
      <w:pPr>
        <w:spacing w:line="360" w:lineRule="auto"/>
        <w:jc w:val="both"/>
      </w:pPr>
      <w:r>
        <w:lastRenderedPageBreak/>
        <w:t>4.1 Design Philosophy and Principles (400 words)</w:t>
      </w:r>
    </w:p>
    <w:p w14:paraId="5D776F60" w14:textId="77777777" w:rsidR="00EE2A31" w:rsidRDefault="00EE2A31" w:rsidP="00EE2A31">
      <w:pPr>
        <w:spacing w:line="360" w:lineRule="auto"/>
        <w:jc w:val="both"/>
      </w:pPr>
      <w:r>
        <w:t xml:space="preserve">   4.1.1 Contextual Adaptation</w:t>
      </w:r>
    </w:p>
    <w:p w14:paraId="49F8914A" w14:textId="77777777" w:rsidR="00EE2A31" w:rsidRDefault="00EE2A31" w:rsidP="00EE2A31">
      <w:pPr>
        <w:spacing w:line="360" w:lineRule="auto"/>
        <w:jc w:val="both"/>
      </w:pPr>
      <w:r>
        <w:t xml:space="preserve">      - Ghanaian curriculum alignment</w:t>
      </w:r>
    </w:p>
    <w:p w14:paraId="5FEA8E6F" w14:textId="77777777" w:rsidR="00EE2A31" w:rsidRDefault="00EE2A31" w:rsidP="00EE2A31">
      <w:pPr>
        <w:spacing w:line="360" w:lineRule="auto"/>
        <w:jc w:val="both"/>
      </w:pPr>
      <w:r>
        <w:t xml:space="preserve">      - Local content and examples</w:t>
      </w:r>
    </w:p>
    <w:p w14:paraId="44672E43" w14:textId="77777777" w:rsidR="00EE2A31" w:rsidRDefault="00EE2A31" w:rsidP="00EE2A31">
      <w:pPr>
        <w:spacing w:line="360" w:lineRule="auto"/>
        <w:jc w:val="both"/>
      </w:pPr>
      <w:r>
        <w:t xml:space="preserve">      - Language considerations</w:t>
      </w:r>
    </w:p>
    <w:p w14:paraId="4566966F" w14:textId="77777777" w:rsidR="00EE2A31" w:rsidRDefault="00EE2A31" w:rsidP="00EE2A31">
      <w:pPr>
        <w:spacing w:line="360" w:lineRule="auto"/>
        <w:jc w:val="both"/>
      </w:pPr>
      <w:r>
        <w:t xml:space="preserve">   </w:t>
      </w:r>
    </w:p>
    <w:p w14:paraId="0BA5EEDA" w14:textId="77777777" w:rsidR="00EE2A31" w:rsidRDefault="00EE2A31" w:rsidP="00EE2A31">
      <w:pPr>
        <w:spacing w:line="360" w:lineRule="auto"/>
        <w:jc w:val="both"/>
      </w:pPr>
      <w:r>
        <w:t xml:space="preserve">   4.1.2 Progressive Scaffolding</w:t>
      </w:r>
    </w:p>
    <w:p w14:paraId="77C8E274" w14:textId="77777777" w:rsidR="00EE2A31" w:rsidRDefault="00EE2A31" w:rsidP="00EE2A31">
      <w:pPr>
        <w:spacing w:line="360" w:lineRule="auto"/>
        <w:jc w:val="both"/>
      </w:pPr>
      <w:r>
        <w:t xml:space="preserve">      - Three-tiered approach rationale</w:t>
      </w:r>
    </w:p>
    <w:p w14:paraId="70A4845C" w14:textId="77777777" w:rsidR="00EE2A31" w:rsidRDefault="00EE2A31" w:rsidP="00EE2A31">
      <w:pPr>
        <w:spacing w:line="360" w:lineRule="auto"/>
        <w:jc w:val="both"/>
      </w:pPr>
      <w:r>
        <w:t xml:space="preserve">      - Lev Vygotsky's ZPD application</w:t>
      </w:r>
    </w:p>
    <w:p w14:paraId="72769FF3" w14:textId="77777777" w:rsidR="00EE2A31" w:rsidRDefault="00EE2A31" w:rsidP="00EE2A31">
      <w:pPr>
        <w:spacing w:line="360" w:lineRule="auto"/>
        <w:jc w:val="both"/>
      </w:pPr>
      <w:r>
        <w:t xml:space="preserve">      - Fade scaffolds gradually</w:t>
      </w:r>
    </w:p>
    <w:p w14:paraId="4BE32816" w14:textId="77777777" w:rsidR="00EE2A31" w:rsidRDefault="00EE2A31" w:rsidP="00EE2A31">
      <w:pPr>
        <w:spacing w:line="360" w:lineRule="auto"/>
        <w:jc w:val="both"/>
      </w:pPr>
      <w:r>
        <w:t xml:space="preserve">   </w:t>
      </w:r>
    </w:p>
    <w:p w14:paraId="6485A2BD" w14:textId="77777777" w:rsidR="00EE2A31" w:rsidRDefault="00EE2A31" w:rsidP="00EE2A31">
      <w:pPr>
        <w:spacing w:line="360" w:lineRule="auto"/>
        <w:jc w:val="both"/>
      </w:pPr>
      <w:r>
        <w:t xml:space="preserve">   4.1.3 Offline-First Architecture</w:t>
      </w:r>
    </w:p>
    <w:p w14:paraId="75C12930" w14:textId="77777777" w:rsidR="00EE2A31" w:rsidRDefault="00EE2A31" w:rsidP="00EE2A31">
      <w:pPr>
        <w:spacing w:line="360" w:lineRule="auto"/>
        <w:jc w:val="both"/>
      </w:pPr>
      <w:r>
        <w:t xml:space="preserve">      - Low-bandwidth design</w:t>
      </w:r>
    </w:p>
    <w:p w14:paraId="0E56124C" w14:textId="77777777" w:rsidR="00EE2A31" w:rsidRDefault="00EE2A31" w:rsidP="00EE2A31">
      <w:pPr>
        <w:spacing w:line="360" w:lineRule="auto"/>
        <w:jc w:val="both"/>
      </w:pPr>
      <w:r>
        <w:t xml:space="preserve">      - Sync when connected</w:t>
      </w:r>
    </w:p>
    <w:p w14:paraId="1708AAD4" w14:textId="77777777" w:rsidR="00EE2A31" w:rsidRDefault="00EE2A31" w:rsidP="00EE2A31">
      <w:pPr>
        <w:spacing w:line="360" w:lineRule="auto"/>
        <w:jc w:val="both"/>
      </w:pPr>
      <w:r>
        <w:t xml:space="preserve">      - Local data storage</w:t>
      </w:r>
    </w:p>
    <w:p w14:paraId="428E49DA" w14:textId="77777777" w:rsidR="00EE2A31" w:rsidRDefault="00EE2A31" w:rsidP="00EE2A31">
      <w:pPr>
        <w:spacing w:line="360" w:lineRule="auto"/>
        <w:jc w:val="both"/>
      </w:pPr>
    </w:p>
    <w:p w14:paraId="67B40AEE" w14:textId="77777777" w:rsidR="00EE2A31" w:rsidRDefault="00EE2A31" w:rsidP="00EE2A31">
      <w:pPr>
        <w:spacing w:line="360" w:lineRule="auto"/>
        <w:jc w:val="both"/>
      </w:pPr>
      <w:r>
        <w:t>4.2 Level 1: Foundational Coding (600 words)</w:t>
      </w:r>
    </w:p>
    <w:p w14:paraId="01144B65" w14:textId="77777777" w:rsidR="00EE2A31" w:rsidRDefault="00EE2A31" w:rsidP="00EE2A31">
      <w:pPr>
        <w:spacing w:line="360" w:lineRule="auto"/>
        <w:jc w:val="both"/>
      </w:pPr>
      <w:r>
        <w:t xml:space="preserve">   4.2.1 Custom Blockly Engine</w:t>
      </w:r>
    </w:p>
    <w:p w14:paraId="029D09A2" w14:textId="77777777" w:rsidR="00EE2A31" w:rsidRDefault="00EE2A31" w:rsidP="00EE2A31">
      <w:pPr>
        <w:spacing w:line="360" w:lineRule="auto"/>
        <w:jc w:val="both"/>
      </w:pPr>
      <w:r>
        <w:t xml:space="preserve">      - Technical architecture</w:t>
      </w:r>
    </w:p>
    <w:p w14:paraId="5D873835" w14:textId="77777777" w:rsidR="00EE2A31" w:rsidRDefault="00EE2A31" w:rsidP="00EE2A31">
      <w:pPr>
        <w:spacing w:line="360" w:lineRule="auto"/>
        <w:jc w:val="both"/>
      </w:pPr>
      <w:r>
        <w:t xml:space="preserve">      - Modifications from standard Blockly</w:t>
      </w:r>
    </w:p>
    <w:p w14:paraId="278442F9" w14:textId="77777777" w:rsidR="00EE2A31" w:rsidRDefault="00EE2A31" w:rsidP="00EE2A31">
      <w:pPr>
        <w:spacing w:line="360" w:lineRule="auto"/>
        <w:jc w:val="both"/>
      </w:pPr>
      <w:r>
        <w:t xml:space="preserve">      - Ghana-specific blocks and examples</w:t>
      </w:r>
    </w:p>
    <w:p w14:paraId="180A2366" w14:textId="77777777" w:rsidR="00EE2A31" w:rsidRDefault="00EE2A31" w:rsidP="00EE2A31">
      <w:pPr>
        <w:spacing w:line="360" w:lineRule="auto"/>
        <w:jc w:val="both"/>
      </w:pPr>
      <w:r>
        <w:t xml:space="preserve">   </w:t>
      </w:r>
    </w:p>
    <w:p w14:paraId="57FCCAD5" w14:textId="77777777" w:rsidR="00EE2A31" w:rsidRDefault="00EE2A31" w:rsidP="00EE2A31">
      <w:pPr>
        <w:spacing w:line="360" w:lineRule="auto"/>
        <w:jc w:val="both"/>
      </w:pPr>
      <w:r>
        <w:lastRenderedPageBreak/>
        <w:t xml:space="preserve">   4.2.2 Curriculum Scope and Sequence</w:t>
      </w:r>
    </w:p>
    <w:p w14:paraId="17FE31DC" w14:textId="77777777" w:rsidR="00EE2A31" w:rsidRDefault="00EE2A31" w:rsidP="00EE2A31">
      <w:pPr>
        <w:spacing w:line="360" w:lineRule="auto"/>
        <w:jc w:val="both"/>
      </w:pPr>
      <w:r>
        <w:t xml:space="preserve">      - Age-appropriate activities (Ages 7-11)</w:t>
      </w:r>
    </w:p>
    <w:p w14:paraId="0DCB8EA8" w14:textId="77777777" w:rsidR="00EE2A31" w:rsidRDefault="00EE2A31" w:rsidP="00EE2A31">
      <w:pPr>
        <w:spacing w:line="360" w:lineRule="auto"/>
        <w:jc w:val="both"/>
      </w:pPr>
      <w:r>
        <w:t xml:space="preserve">      - Computational thinking concepts</w:t>
      </w:r>
    </w:p>
    <w:p w14:paraId="552C6C51" w14:textId="77777777" w:rsidR="00EE2A31" w:rsidRDefault="00EE2A31" w:rsidP="00EE2A31">
      <w:pPr>
        <w:spacing w:line="360" w:lineRule="auto"/>
        <w:jc w:val="both"/>
      </w:pPr>
      <w:r>
        <w:t xml:space="preserve">      - Project-based learning</w:t>
      </w:r>
    </w:p>
    <w:p w14:paraId="24443C7D" w14:textId="77777777" w:rsidR="00EE2A31" w:rsidRDefault="00EE2A31" w:rsidP="00EE2A31">
      <w:pPr>
        <w:spacing w:line="360" w:lineRule="auto"/>
        <w:jc w:val="both"/>
      </w:pPr>
      <w:r>
        <w:t xml:space="preserve">      - Assessment integration</w:t>
      </w:r>
    </w:p>
    <w:p w14:paraId="68D151D0" w14:textId="77777777" w:rsidR="00EE2A31" w:rsidRDefault="00EE2A31" w:rsidP="00EE2A31">
      <w:pPr>
        <w:spacing w:line="360" w:lineRule="auto"/>
        <w:jc w:val="both"/>
      </w:pPr>
      <w:r>
        <w:t xml:space="preserve">   </w:t>
      </w:r>
    </w:p>
    <w:p w14:paraId="413C8090" w14:textId="77777777" w:rsidR="00EE2A31" w:rsidRDefault="00EE2A31" w:rsidP="00EE2A31">
      <w:pPr>
        <w:spacing w:line="360" w:lineRule="auto"/>
        <w:jc w:val="both"/>
      </w:pPr>
      <w:r>
        <w:t xml:space="preserve">   4.2.3 Pedagogical Features</w:t>
      </w:r>
    </w:p>
    <w:p w14:paraId="491CF2A6" w14:textId="77777777" w:rsidR="00EE2A31" w:rsidRDefault="00EE2A31" w:rsidP="00EE2A31">
      <w:pPr>
        <w:spacing w:line="360" w:lineRule="auto"/>
        <w:jc w:val="both"/>
      </w:pPr>
      <w:r>
        <w:t xml:space="preserve">      - Visual feedback mechanisms</w:t>
      </w:r>
    </w:p>
    <w:p w14:paraId="76959814" w14:textId="77777777" w:rsidR="00EE2A31" w:rsidRDefault="00EE2A31" w:rsidP="00EE2A31">
      <w:pPr>
        <w:spacing w:line="360" w:lineRule="auto"/>
        <w:jc w:val="both"/>
      </w:pPr>
      <w:r>
        <w:t xml:space="preserve">      - Error handling for beginners</w:t>
      </w:r>
    </w:p>
    <w:p w14:paraId="63F825EF" w14:textId="77777777" w:rsidR="00EE2A31" w:rsidRDefault="00EE2A31" w:rsidP="00EE2A31">
      <w:pPr>
        <w:spacing w:line="360" w:lineRule="auto"/>
        <w:jc w:val="both"/>
      </w:pPr>
      <w:r>
        <w:t xml:space="preserve">      - Collaboration tools (local network)</w:t>
      </w:r>
    </w:p>
    <w:p w14:paraId="41D4269A" w14:textId="77777777" w:rsidR="00EE2A31" w:rsidRDefault="00EE2A31" w:rsidP="00EE2A31">
      <w:pPr>
        <w:spacing w:line="360" w:lineRule="auto"/>
        <w:jc w:val="both"/>
      </w:pPr>
      <w:r>
        <w:t xml:space="preserve">      - Progress tracking</w:t>
      </w:r>
    </w:p>
    <w:p w14:paraId="02D9C78D" w14:textId="77777777" w:rsidR="00EE2A31" w:rsidRDefault="00EE2A31" w:rsidP="00EE2A31">
      <w:pPr>
        <w:spacing w:line="360" w:lineRule="auto"/>
        <w:jc w:val="both"/>
      </w:pPr>
    </w:p>
    <w:p w14:paraId="77C92B62" w14:textId="77777777" w:rsidR="00EE2A31" w:rsidRDefault="00EE2A31" w:rsidP="00EE2A31">
      <w:pPr>
        <w:spacing w:line="360" w:lineRule="auto"/>
        <w:jc w:val="both"/>
      </w:pPr>
      <w:r>
        <w:t>4.3 Level 2: Robotics and Physical Computing (500 words)</w:t>
      </w:r>
    </w:p>
    <w:p w14:paraId="7B925386" w14:textId="77777777" w:rsidR="00EE2A31" w:rsidRDefault="00EE2A31" w:rsidP="00EE2A31">
      <w:pPr>
        <w:spacing w:line="360" w:lineRule="auto"/>
        <w:jc w:val="both"/>
      </w:pPr>
      <w:r>
        <w:t xml:space="preserve">   4.3.1 Transition Mechanisms</w:t>
      </w:r>
    </w:p>
    <w:p w14:paraId="379B3570" w14:textId="77777777" w:rsidR="00EE2A31" w:rsidRDefault="00EE2A31" w:rsidP="00EE2A31">
      <w:pPr>
        <w:spacing w:line="360" w:lineRule="auto"/>
        <w:jc w:val="both"/>
      </w:pPr>
      <w:r>
        <w:t xml:space="preserve">      - From virtual to physical</w:t>
      </w:r>
    </w:p>
    <w:p w14:paraId="585DE9F8" w14:textId="77777777" w:rsidR="00EE2A31" w:rsidRDefault="00EE2A31" w:rsidP="00EE2A31">
      <w:pPr>
        <w:spacing w:line="360" w:lineRule="auto"/>
        <w:jc w:val="both"/>
      </w:pPr>
      <w:r>
        <w:t xml:space="preserve">      - Arduino integration</w:t>
      </w:r>
    </w:p>
    <w:p w14:paraId="25E5B898" w14:textId="77777777" w:rsidR="00EE2A31" w:rsidRDefault="00EE2A31" w:rsidP="00EE2A31">
      <w:pPr>
        <w:spacing w:line="360" w:lineRule="auto"/>
        <w:jc w:val="both"/>
      </w:pPr>
      <w:r>
        <w:t xml:space="preserve">      - Safety protocols</w:t>
      </w:r>
    </w:p>
    <w:p w14:paraId="78E76F77" w14:textId="77777777" w:rsidR="00EE2A31" w:rsidRDefault="00EE2A31" w:rsidP="00EE2A31">
      <w:pPr>
        <w:spacing w:line="360" w:lineRule="auto"/>
        <w:jc w:val="both"/>
      </w:pPr>
      <w:r>
        <w:t xml:space="preserve">   </w:t>
      </w:r>
    </w:p>
    <w:p w14:paraId="61AC16AC" w14:textId="77777777" w:rsidR="00EE2A31" w:rsidRDefault="00EE2A31" w:rsidP="00EE2A31">
      <w:pPr>
        <w:spacing w:line="360" w:lineRule="auto"/>
        <w:jc w:val="both"/>
      </w:pPr>
      <w:r>
        <w:t xml:space="preserve">   4.3.2 Hardware Considerations</w:t>
      </w:r>
    </w:p>
    <w:p w14:paraId="21EEBACC" w14:textId="77777777" w:rsidR="00EE2A31" w:rsidRDefault="00EE2A31" w:rsidP="00EE2A31">
      <w:pPr>
        <w:spacing w:line="360" w:lineRule="auto"/>
        <w:jc w:val="both"/>
      </w:pPr>
      <w:r>
        <w:t xml:space="preserve">      - Low-cost component selection</w:t>
      </w:r>
    </w:p>
    <w:p w14:paraId="5E80F6AE" w14:textId="77777777" w:rsidR="00EE2A31" w:rsidRDefault="00EE2A31" w:rsidP="00EE2A31">
      <w:pPr>
        <w:spacing w:line="360" w:lineRule="auto"/>
        <w:jc w:val="both"/>
      </w:pPr>
      <w:r>
        <w:t xml:space="preserve">      - Durability for school environments</w:t>
      </w:r>
    </w:p>
    <w:p w14:paraId="1484517F" w14:textId="77777777" w:rsidR="00EE2A31" w:rsidRDefault="00EE2A31" w:rsidP="00EE2A31">
      <w:pPr>
        <w:spacing w:line="360" w:lineRule="auto"/>
        <w:jc w:val="both"/>
      </w:pPr>
      <w:r>
        <w:t xml:space="preserve">      - Repair and maintenance</w:t>
      </w:r>
    </w:p>
    <w:p w14:paraId="33373846" w14:textId="77777777" w:rsidR="00EE2A31" w:rsidRDefault="00EE2A31" w:rsidP="00EE2A31">
      <w:pPr>
        <w:spacing w:line="360" w:lineRule="auto"/>
        <w:jc w:val="both"/>
      </w:pPr>
      <w:r>
        <w:lastRenderedPageBreak/>
        <w:t xml:space="preserve">   </w:t>
      </w:r>
    </w:p>
    <w:p w14:paraId="6876A5AD" w14:textId="77777777" w:rsidR="00EE2A31" w:rsidRDefault="00EE2A31" w:rsidP="00EE2A31">
      <w:pPr>
        <w:spacing w:line="360" w:lineRule="auto"/>
        <w:jc w:val="both"/>
      </w:pPr>
      <w:r>
        <w:t xml:space="preserve">   4.3.3 Curriculum Integration</w:t>
      </w:r>
    </w:p>
    <w:p w14:paraId="2ABECC4B" w14:textId="77777777" w:rsidR="00EE2A31" w:rsidRDefault="00EE2A31" w:rsidP="00EE2A31">
      <w:pPr>
        <w:spacing w:line="360" w:lineRule="auto"/>
        <w:jc w:val="both"/>
      </w:pPr>
      <w:r>
        <w:t xml:space="preserve">      - STEM cross-curricular links</w:t>
      </w:r>
    </w:p>
    <w:p w14:paraId="74B0290B" w14:textId="77777777" w:rsidR="00EE2A31" w:rsidRDefault="00EE2A31" w:rsidP="00EE2A31">
      <w:pPr>
        <w:spacing w:line="360" w:lineRule="auto"/>
        <w:jc w:val="both"/>
      </w:pPr>
      <w:r>
        <w:t xml:space="preserve">      - Project complexity progression</w:t>
      </w:r>
    </w:p>
    <w:p w14:paraId="252375FF" w14:textId="77777777" w:rsidR="00EE2A31" w:rsidRDefault="00EE2A31" w:rsidP="00EE2A31">
      <w:pPr>
        <w:spacing w:line="360" w:lineRule="auto"/>
        <w:jc w:val="both"/>
      </w:pPr>
      <w:r>
        <w:t xml:space="preserve">      - Real-world problem solving</w:t>
      </w:r>
    </w:p>
    <w:p w14:paraId="5C7279CC" w14:textId="77777777" w:rsidR="00EE2A31" w:rsidRDefault="00EE2A31" w:rsidP="00EE2A31">
      <w:pPr>
        <w:spacing w:line="360" w:lineRule="auto"/>
        <w:jc w:val="both"/>
      </w:pPr>
    </w:p>
    <w:p w14:paraId="2EB76FDC" w14:textId="77777777" w:rsidR="00EE2A31" w:rsidRDefault="00EE2A31" w:rsidP="00EE2A31">
      <w:pPr>
        <w:spacing w:line="360" w:lineRule="auto"/>
        <w:jc w:val="both"/>
      </w:pPr>
      <w:r>
        <w:t>4.4 Level 3: AI Literacy and Machine Learning (500 words)</w:t>
      </w:r>
    </w:p>
    <w:p w14:paraId="4E4B2236" w14:textId="77777777" w:rsidR="00EE2A31" w:rsidRDefault="00EE2A31" w:rsidP="00EE2A31">
      <w:pPr>
        <w:spacing w:line="360" w:lineRule="auto"/>
        <w:jc w:val="both"/>
      </w:pPr>
      <w:r>
        <w:t xml:space="preserve">   4.4.1 Age-Appropriate AI Concepts</w:t>
      </w:r>
    </w:p>
    <w:p w14:paraId="336C62E9" w14:textId="77777777" w:rsidR="00EE2A31" w:rsidRDefault="00EE2A31" w:rsidP="00EE2A31">
      <w:pPr>
        <w:spacing w:line="360" w:lineRule="auto"/>
        <w:jc w:val="both"/>
      </w:pPr>
      <w:r>
        <w:t xml:space="preserve">      - Simplified ML concepts</w:t>
      </w:r>
    </w:p>
    <w:p w14:paraId="601B50B2" w14:textId="77777777" w:rsidR="00EE2A31" w:rsidRDefault="00EE2A31" w:rsidP="00EE2A31">
      <w:pPr>
        <w:spacing w:line="360" w:lineRule="auto"/>
        <w:jc w:val="both"/>
      </w:pPr>
      <w:r>
        <w:t xml:space="preserve">      - Ethics and responsibility focus</w:t>
      </w:r>
    </w:p>
    <w:p w14:paraId="12F3A485" w14:textId="77777777" w:rsidR="00EE2A31" w:rsidRDefault="00EE2A31" w:rsidP="00EE2A31">
      <w:pPr>
        <w:spacing w:line="360" w:lineRule="auto"/>
        <w:jc w:val="both"/>
      </w:pPr>
      <w:r>
        <w:t xml:space="preserve">      - Critical thinking about AI</w:t>
      </w:r>
    </w:p>
    <w:p w14:paraId="27FB2C5A" w14:textId="77777777" w:rsidR="00EE2A31" w:rsidRDefault="00EE2A31" w:rsidP="00EE2A31">
      <w:pPr>
        <w:spacing w:line="360" w:lineRule="auto"/>
        <w:jc w:val="both"/>
      </w:pPr>
      <w:r>
        <w:t xml:space="preserve">   </w:t>
      </w:r>
    </w:p>
    <w:p w14:paraId="69E14EB6" w14:textId="77777777" w:rsidR="00EE2A31" w:rsidRDefault="00EE2A31" w:rsidP="00EE2A31">
      <w:pPr>
        <w:spacing w:line="360" w:lineRule="auto"/>
        <w:jc w:val="both"/>
      </w:pPr>
      <w:r>
        <w:t xml:space="preserve">   4.4.2 Technical Implementation</w:t>
      </w:r>
    </w:p>
    <w:p w14:paraId="03958A0A" w14:textId="77777777" w:rsidR="00EE2A31" w:rsidRDefault="00EE2A31" w:rsidP="00EE2A31">
      <w:pPr>
        <w:spacing w:line="360" w:lineRule="auto"/>
        <w:jc w:val="both"/>
      </w:pPr>
      <w:r>
        <w:t xml:space="preserve">      - Edge AI capabilities (offline)</w:t>
      </w:r>
    </w:p>
    <w:p w14:paraId="1ADD6705" w14:textId="77777777" w:rsidR="00EE2A31" w:rsidRDefault="00EE2A31" w:rsidP="00EE2A31">
      <w:pPr>
        <w:spacing w:line="360" w:lineRule="auto"/>
        <w:jc w:val="both"/>
      </w:pPr>
      <w:r>
        <w:t xml:space="preserve">      - Pre-trained model integration</w:t>
      </w:r>
    </w:p>
    <w:p w14:paraId="3AC5E5EF" w14:textId="77777777" w:rsidR="00EE2A31" w:rsidRDefault="00EE2A31" w:rsidP="00EE2A31">
      <w:pPr>
        <w:spacing w:line="360" w:lineRule="auto"/>
        <w:jc w:val="both"/>
      </w:pPr>
      <w:r>
        <w:t xml:space="preserve">      - Visualization of AI concepts</w:t>
      </w:r>
    </w:p>
    <w:p w14:paraId="5512E7BA" w14:textId="77777777" w:rsidR="00EE2A31" w:rsidRDefault="00EE2A31" w:rsidP="00EE2A31">
      <w:pPr>
        <w:spacing w:line="360" w:lineRule="auto"/>
        <w:jc w:val="both"/>
      </w:pPr>
      <w:r>
        <w:t xml:space="preserve">   </w:t>
      </w:r>
    </w:p>
    <w:p w14:paraId="5150A59C" w14:textId="77777777" w:rsidR="00EE2A31" w:rsidRDefault="00EE2A31" w:rsidP="00EE2A31">
      <w:pPr>
        <w:spacing w:line="360" w:lineRule="auto"/>
        <w:jc w:val="both"/>
      </w:pPr>
      <w:r>
        <w:t xml:space="preserve">   4.4.3 Curriculum Framework</w:t>
      </w:r>
    </w:p>
    <w:p w14:paraId="1DEE1FC0" w14:textId="77777777" w:rsidR="00EE2A31" w:rsidRDefault="00EE2A31" w:rsidP="00EE2A31">
      <w:pPr>
        <w:spacing w:line="360" w:lineRule="auto"/>
        <w:jc w:val="both"/>
      </w:pPr>
      <w:r>
        <w:t xml:space="preserve">      - Align with Touretzky's Five Big Ideas</w:t>
      </w:r>
    </w:p>
    <w:p w14:paraId="5344C691" w14:textId="77777777" w:rsidR="00EE2A31" w:rsidRDefault="00EE2A31" w:rsidP="00EE2A31">
      <w:pPr>
        <w:spacing w:line="360" w:lineRule="auto"/>
        <w:jc w:val="both"/>
      </w:pPr>
      <w:r>
        <w:t xml:space="preserve">      - Hands-on AI projects</w:t>
      </w:r>
    </w:p>
    <w:p w14:paraId="10827CE6" w14:textId="77777777" w:rsidR="00EE2A31" w:rsidRDefault="00EE2A31" w:rsidP="00EE2A31">
      <w:pPr>
        <w:spacing w:line="360" w:lineRule="auto"/>
        <w:jc w:val="both"/>
      </w:pPr>
      <w:r>
        <w:t xml:space="preserve">      - Ethical reasoning activities</w:t>
      </w:r>
    </w:p>
    <w:p w14:paraId="78FE3D52" w14:textId="77777777" w:rsidR="00EE2A31" w:rsidRDefault="00EE2A31" w:rsidP="00EE2A31">
      <w:pPr>
        <w:spacing w:line="360" w:lineRule="auto"/>
        <w:jc w:val="both"/>
      </w:pPr>
    </w:p>
    <w:p w14:paraId="4C8374B7" w14:textId="77777777" w:rsidR="00EE2A31" w:rsidRDefault="00EE2A31" w:rsidP="00EE2A31">
      <w:pPr>
        <w:spacing w:line="360" w:lineRule="auto"/>
        <w:jc w:val="both"/>
      </w:pPr>
      <w:r>
        <w:lastRenderedPageBreak/>
        <w:t>4.5 Assessment and Progress Tracking (300 words)</w:t>
      </w:r>
    </w:p>
    <w:p w14:paraId="6A21691E" w14:textId="77777777" w:rsidR="00EE2A31" w:rsidRDefault="00EE2A31" w:rsidP="00EE2A31">
      <w:pPr>
        <w:spacing w:line="360" w:lineRule="auto"/>
        <w:jc w:val="both"/>
      </w:pPr>
      <w:r>
        <w:t xml:space="preserve">   4.5.1 Formative Assessment Tools</w:t>
      </w:r>
    </w:p>
    <w:p w14:paraId="1ECA9F88" w14:textId="77777777" w:rsidR="00EE2A31" w:rsidRDefault="00EE2A31" w:rsidP="00EE2A31">
      <w:pPr>
        <w:spacing w:line="360" w:lineRule="auto"/>
        <w:jc w:val="both"/>
      </w:pPr>
      <w:r>
        <w:t xml:space="preserve">      - Built-in analytics</w:t>
      </w:r>
    </w:p>
    <w:p w14:paraId="5E56F301" w14:textId="77777777" w:rsidR="00EE2A31" w:rsidRDefault="00EE2A31" w:rsidP="00EE2A31">
      <w:pPr>
        <w:spacing w:line="360" w:lineRule="auto"/>
        <w:jc w:val="both"/>
      </w:pPr>
      <w:r>
        <w:t xml:space="preserve">      - Teacher dashboard</w:t>
      </w:r>
    </w:p>
    <w:p w14:paraId="48B55BF5" w14:textId="77777777" w:rsidR="00EE2A31" w:rsidRDefault="00EE2A31" w:rsidP="00EE2A31">
      <w:pPr>
        <w:spacing w:line="360" w:lineRule="auto"/>
        <w:jc w:val="both"/>
      </w:pPr>
      <w:r>
        <w:t xml:space="preserve">      - Student portfolios</w:t>
      </w:r>
    </w:p>
    <w:p w14:paraId="7095A3BD" w14:textId="77777777" w:rsidR="00EE2A31" w:rsidRDefault="00EE2A31" w:rsidP="00EE2A31">
      <w:pPr>
        <w:spacing w:line="360" w:lineRule="auto"/>
        <w:jc w:val="both"/>
      </w:pPr>
      <w:r>
        <w:t xml:space="preserve">   </w:t>
      </w:r>
    </w:p>
    <w:p w14:paraId="37B76C6B" w14:textId="77777777" w:rsidR="00EE2A31" w:rsidRDefault="00EE2A31" w:rsidP="00EE2A31">
      <w:pPr>
        <w:spacing w:line="360" w:lineRule="auto"/>
        <w:jc w:val="both"/>
      </w:pPr>
      <w:r>
        <w:t xml:space="preserve">   4.5.2 Summative Assessment</w:t>
      </w:r>
    </w:p>
    <w:p w14:paraId="12C707EF" w14:textId="77777777" w:rsidR="00EE2A31" w:rsidRDefault="00EE2A31" w:rsidP="00EE2A31">
      <w:pPr>
        <w:spacing w:line="360" w:lineRule="auto"/>
        <w:jc w:val="both"/>
      </w:pPr>
      <w:r>
        <w:t xml:space="preserve">      - Project-based evaluation</w:t>
      </w:r>
    </w:p>
    <w:p w14:paraId="7888251A" w14:textId="77777777" w:rsidR="00EE2A31" w:rsidRDefault="00EE2A31" w:rsidP="00EE2A31">
      <w:pPr>
        <w:spacing w:line="360" w:lineRule="auto"/>
        <w:jc w:val="both"/>
      </w:pPr>
      <w:r>
        <w:t xml:space="preserve">      - CT skills assessment</w:t>
      </w:r>
    </w:p>
    <w:p w14:paraId="1A044903" w14:textId="77777777" w:rsidR="00EE2A31" w:rsidRDefault="00EE2A31" w:rsidP="00EE2A31">
      <w:pPr>
        <w:spacing w:line="360" w:lineRule="auto"/>
        <w:jc w:val="both"/>
      </w:pPr>
      <w:r>
        <w:t xml:space="preserve">      - Competency badges</w:t>
      </w:r>
    </w:p>
    <w:p w14:paraId="3171C797" w14:textId="77777777" w:rsidR="00EE2A31" w:rsidRDefault="00EE2A31" w:rsidP="00EE2A31">
      <w:pPr>
        <w:spacing w:line="360" w:lineRule="auto"/>
        <w:jc w:val="both"/>
      </w:pPr>
    </w:p>
    <w:p w14:paraId="7502BAFA" w14:textId="77777777" w:rsidR="00EE2A31" w:rsidRDefault="00EE2A31" w:rsidP="00EE2A31">
      <w:pPr>
        <w:spacing w:line="360" w:lineRule="auto"/>
        <w:jc w:val="both"/>
      </w:pPr>
      <w:r>
        <w:t>4.6 Teacher Support System (200 words)</w:t>
      </w:r>
    </w:p>
    <w:p w14:paraId="04CC01D5" w14:textId="77777777" w:rsidR="00EE2A31" w:rsidRDefault="00EE2A31" w:rsidP="00EE2A31">
      <w:pPr>
        <w:spacing w:line="360" w:lineRule="auto"/>
        <w:jc w:val="both"/>
      </w:pPr>
      <w:r>
        <w:t xml:space="preserve">   4.6.1 Professional Development Modules</w:t>
      </w:r>
    </w:p>
    <w:p w14:paraId="216F0958" w14:textId="77777777" w:rsidR="00EE2A31" w:rsidRDefault="00EE2A31" w:rsidP="00EE2A31">
      <w:pPr>
        <w:spacing w:line="360" w:lineRule="auto"/>
        <w:jc w:val="both"/>
      </w:pPr>
      <w:r>
        <w:t xml:space="preserve">   4.6.2 Just-in-Time Support</w:t>
      </w:r>
    </w:p>
    <w:p w14:paraId="3BC63AF4" w14:textId="77777777" w:rsidR="00EE2A31" w:rsidRDefault="00EE2A31" w:rsidP="00EE2A31">
      <w:pPr>
        <w:spacing w:line="360" w:lineRule="auto"/>
        <w:jc w:val="both"/>
      </w:pPr>
      <w:r>
        <w:t xml:space="preserve">   4.6.3 Community of Practice Features</w:t>
      </w:r>
    </w:p>
    <w:p w14:paraId="3ED06F25" w14:textId="77777777" w:rsidR="00EE2A31" w:rsidRDefault="00EE2A31" w:rsidP="00EE2A31">
      <w:pPr>
        <w:spacing w:line="360" w:lineRule="auto"/>
        <w:jc w:val="both"/>
      </w:pPr>
    </w:p>
    <w:p w14:paraId="5D44A360" w14:textId="77777777" w:rsidR="00EE2A31" w:rsidRDefault="00EE2A31" w:rsidP="00EE2A31">
      <w:pPr>
        <w:spacing w:line="360" w:lineRule="auto"/>
        <w:jc w:val="both"/>
      </w:pPr>
      <w:r>
        <w:t>================================================================================</w:t>
      </w:r>
    </w:p>
    <w:p w14:paraId="2D3C77E9" w14:textId="77777777" w:rsidR="00EE2A31" w:rsidRDefault="00EE2A31" w:rsidP="00EE2A31">
      <w:pPr>
        <w:spacing w:line="360" w:lineRule="auto"/>
        <w:jc w:val="both"/>
      </w:pPr>
      <w:r>
        <w:t>SECTION 5: METHODOLOGY (if empirical study included) (1,000-1,500 words)</w:t>
      </w:r>
    </w:p>
    <w:p w14:paraId="03D0FDEA" w14:textId="77777777" w:rsidR="00EE2A31" w:rsidRDefault="00EE2A31" w:rsidP="00EE2A31">
      <w:pPr>
        <w:spacing w:line="360" w:lineRule="auto"/>
        <w:jc w:val="both"/>
      </w:pPr>
      <w:r>
        <w:t>================================================================================</w:t>
      </w:r>
    </w:p>
    <w:p w14:paraId="03A9AC70" w14:textId="77777777" w:rsidR="00EE2A31" w:rsidRDefault="00EE2A31" w:rsidP="00EE2A31">
      <w:pPr>
        <w:spacing w:line="360" w:lineRule="auto"/>
        <w:jc w:val="both"/>
      </w:pPr>
    </w:p>
    <w:p w14:paraId="1F490188" w14:textId="77777777" w:rsidR="00EE2A31" w:rsidRDefault="00EE2A31" w:rsidP="00EE2A31">
      <w:pPr>
        <w:spacing w:line="360" w:lineRule="auto"/>
        <w:jc w:val="both"/>
      </w:pPr>
      <w:r>
        <w:lastRenderedPageBreak/>
        <w:t>5.1 Research Design (300 words)</w:t>
      </w:r>
    </w:p>
    <w:p w14:paraId="4ECC84C3" w14:textId="77777777" w:rsidR="00EE2A31" w:rsidRDefault="00EE2A31" w:rsidP="00EE2A31">
      <w:pPr>
        <w:spacing w:line="360" w:lineRule="auto"/>
        <w:jc w:val="both"/>
      </w:pPr>
      <w:r>
        <w:t xml:space="preserve">   - Design-Based Research (DBR) approach</w:t>
      </w:r>
    </w:p>
    <w:p w14:paraId="170E1C30" w14:textId="77777777" w:rsidR="00EE2A31" w:rsidRDefault="00EE2A31" w:rsidP="00EE2A31">
      <w:pPr>
        <w:spacing w:line="360" w:lineRule="auto"/>
        <w:jc w:val="both"/>
      </w:pPr>
      <w:r>
        <w:t xml:space="preserve">   - Iterative cycles of design, implementation, analysis</w:t>
      </w:r>
    </w:p>
    <w:p w14:paraId="135C0DC5" w14:textId="77777777" w:rsidR="00EE2A31" w:rsidRDefault="00EE2A31" w:rsidP="00EE2A31">
      <w:pPr>
        <w:spacing w:line="360" w:lineRule="auto"/>
        <w:jc w:val="both"/>
      </w:pPr>
      <w:r>
        <w:t xml:space="preserve">   - Rationale for DBR in educational technology</w:t>
      </w:r>
    </w:p>
    <w:p w14:paraId="4D88F81C" w14:textId="77777777" w:rsidR="00EE2A31" w:rsidRDefault="00EE2A31" w:rsidP="00EE2A31">
      <w:pPr>
        <w:spacing w:line="360" w:lineRule="auto"/>
        <w:jc w:val="both"/>
      </w:pPr>
    </w:p>
    <w:p w14:paraId="1AA33732" w14:textId="77777777" w:rsidR="00EE2A31" w:rsidRDefault="00EE2A31" w:rsidP="00EE2A31">
      <w:pPr>
        <w:spacing w:line="360" w:lineRule="auto"/>
        <w:jc w:val="both"/>
      </w:pPr>
      <w:r>
        <w:t>5.2 Context and Participants (300 words)</w:t>
      </w:r>
    </w:p>
    <w:p w14:paraId="028937A9" w14:textId="77777777" w:rsidR="00EE2A31" w:rsidRDefault="00EE2A31" w:rsidP="00EE2A31">
      <w:pPr>
        <w:spacing w:line="360" w:lineRule="auto"/>
        <w:jc w:val="both"/>
      </w:pPr>
      <w:r>
        <w:t xml:space="preserve">   - School selection criteria</w:t>
      </w:r>
    </w:p>
    <w:p w14:paraId="6528EE3D" w14:textId="77777777" w:rsidR="00EE2A31" w:rsidRDefault="00EE2A31" w:rsidP="00EE2A31">
      <w:pPr>
        <w:spacing w:line="360" w:lineRule="auto"/>
        <w:jc w:val="both"/>
      </w:pPr>
      <w:r>
        <w:t xml:space="preserve">   - Geographic diversity (urban, peri-urban, rural)</w:t>
      </w:r>
    </w:p>
    <w:p w14:paraId="6E487B91" w14:textId="77777777" w:rsidR="00EE2A31" w:rsidRDefault="00EE2A31" w:rsidP="00EE2A31">
      <w:pPr>
        <w:spacing w:line="360" w:lineRule="auto"/>
        <w:jc w:val="both"/>
      </w:pPr>
      <w:r>
        <w:t xml:space="preserve">   - Participant demographics (students, teachers)</w:t>
      </w:r>
    </w:p>
    <w:p w14:paraId="6DB95F9C" w14:textId="77777777" w:rsidR="00EE2A31" w:rsidRDefault="00EE2A31" w:rsidP="00EE2A31">
      <w:pPr>
        <w:spacing w:line="360" w:lineRule="auto"/>
        <w:jc w:val="both"/>
      </w:pPr>
      <w:r>
        <w:t xml:space="preserve">   - Sample size justification</w:t>
      </w:r>
    </w:p>
    <w:p w14:paraId="7B95E046" w14:textId="77777777" w:rsidR="00EE2A31" w:rsidRDefault="00EE2A31" w:rsidP="00EE2A31">
      <w:pPr>
        <w:spacing w:line="360" w:lineRule="auto"/>
        <w:jc w:val="both"/>
      </w:pPr>
    </w:p>
    <w:p w14:paraId="3FC9E054" w14:textId="77777777" w:rsidR="00EE2A31" w:rsidRDefault="00EE2A31" w:rsidP="00EE2A31">
      <w:pPr>
        <w:spacing w:line="360" w:lineRule="auto"/>
        <w:jc w:val="both"/>
      </w:pPr>
      <w:r>
        <w:t>5.3 Data Collection Methods (300 words)</w:t>
      </w:r>
    </w:p>
    <w:p w14:paraId="3EAFDCF1" w14:textId="77777777" w:rsidR="00EE2A31" w:rsidRDefault="00EE2A31" w:rsidP="00EE2A31">
      <w:pPr>
        <w:spacing w:line="360" w:lineRule="auto"/>
        <w:jc w:val="both"/>
      </w:pPr>
      <w:r>
        <w:t xml:space="preserve">   5.3.1 Quantitative Measures</w:t>
      </w:r>
    </w:p>
    <w:p w14:paraId="7BBBEF00" w14:textId="77777777" w:rsidR="00EE2A31" w:rsidRDefault="00EE2A31" w:rsidP="00EE2A31">
      <w:pPr>
        <w:spacing w:line="360" w:lineRule="auto"/>
        <w:jc w:val="both"/>
      </w:pPr>
      <w:r>
        <w:t xml:space="preserve">      - Pre/post CT assessments (Shute et al. instrument adapted)</w:t>
      </w:r>
    </w:p>
    <w:p w14:paraId="73CCD0F4" w14:textId="77777777" w:rsidR="00EE2A31" w:rsidRDefault="00EE2A31" w:rsidP="00EE2A31">
      <w:pPr>
        <w:spacing w:line="360" w:lineRule="auto"/>
        <w:jc w:val="both"/>
      </w:pPr>
      <w:r>
        <w:t xml:space="preserve">      - Learning analytics from platform</w:t>
      </w:r>
    </w:p>
    <w:p w14:paraId="13790785" w14:textId="77777777" w:rsidR="00EE2A31" w:rsidRDefault="00EE2A31" w:rsidP="00EE2A31">
      <w:pPr>
        <w:spacing w:line="360" w:lineRule="auto"/>
        <w:jc w:val="both"/>
      </w:pPr>
      <w:r>
        <w:t xml:space="preserve">      - Surveys (student attitudes, teacher self-efficacy)</w:t>
      </w:r>
    </w:p>
    <w:p w14:paraId="25223BEE" w14:textId="77777777" w:rsidR="00EE2A31" w:rsidRDefault="00EE2A31" w:rsidP="00EE2A31">
      <w:pPr>
        <w:spacing w:line="360" w:lineRule="auto"/>
        <w:jc w:val="both"/>
      </w:pPr>
      <w:r>
        <w:t xml:space="preserve">   </w:t>
      </w:r>
    </w:p>
    <w:p w14:paraId="2D61DF4C" w14:textId="77777777" w:rsidR="00EE2A31" w:rsidRDefault="00EE2A31" w:rsidP="00EE2A31">
      <w:pPr>
        <w:spacing w:line="360" w:lineRule="auto"/>
        <w:jc w:val="both"/>
      </w:pPr>
      <w:r>
        <w:t xml:space="preserve">   5.3.2 Qualitative Methods</w:t>
      </w:r>
    </w:p>
    <w:p w14:paraId="1EC0252D" w14:textId="77777777" w:rsidR="00EE2A31" w:rsidRDefault="00EE2A31" w:rsidP="00EE2A31">
      <w:pPr>
        <w:spacing w:line="360" w:lineRule="auto"/>
        <w:jc w:val="both"/>
      </w:pPr>
      <w:r>
        <w:t xml:space="preserve">      - Classroom observations</w:t>
      </w:r>
    </w:p>
    <w:p w14:paraId="4C5EFC86" w14:textId="77777777" w:rsidR="00EE2A31" w:rsidRDefault="00EE2A31" w:rsidP="00EE2A31">
      <w:pPr>
        <w:spacing w:line="360" w:lineRule="auto"/>
        <w:jc w:val="both"/>
      </w:pPr>
      <w:r>
        <w:t xml:space="preserve">      - Teacher interviews</w:t>
      </w:r>
    </w:p>
    <w:p w14:paraId="730A7DF6" w14:textId="77777777" w:rsidR="00EE2A31" w:rsidRDefault="00EE2A31" w:rsidP="00EE2A31">
      <w:pPr>
        <w:spacing w:line="360" w:lineRule="auto"/>
        <w:jc w:val="both"/>
      </w:pPr>
      <w:r>
        <w:t xml:space="preserve">      - Student focus groups</w:t>
      </w:r>
    </w:p>
    <w:p w14:paraId="748F4C09" w14:textId="77777777" w:rsidR="00EE2A31" w:rsidRDefault="00EE2A31" w:rsidP="00EE2A31">
      <w:pPr>
        <w:spacing w:line="360" w:lineRule="auto"/>
        <w:jc w:val="both"/>
      </w:pPr>
      <w:r>
        <w:t xml:space="preserve">      - Document analysis (student projects)</w:t>
      </w:r>
    </w:p>
    <w:p w14:paraId="3864F745" w14:textId="77777777" w:rsidR="00EE2A31" w:rsidRDefault="00EE2A31" w:rsidP="00EE2A31">
      <w:pPr>
        <w:spacing w:line="360" w:lineRule="auto"/>
        <w:jc w:val="both"/>
      </w:pPr>
    </w:p>
    <w:p w14:paraId="146EF19A" w14:textId="77777777" w:rsidR="00EE2A31" w:rsidRDefault="00EE2A31" w:rsidP="00EE2A31">
      <w:pPr>
        <w:spacing w:line="360" w:lineRule="auto"/>
        <w:jc w:val="both"/>
      </w:pPr>
      <w:r>
        <w:t>5.4 Data Analysis (200 words)</w:t>
      </w:r>
    </w:p>
    <w:p w14:paraId="7F376B1F" w14:textId="77777777" w:rsidR="00EE2A31" w:rsidRDefault="00EE2A31" w:rsidP="00EE2A31">
      <w:pPr>
        <w:spacing w:line="360" w:lineRule="auto"/>
        <w:jc w:val="both"/>
      </w:pPr>
      <w:r>
        <w:t xml:space="preserve">   - Mixed methods analysis</w:t>
      </w:r>
    </w:p>
    <w:p w14:paraId="0C157DB9" w14:textId="77777777" w:rsidR="00EE2A31" w:rsidRDefault="00EE2A31" w:rsidP="00EE2A31">
      <w:pPr>
        <w:spacing w:line="360" w:lineRule="auto"/>
        <w:jc w:val="both"/>
      </w:pPr>
      <w:r>
        <w:t xml:space="preserve">   - Statistical tests for quantitative data</w:t>
      </w:r>
    </w:p>
    <w:p w14:paraId="2F84E69E" w14:textId="77777777" w:rsidR="00EE2A31" w:rsidRDefault="00EE2A31" w:rsidP="00EE2A31">
      <w:pPr>
        <w:spacing w:line="360" w:lineRule="auto"/>
        <w:jc w:val="both"/>
      </w:pPr>
      <w:r>
        <w:t xml:space="preserve">   - Thematic analysis for qualitative data</w:t>
      </w:r>
    </w:p>
    <w:p w14:paraId="18900F05" w14:textId="77777777" w:rsidR="00EE2A31" w:rsidRDefault="00EE2A31" w:rsidP="00EE2A31">
      <w:pPr>
        <w:spacing w:line="360" w:lineRule="auto"/>
        <w:jc w:val="both"/>
      </w:pPr>
      <w:r>
        <w:t xml:space="preserve">   - Integration of findings</w:t>
      </w:r>
    </w:p>
    <w:p w14:paraId="699D0190" w14:textId="77777777" w:rsidR="00EE2A31" w:rsidRDefault="00EE2A31" w:rsidP="00EE2A31">
      <w:pPr>
        <w:spacing w:line="360" w:lineRule="auto"/>
        <w:jc w:val="both"/>
      </w:pPr>
    </w:p>
    <w:p w14:paraId="4751EDD8" w14:textId="77777777" w:rsidR="00EE2A31" w:rsidRDefault="00EE2A31" w:rsidP="00EE2A31">
      <w:pPr>
        <w:spacing w:line="360" w:lineRule="auto"/>
        <w:jc w:val="both"/>
      </w:pPr>
      <w:r>
        <w:t>5.5 Ethical Considerations (100 words)</w:t>
      </w:r>
    </w:p>
    <w:p w14:paraId="2D1E4CF7" w14:textId="77777777" w:rsidR="00EE2A31" w:rsidRDefault="00EE2A31" w:rsidP="00EE2A31">
      <w:pPr>
        <w:spacing w:line="360" w:lineRule="auto"/>
        <w:jc w:val="both"/>
      </w:pPr>
      <w:r>
        <w:t xml:space="preserve">   - Institutional review board approval</w:t>
      </w:r>
    </w:p>
    <w:p w14:paraId="7E7B5CDE" w14:textId="77777777" w:rsidR="00EE2A31" w:rsidRDefault="00EE2A31" w:rsidP="00EE2A31">
      <w:pPr>
        <w:spacing w:line="360" w:lineRule="auto"/>
        <w:jc w:val="both"/>
      </w:pPr>
      <w:r>
        <w:t xml:space="preserve">   - Informed consent (students, parents, teachers)</w:t>
      </w:r>
    </w:p>
    <w:p w14:paraId="5DA6B93E" w14:textId="77777777" w:rsidR="00EE2A31" w:rsidRDefault="00EE2A31" w:rsidP="00EE2A31">
      <w:pPr>
        <w:spacing w:line="360" w:lineRule="auto"/>
        <w:jc w:val="both"/>
      </w:pPr>
      <w:r>
        <w:t xml:space="preserve">   - Data privacy and security</w:t>
      </w:r>
    </w:p>
    <w:p w14:paraId="601D5E75" w14:textId="77777777" w:rsidR="00EE2A31" w:rsidRDefault="00EE2A31" w:rsidP="00EE2A31">
      <w:pPr>
        <w:spacing w:line="360" w:lineRule="auto"/>
        <w:jc w:val="both"/>
      </w:pPr>
      <w:r>
        <w:t xml:space="preserve">   - Voluntary participation</w:t>
      </w:r>
    </w:p>
    <w:p w14:paraId="61BD8DA9" w14:textId="77777777" w:rsidR="00EE2A31" w:rsidRDefault="00EE2A31" w:rsidP="00EE2A31">
      <w:pPr>
        <w:spacing w:line="360" w:lineRule="auto"/>
        <w:jc w:val="both"/>
      </w:pPr>
    </w:p>
    <w:p w14:paraId="3FF08075" w14:textId="77777777" w:rsidR="00EE2A31" w:rsidRDefault="00EE2A31" w:rsidP="00EE2A31">
      <w:pPr>
        <w:spacing w:line="360" w:lineRule="auto"/>
        <w:jc w:val="both"/>
      </w:pPr>
      <w:r>
        <w:t>5.6 Limitations (100 words)</w:t>
      </w:r>
    </w:p>
    <w:p w14:paraId="087CF035" w14:textId="77777777" w:rsidR="00EE2A31" w:rsidRDefault="00EE2A31" w:rsidP="00EE2A31">
      <w:pPr>
        <w:spacing w:line="360" w:lineRule="auto"/>
        <w:jc w:val="both"/>
      </w:pPr>
      <w:r>
        <w:t xml:space="preserve">   - Generalizability constraints</w:t>
      </w:r>
    </w:p>
    <w:p w14:paraId="3C17E3B7" w14:textId="77777777" w:rsidR="00EE2A31" w:rsidRDefault="00EE2A31" w:rsidP="00EE2A31">
      <w:pPr>
        <w:spacing w:line="360" w:lineRule="auto"/>
        <w:jc w:val="both"/>
      </w:pPr>
      <w:r>
        <w:t xml:space="preserve">   - Context-specific factors</w:t>
      </w:r>
    </w:p>
    <w:p w14:paraId="7B87C1BD" w14:textId="77777777" w:rsidR="00EE2A31" w:rsidRDefault="00EE2A31" w:rsidP="00EE2A31">
      <w:pPr>
        <w:spacing w:line="360" w:lineRule="auto"/>
        <w:jc w:val="both"/>
      </w:pPr>
      <w:r>
        <w:t xml:space="preserve">   - Duration of study</w:t>
      </w:r>
    </w:p>
    <w:p w14:paraId="22205CD5" w14:textId="77777777" w:rsidR="00EE2A31" w:rsidRDefault="00EE2A31" w:rsidP="00EE2A31">
      <w:pPr>
        <w:spacing w:line="360" w:lineRule="auto"/>
        <w:jc w:val="both"/>
      </w:pPr>
    </w:p>
    <w:p w14:paraId="4E9623E1" w14:textId="77777777" w:rsidR="00EE2A31" w:rsidRDefault="00EE2A31" w:rsidP="00EE2A31">
      <w:pPr>
        <w:spacing w:line="360" w:lineRule="auto"/>
        <w:jc w:val="both"/>
      </w:pPr>
      <w:r>
        <w:t>================================================================================</w:t>
      </w:r>
    </w:p>
    <w:p w14:paraId="70EB5A08" w14:textId="77777777" w:rsidR="00EE2A31" w:rsidRDefault="00EE2A31" w:rsidP="00EE2A31">
      <w:pPr>
        <w:spacing w:line="360" w:lineRule="auto"/>
        <w:jc w:val="both"/>
      </w:pPr>
      <w:r>
        <w:t>SECTION 6: RESULTS / PLATFORM EVALUATION (if empirical) (1,500-2,000 words)</w:t>
      </w:r>
    </w:p>
    <w:p w14:paraId="0FE9E94F" w14:textId="77777777" w:rsidR="00EE2A31" w:rsidRDefault="00EE2A31" w:rsidP="00EE2A31">
      <w:pPr>
        <w:spacing w:line="360" w:lineRule="auto"/>
        <w:jc w:val="both"/>
      </w:pPr>
      <w:r>
        <w:lastRenderedPageBreak/>
        <w:t>================================================================================</w:t>
      </w:r>
    </w:p>
    <w:p w14:paraId="1BA82DAE" w14:textId="77777777" w:rsidR="00EE2A31" w:rsidRDefault="00EE2A31" w:rsidP="00EE2A31">
      <w:pPr>
        <w:spacing w:line="360" w:lineRule="auto"/>
        <w:jc w:val="both"/>
      </w:pPr>
    </w:p>
    <w:p w14:paraId="1DED259C" w14:textId="77777777" w:rsidR="00EE2A31" w:rsidRDefault="00EE2A31" w:rsidP="00EE2A31">
      <w:pPr>
        <w:spacing w:line="360" w:lineRule="auto"/>
        <w:jc w:val="both"/>
      </w:pPr>
      <w:r>
        <w:t>[NOTE: If this is a design paper without empirical data, merge with Section 4</w:t>
      </w:r>
    </w:p>
    <w:p w14:paraId="2DC88A65" w14:textId="77777777" w:rsidR="00EE2A31" w:rsidRDefault="00EE2A31" w:rsidP="00EE2A31">
      <w:pPr>
        <w:spacing w:line="360" w:lineRule="auto"/>
        <w:jc w:val="both"/>
      </w:pPr>
      <w:r>
        <w:t>or convert to "Anticipated Outcomes and Implementation Strategy"]</w:t>
      </w:r>
    </w:p>
    <w:p w14:paraId="01720B6E" w14:textId="77777777" w:rsidR="00EE2A31" w:rsidRDefault="00EE2A31" w:rsidP="00EE2A31">
      <w:pPr>
        <w:spacing w:line="360" w:lineRule="auto"/>
        <w:jc w:val="both"/>
      </w:pPr>
    </w:p>
    <w:p w14:paraId="0F2D1A0F" w14:textId="77777777" w:rsidR="00EE2A31" w:rsidRDefault="00EE2A31" w:rsidP="00EE2A31">
      <w:pPr>
        <w:spacing w:line="360" w:lineRule="auto"/>
        <w:jc w:val="both"/>
      </w:pPr>
      <w:r>
        <w:t>6.1 Implementation Findings (if available)</w:t>
      </w:r>
    </w:p>
    <w:p w14:paraId="504D7389" w14:textId="77777777" w:rsidR="00EE2A31" w:rsidRDefault="00EE2A31" w:rsidP="00EE2A31">
      <w:pPr>
        <w:spacing w:line="360" w:lineRule="auto"/>
        <w:jc w:val="both"/>
      </w:pPr>
      <w:r>
        <w:t xml:space="preserve">   6.1.1 Platform Usability</w:t>
      </w:r>
    </w:p>
    <w:p w14:paraId="46563C0D" w14:textId="77777777" w:rsidR="00EE2A31" w:rsidRDefault="00EE2A31" w:rsidP="00EE2A31">
      <w:pPr>
        <w:spacing w:line="360" w:lineRule="auto"/>
        <w:jc w:val="both"/>
      </w:pPr>
      <w:r>
        <w:t xml:space="preserve">   6.1.2 Student Engagement Metrics</w:t>
      </w:r>
    </w:p>
    <w:p w14:paraId="754AA8D1" w14:textId="77777777" w:rsidR="00EE2A31" w:rsidRDefault="00EE2A31" w:rsidP="00EE2A31">
      <w:pPr>
        <w:spacing w:line="360" w:lineRule="auto"/>
        <w:jc w:val="both"/>
      </w:pPr>
      <w:r>
        <w:t xml:space="preserve">   6.1.3 Learning Outcome Data</w:t>
      </w:r>
    </w:p>
    <w:p w14:paraId="4C3B61EC" w14:textId="77777777" w:rsidR="00EE2A31" w:rsidRDefault="00EE2A31" w:rsidP="00EE2A31">
      <w:pPr>
        <w:spacing w:line="360" w:lineRule="auto"/>
        <w:jc w:val="both"/>
      </w:pPr>
    </w:p>
    <w:p w14:paraId="1D28684A" w14:textId="77777777" w:rsidR="00EE2A31" w:rsidRDefault="00EE2A31" w:rsidP="00EE2A31">
      <w:pPr>
        <w:spacing w:line="360" w:lineRule="auto"/>
        <w:jc w:val="both"/>
      </w:pPr>
      <w:r>
        <w:t>6.2 Teacher Perspectives (300 words)</w:t>
      </w:r>
    </w:p>
    <w:p w14:paraId="32359249" w14:textId="77777777" w:rsidR="00EE2A31" w:rsidRDefault="00EE2A31" w:rsidP="00EE2A31">
      <w:pPr>
        <w:spacing w:line="360" w:lineRule="auto"/>
        <w:jc w:val="both"/>
      </w:pPr>
      <w:r>
        <w:t xml:space="preserve">   - Professional development effectiveness</w:t>
      </w:r>
    </w:p>
    <w:p w14:paraId="4C39C539" w14:textId="77777777" w:rsidR="00EE2A31" w:rsidRDefault="00EE2A31" w:rsidP="00EE2A31">
      <w:pPr>
        <w:spacing w:line="360" w:lineRule="auto"/>
        <w:jc w:val="both"/>
      </w:pPr>
      <w:r>
        <w:t xml:space="preserve">   - Platform integration challenges</w:t>
      </w:r>
    </w:p>
    <w:p w14:paraId="5F4FF937" w14:textId="77777777" w:rsidR="00EE2A31" w:rsidRDefault="00EE2A31" w:rsidP="00EE2A31">
      <w:pPr>
        <w:spacing w:line="360" w:lineRule="auto"/>
        <w:jc w:val="both"/>
      </w:pPr>
      <w:r>
        <w:t xml:space="preserve">   - Support needs</w:t>
      </w:r>
    </w:p>
    <w:p w14:paraId="1A18A732" w14:textId="77777777" w:rsidR="00EE2A31" w:rsidRDefault="00EE2A31" w:rsidP="00EE2A31">
      <w:pPr>
        <w:spacing w:line="360" w:lineRule="auto"/>
        <w:jc w:val="both"/>
      </w:pPr>
    </w:p>
    <w:p w14:paraId="3ED2F870" w14:textId="77777777" w:rsidR="00EE2A31" w:rsidRDefault="00EE2A31" w:rsidP="00EE2A31">
      <w:pPr>
        <w:spacing w:line="360" w:lineRule="auto"/>
        <w:jc w:val="both"/>
      </w:pPr>
      <w:r>
        <w:t>6.3 Student Learning Outcomes (400 words)</w:t>
      </w:r>
    </w:p>
    <w:p w14:paraId="3E91C145" w14:textId="77777777" w:rsidR="00EE2A31" w:rsidRDefault="00EE2A31" w:rsidP="00EE2A31">
      <w:pPr>
        <w:spacing w:line="360" w:lineRule="auto"/>
        <w:jc w:val="both"/>
      </w:pPr>
      <w:r>
        <w:t xml:space="preserve">   - CT skill development</w:t>
      </w:r>
    </w:p>
    <w:p w14:paraId="78B05313" w14:textId="77777777" w:rsidR="00EE2A31" w:rsidRDefault="00EE2A31" w:rsidP="00EE2A31">
      <w:pPr>
        <w:spacing w:line="360" w:lineRule="auto"/>
        <w:jc w:val="both"/>
      </w:pPr>
      <w:r>
        <w:t xml:space="preserve">   - Attitude toward CS</w:t>
      </w:r>
    </w:p>
    <w:p w14:paraId="1F6FE608" w14:textId="77777777" w:rsidR="00EE2A31" w:rsidRDefault="00EE2A31" w:rsidP="00EE2A31">
      <w:pPr>
        <w:spacing w:line="360" w:lineRule="auto"/>
        <w:jc w:val="both"/>
      </w:pPr>
      <w:r>
        <w:t xml:space="preserve">   - Project quality analysis</w:t>
      </w:r>
    </w:p>
    <w:p w14:paraId="22D88A90" w14:textId="77777777" w:rsidR="00EE2A31" w:rsidRDefault="00EE2A31" w:rsidP="00EE2A31">
      <w:pPr>
        <w:spacing w:line="360" w:lineRule="auto"/>
        <w:jc w:val="both"/>
      </w:pPr>
    </w:p>
    <w:p w14:paraId="68487EFE" w14:textId="77777777" w:rsidR="00EE2A31" w:rsidRDefault="00EE2A31" w:rsidP="00EE2A31">
      <w:pPr>
        <w:spacing w:line="360" w:lineRule="auto"/>
        <w:jc w:val="both"/>
      </w:pPr>
      <w:r>
        <w:t>6.4 Technical Performance (300 words)</w:t>
      </w:r>
    </w:p>
    <w:p w14:paraId="403CB775" w14:textId="77777777" w:rsidR="00EE2A31" w:rsidRDefault="00EE2A31" w:rsidP="00EE2A31">
      <w:pPr>
        <w:spacing w:line="360" w:lineRule="auto"/>
        <w:jc w:val="both"/>
      </w:pPr>
      <w:r>
        <w:lastRenderedPageBreak/>
        <w:t xml:space="preserve">   - Offline functionality</w:t>
      </w:r>
    </w:p>
    <w:p w14:paraId="7456CD88" w14:textId="77777777" w:rsidR="00EE2A31" w:rsidRDefault="00EE2A31" w:rsidP="00EE2A31">
      <w:pPr>
        <w:spacing w:line="360" w:lineRule="auto"/>
        <w:jc w:val="both"/>
      </w:pPr>
      <w:r>
        <w:t xml:space="preserve">   - Sync reliability</w:t>
      </w:r>
    </w:p>
    <w:p w14:paraId="4117C5EE" w14:textId="77777777" w:rsidR="00EE2A31" w:rsidRDefault="00EE2A31" w:rsidP="00EE2A31">
      <w:pPr>
        <w:spacing w:line="360" w:lineRule="auto"/>
        <w:jc w:val="both"/>
      </w:pPr>
      <w:r>
        <w:t xml:space="preserve">   - Device compatibility</w:t>
      </w:r>
    </w:p>
    <w:p w14:paraId="4811081D" w14:textId="77777777" w:rsidR="00EE2A31" w:rsidRDefault="00EE2A31" w:rsidP="00EE2A31">
      <w:pPr>
        <w:spacing w:line="360" w:lineRule="auto"/>
        <w:jc w:val="both"/>
      </w:pPr>
    </w:p>
    <w:p w14:paraId="50711368" w14:textId="77777777" w:rsidR="00EE2A31" w:rsidRDefault="00EE2A31" w:rsidP="00EE2A31">
      <w:pPr>
        <w:spacing w:line="360" w:lineRule="auto"/>
        <w:jc w:val="both"/>
      </w:pPr>
      <w:r>
        <w:t>6.5 Iterative Design Improvements (300 words)</w:t>
      </w:r>
    </w:p>
    <w:p w14:paraId="1D025294" w14:textId="77777777" w:rsidR="00EE2A31" w:rsidRDefault="00EE2A31" w:rsidP="00EE2A31">
      <w:pPr>
        <w:spacing w:line="360" w:lineRule="auto"/>
        <w:jc w:val="both"/>
      </w:pPr>
      <w:r>
        <w:t xml:space="preserve">   - Major revisions based on feedback</w:t>
      </w:r>
    </w:p>
    <w:p w14:paraId="7D26AA6A" w14:textId="77777777" w:rsidR="00EE2A31" w:rsidRDefault="00EE2A31" w:rsidP="00EE2A31">
      <w:pPr>
        <w:spacing w:line="360" w:lineRule="auto"/>
        <w:jc w:val="both"/>
      </w:pPr>
      <w:r>
        <w:t xml:space="preserve">   - Design decisions and rationale</w:t>
      </w:r>
    </w:p>
    <w:p w14:paraId="4F649C9E" w14:textId="77777777" w:rsidR="00EE2A31" w:rsidRDefault="00EE2A31" w:rsidP="00EE2A31">
      <w:pPr>
        <w:spacing w:line="360" w:lineRule="auto"/>
        <w:jc w:val="both"/>
      </w:pPr>
      <w:r>
        <w:t xml:space="preserve">   - Version evolution</w:t>
      </w:r>
    </w:p>
    <w:p w14:paraId="61D939D4" w14:textId="77777777" w:rsidR="00EE2A31" w:rsidRDefault="00EE2A31" w:rsidP="00EE2A31">
      <w:pPr>
        <w:spacing w:line="360" w:lineRule="auto"/>
        <w:jc w:val="both"/>
      </w:pPr>
    </w:p>
    <w:p w14:paraId="658C7173" w14:textId="77777777" w:rsidR="00EE2A31" w:rsidRDefault="00EE2A31" w:rsidP="00EE2A31">
      <w:pPr>
        <w:spacing w:line="360" w:lineRule="auto"/>
        <w:jc w:val="both"/>
      </w:pPr>
      <w:r>
        <w:t>================================================================================</w:t>
      </w:r>
    </w:p>
    <w:p w14:paraId="57E93725" w14:textId="77777777" w:rsidR="00EE2A31" w:rsidRDefault="00EE2A31" w:rsidP="00EE2A31">
      <w:pPr>
        <w:spacing w:line="360" w:lineRule="auto"/>
        <w:jc w:val="both"/>
      </w:pPr>
      <w:r>
        <w:t>SECTION 7: DISCUSSION (1,500-2,000 words)</w:t>
      </w:r>
    </w:p>
    <w:p w14:paraId="28F575A3" w14:textId="77777777" w:rsidR="00EE2A31" w:rsidRDefault="00EE2A31" w:rsidP="00EE2A31">
      <w:pPr>
        <w:spacing w:line="360" w:lineRule="auto"/>
        <w:jc w:val="both"/>
      </w:pPr>
      <w:r>
        <w:t>================================================================================</w:t>
      </w:r>
    </w:p>
    <w:p w14:paraId="6BAEB6F8" w14:textId="77777777" w:rsidR="00EE2A31" w:rsidRDefault="00EE2A31" w:rsidP="00EE2A31">
      <w:pPr>
        <w:spacing w:line="360" w:lineRule="auto"/>
        <w:jc w:val="both"/>
      </w:pPr>
    </w:p>
    <w:p w14:paraId="28AE303F" w14:textId="77777777" w:rsidR="00EE2A31" w:rsidRDefault="00EE2A31" w:rsidP="00EE2A31">
      <w:pPr>
        <w:spacing w:line="360" w:lineRule="auto"/>
        <w:jc w:val="both"/>
      </w:pPr>
      <w:r>
        <w:t>7.1 Synthesis of Findings (400 words)</w:t>
      </w:r>
    </w:p>
    <w:p w14:paraId="3D7DA6F2" w14:textId="77777777" w:rsidR="00EE2A31" w:rsidRDefault="00EE2A31" w:rsidP="00EE2A31">
      <w:pPr>
        <w:spacing w:line="360" w:lineRule="auto"/>
        <w:jc w:val="both"/>
      </w:pPr>
      <w:r>
        <w:t xml:space="preserve">   - Integration of literature and platform design</w:t>
      </w:r>
    </w:p>
    <w:p w14:paraId="187A6563" w14:textId="77777777" w:rsidR="00EE2A31" w:rsidRDefault="00EE2A31" w:rsidP="00EE2A31">
      <w:pPr>
        <w:spacing w:line="360" w:lineRule="auto"/>
        <w:jc w:val="both"/>
      </w:pPr>
      <w:r>
        <w:t xml:space="preserve">   - How Kone Academy addresses identified gaps</w:t>
      </w:r>
    </w:p>
    <w:p w14:paraId="2A9047C8" w14:textId="77777777" w:rsidR="00EE2A31" w:rsidRDefault="00EE2A31" w:rsidP="00EE2A31">
      <w:pPr>
        <w:spacing w:line="360" w:lineRule="auto"/>
        <w:jc w:val="both"/>
      </w:pPr>
      <w:r>
        <w:t xml:space="preserve">   - Unique contributions</w:t>
      </w:r>
    </w:p>
    <w:p w14:paraId="7C1E7BB3" w14:textId="77777777" w:rsidR="00EE2A31" w:rsidRDefault="00EE2A31" w:rsidP="00EE2A31">
      <w:pPr>
        <w:spacing w:line="360" w:lineRule="auto"/>
        <w:jc w:val="both"/>
      </w:pPr>
    </w:p>
    <w:p w14:paraId="387C7D23" w14:textId="77777777" w:rsidR="00EE2A31" w:rsidRDefault="00EE2A31" w:rsidP="00EE2A31">
      <w:pPr>
        <w:spacing w:line="360" w:lineRule="auto"/>
        <w:jc w:val="both"/>
      </w:pPr>
      <w:r>
        <w:t>7.2 Theoretical Contributions (400 words)</w:t>
      </w:r>
    </w:p>
    <w:p w14:paraId="1AD96BFA" w14:textId="77777777" w:rsidR="00EE2A31" w:rsidRDefault="00EE2A31" w:rsidP="00EE2A31">
      <w:pPr>
        <w:spacing w:line="360" w:lineRule="auto"/>
        <w:jc w:val="both"/>
      </w:pPr>
      <w:r>
        <w:t xml:space="preserve">   - Extension of constructionism to African contexts</w:t>
      </w:r>
    </w:p>
    <w:p w14:paraId="22101B81" w14:textId="77777777" w:rsidR="00EE2A31" w:rsidRDefault="00EE2A31" w:rsidP="00EE2A31">
      <w:pPr>
        <w:spacing w:line="360" w:lineRule="auto"/>
        <w:jc w:val="both"/>
      </w:pPr>
      <w:r>
        <w:lastRenderedPageBreak/>
        <w:t xml:space="preserve">   - Progressive scaffolding framework</w:t>
      </w:r>
    </w:p>
    <w:p w14:paraId="5EFBFADA" w14:textId="77777777" w:rsidR="00EE2A31" w:rsidRDefault="00EE2A31" w:rsidP="00EE2A31">
      <w:pPr>
        <w:spacing w:line="360" w:lineRule="auto"/>
        <w:jc w:val="both"/>
      </w:pPr>
      <w:r>
        <w:t xml:space="preserve">   - Integration of CT, robotics, and AI</w:t>
      </w:r>
    </w:p>
    <w:p w14:paraId="03D378FB" w14:textId="77777777" w:rsidR="00EE2A31" w:rsidRDefault="00EE2A31" w:rsidP="00EE2A31">
      <w:pPr>
        <w:spacing w:line="360" w:lineRule="auto"/>
        <w:jc w:val="both"/>
      </w:pPr>
    </w:p>
    <w:p w14:paraId="62D4EB5B" w14:textId="77777777" w:rsidR="00EE2A31" w:rsidRDefault="00EE2A31" w:rsidP="00EE2A31">
      <w:pPr>
        <w:spacing w:line="360" w:lineRule="auto"/>
        <w:jc w:val="both"/>
      </w:pPr>
      <w:r>
        <w:t>7.3 Practical Implications (400 words)</w:t>
      </w:r>
    </w:p>
    <w:p w14:paraId="1D55E86A" w14:textId="77777777" w:rsidR="00EE2A31" w:rsidRDefault="00EE2A31" w:rsidP="00EE2A31">
      <w:pPr>
        <w:spacing w:line="360" w:lineRule="auto"/>
        <w:jc w:val="both"/>
      </w:pPr>
      <w:r>
        <w:t xml:space="preserve">   7.3.1 For Educators</w:t>
      </w:r>
    </w:p>
    <w:p w14:paraId="03C1E2A2" w14:textId="77777777" w:rsidR="00EE2A31" w:rsidRDefault="00EE2A31" w:rsidP="00EE2A31">
      <w:pPr>
        <w:spacing w:line="360" w:lineRule="auto"/>
        <w:jc w:val="both"/>
      </w:pPr>
      <w:r>
        <w:t xml:space="preserve">      - Implementation strategies</w:t>
      </w:r>
    </w:p>
    <w:p w14:paraId="40201633" w14:textId="77777777" w:rsidR="00EE2A31" w:rsidRDefault="00EE2A31" w:rsidP="00EE2A31">
      <w:pPr>
        <w:spacing w:line="360" w:lineRule="auto"/>
        <w:jc w:val="both"/>
      </w:pPr>
      <w:r>
        <w:t xml:space="preserve">      - Teacher preparation recommendations</w:t>
      </w:r>
    </w:p>
    <w:p w14:paraId="2A0088F5" w14:textId="77777777" w:rsidR="00EE2A31" w:rsidRDefault="00EE2A31" w:rsidP="00EE2A31">
      <w:pPr>
        <w:spacing w:line="360" w:lineRule="auto"/>
        <w:jc w:val="both"/>
      </w:pPr>
      <w:r>
        <w:t xml:space="preserve">   </w:t>
      </w:r>
    </w:p>
    <w:p w14:paraId="7192DE17" w14:textId="77777777" w:rsidR="00EE2A31" w:rsidRDefault="00EE2A31" w:rsidP="00EE2A31">
      <w:pPr>
        <w:spacing w:line="360" w:lineRule="auto"/>
        <w:jc w:val="both"/>
      </w:pPr>
      <w:r>
        <w:t xml:space="preserve">   7.3.2 For Policymakers</w:t>
      </w:r>
    </w:p>
    <w:p w14:paraId="2A5F1650" w14:textId="77777777" w:rsidR="00EE2A31" w:rsidRDefault="00EE2A31" w:rsidP="00EE2A31">
      <w:pPr>
        <w:spacing w:line="360" w:lineRule="auto"/>
        <w:jc w:val="both"/>
      </w:pPr>
      <w:r>
        <w:t xml:space="preserve">      - Curriculum integration</w:t>
      </w:r>
    </w:p>
    <w:p w14:paraId="1CE7BB94" w14:textId="77777777" w:rsidR="00EE2A31" w:rsidRDefault="00EE2A31" w:rsidP="00EE2A31">
      <w:pPr>
        <w:spacing w:line="360" w:lineRule="auto"/>
        <w:jc w:val="both"/>
      </w:pPr>
      <w:r>
        <w:t xml:space="preserve">      - Infrastructure investment priorities</w:t>
      </w:r>
    </w:p>
    <w:p w14:paraId="0113DF4E" w14:textId="77777777" w:rsidR="00EE2A31" w:rsidRDefault="00EE2A31" w:rsidP="00EE2A31">
      <w:pPr>
        <w:spacing w:line="360" w:lineRule="auto"/>
        <w:jc w:val="both"/>
      </w:pPr>
      <w:r>
        <w:t xml:space="preserve">   </w:t>
      </w:r>
    </w:p>
    <w:p w14:paraId="726A7233" w14:textId="77777777" w:rsidR="00EE2A31" w:rsidRDefault="00EE2A31" w:rsidP="00EE2A31">
      <w:pPr>
        <w:spacing w:line="360" w:lineRule="auto"/>
        <w:jc w:val="both"/>
      </w:pPr>
      <w:r>
        <w:t xml:space="preserve">   7.3.3 For EdTech Designers</w:t>
      </w:r>
    </w:p>
    <w:p w14:paraId="78ABF793" w14:textId="77777777" w:rsidR="00EE2A31" w:rsidRDefault="00EE2A31" w:rsidP="00EE2A31">
      <w:pPr>
        <w:spacing w:line="360" w:lineRule="auto"/>
        <w:jc w:val="both"/>
      </w:pPr>
      <w:r>
        <w:t xml:space="preserve">      - Design principles for developing contexts</w:t>
      </w:r>
    </w:p>
    <w:p w14:paraId="7845C11A" w14:textId="77777777" w:rsidR="00EE2A31" w:rsidRDefault="00EE2A31" w:rsidP="00EE2A31">
      <w:pPr>
        <w:spacing w:line="360" w:lineRule="auto"/>
        <w:jc w:val="both"/>
      </w:pPr>
      <w:r>
        <w:t xml:space="preserve">      - Replicability considerations</w:t>
      </w:r>
    </w:p>
    <w:p w14:paraId="270E08A5" w14:textId="77777777" w:rsidR="00EE2A31" w:rsidRDefault="00EE2A31" w:rsidP="00EE2A31">
      <w:pPr>
        <w:spacing w:line="360" w:lineRule="auto"/>
        <w:jc w:val="both"/>
      </w:pPr>
    </w:p>
    <w:p w14:paraId="606E61B4" w14:textId="77777777" w:rsidR="00EE2A31" w:rsidRDefault="00EE2A31" w:rsidP="00EE2A31">
      <w:pPr>
        <w:spacing w:line="360" w:lineRule="auto"/>
        <w:jc w:val="both"/>
      </w:pPr>
      <w:r>
        <w:t>7.4 Addressing the Research Questions (300 words)</w:t>
      </w:r>
    </w:p>
    <w:p w14:paraId="05A72656" w14:textId="77777777" w:rsidR="00EE2A31" w:rsidRDefault="00EE2A31" w:rsidP="00EE2A31">
      <w:pPr>
        <w:spacing w:line="360" w:lineRule="auto"/>
        <w:jc w:val="both"/>
      </w:pPr>
      <w:r>
        <w:t xml:space="preserve">   - RQ1: Pedagogical frameworks (summarize answer)</w:t>
      </w:r>
    </w:p>
    <w:p w14:paraId="787672F4" w14:textId="77777777" w:rsidR="00EE2A31" w:rsidRDefault="00EE2A31" w:rsidP="00EE2A31">
      <w:pPr>
        <w:spacing w:line="360" w:lineRule="auto"/>
        <w:jc w:val="both"/>
      </w:pPr>
      <w:r>
        <w:t xml:space="preserve">   - RQ2: Contextual adaptation strategies</w:t>
      </w:r>
    </w:p>
    <w:p w14:paraId="7324DFF1" w14:textId="77777777" w:rsidR="00EE2A31" w:rsidRDefault="00EE2A31" w:rsidP="00EE2A31">
      <w:pPr>
        <w:spacing w:line="360" w:lineRule="auto"/>
        <w:jc w:val="both"/>
      </w:pPr>
      <w:r>
        <w:t xml:space="preserve">   - RQ3: Scaffolding mechanisms</w:t>
      </w:r>
    </w:p>
    <w:p w14:paraId="68B01091" w14:textId="77777777" w:rsidR="00EE2A31" w:rsidRDefault="00EE2A31" w:rsidP="00EE2A31">
      <w:pPr>
        <w:spacing w:line="360" w:lineRule="auto"/>
        <w:jc w:val="both"/>
      </w:pPr>
      <w:r>
        <w:t xml:space="preserve">   - RQ4: AI integration approach</w:t>
      </w:r>
    </w:p>
    <w:p w14:paraId="457879CB" w14:textId="77777777" w:rsidR="00EE2A31" w:rsidRDefault="00EE2A31" w:rsidP="00EE2A31">
      <w:pPr>
        <w:spacing w:line="360" w:lineRule="auto"/>
        <w:jc w:val="both"/>
      </w:pPr>
    </w:p>
    <w:p w14:paraId="39E548E6" w14:textId="77777777" w:rsidR="00EE2A31" w:rsidRDefault="00EE2A31" w:rsidP="00EE2A31">
      <w:pPr>
        <w:spacing w:line="360" w:lineRule="auto"/>
        <w:jc w:val="both"/>
      </w:pPr>
      <w:r>
        <w:lastRenderedPageBreak/>
        <w:t>7.5 Limitations and Future Research (300 words)</w:t>
      </w:r>
    </w:p>
    <w:p w14:paraId="2C2A6577" w14:textId="77777777" w:rsidR="00EE2A31" w:rsidRDefault="00EE2A31" w:rsidP="00EE2A31">
      <w:pPr>
        <w:spacing w:line="360" w:lineRule="auto"/>
        <w:jc w:val="both"/>
      </w:pPr>
      <w:r>
        <w:t xml:space="preserve">   - Study limitations</w:t>
      </w:r>
    </w:p>
    <w:p w14:paraId="71834BC3" w14:textId="77777777" w:rsidR="00EE2A31" w:rsidRDefault="00EE2A31" w:rsidP="00EE2A31">
      <w:pPr>
        <w:spacing w:line="360" w:lineRule="auto"/>
        <w:jc w:val="both"/>
      </w:pPr>
      <w:r>
        <w:t xml:space="preserve">   - Long-term outcome research needed</w:t>
      </w:r>
    </w:p>
    <w:p w14:paraId="54FE6742" w14:textId="77777777" w:rsidR="00EE2A31" w:rsidRDefault="00EE2A31" w:rsidP="00EE2A31">
      <w:pPr>
        <w:spacing w:line="360" w:lineRule="auto"/>
        <w:jc w:val="both"/>
      </w:pPr>
      <w:r>
        <w:t xml:space="preserve">   - Scale-up considerations</w:t>
      </w:r>
    </w:p>
    <w:p w14:paraId="3ECC2CB6" w14:textId="77777777" w:rsidR="00EE2A31" w:rsidRDefault="00EE2A31" w:rsidP="00EE2A31">
      <w:pPr>
        <w:spacing w:line="360" w:lineRule="auto"/>
        <w:jc w:val="both"/>
      </w:pPr>
      <w:r>
        <w:t xml:space="preserve">   - Cross-cultural validation</w:t>
      </w:r>
    </w:p>
    <w:p w14:paraId="39DC24E0" w14:textId="77777777" w:rsidR="00EE2A31" w:rsidRDefault="00EE2A31" w:rsidP="00EE2A31">
      <w:pPr>
        <w:spacing w:line="360" w:lineRule="auto"/>
        <w:jc w:val="both"/>
      </w:pPr>
    </w:p>
    <w:p w14:paraId="4D7F6849" w14:textId="77777777" w:rsidR="00EE2A31" w:rsidRDefault="00EE2A31" w:rsidP="00EE2A31">
      <w:pPr>
        <w:spacing w:line="360" w:lineRule="auto"/>
        <w:jc w:val="both"/>
      </w:pPr>
      <w:r>
        <w:t>================================================================================</w:t>
      </w:r>
    </w:p>
    <w:p w14:paraId="2BD09A3A" w14:textId="77777777" w:rsidR="00EE2A31" w:rsidRDefault="00EE2A31" w:rsidP="00EE2A31">
      <w:pPr>
        <w:spacing w:line="360" w:lineRule="auto"/>
        <w:jc w:val="both"/>
      </w:pPr>
      <w:r>
        <w:t>SECTION 8: CONCLUSION (500-700 words)</w:t>
      </w:r>
    </w:p>
    <w:p w14:paraId="7CB97783" w14:textId="77777777" w:rsidR="00EE2A31" w:rsidRDefault="00EE2A31" w:rsidP="00EE2A31">
      <w:pPr>
        <w:spacing w:line="360" w:lineRule="auto"/>
        <w:jc w:val="both"/>
      </w:pPr>
      <w:r>
        <w:t>================================================================================</w:t>
      </w:r>
    </w:p>
    <w:p w14:paraId="722AD1A0" w14:textId="77777777" w:rsidR="00EE2A31" w:rsidRDefault="00EE2A31" w:rsidP="00EE2A31">
      <w:pPr>
        <w:spacing w:line="360" w:lineRule="auto"/>
        <w:jc w:val="both"/>
      </w:pPr>
    </w:p>
    <w:p w14:paraId="6FB8DCD6" w14:textId="77777777" w:rsidR="00EE2A31" w:rsidRDefault="00EE2A31" w:rsidP="00EE2A31">
      <w:pPr>
        <w:spacing w:line="360" w:lineRule="auto"/>
        <w:jc w:val="both"/>
      </w:pPr>
      <w:r>
        <w:t>8.1 Summary of Key Points (200 words)</w:t>
      </w:r>
    </w:p>
    <w:p w14:paraId="21FCE55F" w14:textId="77777777" w:rsidR="00EE2A31" w:rsidRDefault="00EE2A31" w:rsidP="00EE2A31">
      <w:pPr>
        <w:spacing w:line="360" w:lineRule="auto"/>
        <w:jc w:val="both"/>
      </w:pPr>
      <w:r>
        <w:t xml:space="preserve">   - Restate problem and solution</w:t>
      </w:r>
    </w:p>
    <w:p w14:paraId="7DF82914" w14:textId="77777777" w:rsidR="00EE2A31" w:rsidRDefault="00EE2A31" w:rsidP="00EE2A31">
      <w:pPr>
        <w:spacing w:line="360" w:lineRule="auto"/>
        <w:jc w:val="both"/>
      </w:pPr>
      <w:r>
        <w:t xml:space="preserve">   - Highlight main contributions</w:t>
      </w:r>
    </w:p>
    <w:p w14:paraId="344CCD9E" w14:textId="77777777" w:rsidR="00EE2A31" w:rsidRDefault="00EE2A31" w:rsidP="00EE2A31">
      <w:pPr>
        <w:spacing w:line="360" w:lineRule="auto"/>
        <w:jc w:val="both"/>
      </w:pPr>
      <w:r>
        <w:t xml:space="preserve">   - Key findings synthesis</w:t>
      </w:r>
    </w:p>
    <w:p w14:paraId="0178E8DD" w14:textId="77777777" w:rsidR="00EE2A31" w:rsidRDefault="00EE2A31" w:rsidP="00EE2A31">
      <w:pPr>
        <w:spacing w:line="360" w:lineRule="auto"/>
        <w:jc w:val="both"/>
      </w:pPr>
    </w:p>
    <w:p w14:paraId="168A1E2F" w14:textId="77777777" w:rsidR="00EE2A31" w:rsidRDefault="00EE2A31" w:rsidP="00EE2A31">
      <w:pPr>
        <w:spacing w:line="360" w:lineRule="auto"/>
        <w:jc w:val="both"/>
      </w:pPr>
      <w:r>
        <w:t>8.2 Contributions to Knowledge (150 words)</w:t>
      </w:r>
    </w:p>
    <w:p w14:paraId="4BB4B7E2" w14:textId="77777777" w:rsidR="00EE2A31" w:rsidRDefault="00EE2A31" w:rsidP="00EE2A31">
      <w:pPr>
        <w:spacing w:line="360" w:lineRule="auto"/>
        <w:jc w:val="both"/>
      </w:pPr>
      <w:r>
        <w:t xml:space="preserve">   - Theoretical contribution</w:t>
      </w:r>
    </w:p>
    <w:p w14:paraId="6EFF3107" w14:textId="77777777" w:rsidR="00EE2A31" w:rsidRDefault="00EE2A31" w:rsidP="00EE2A31">
      <w:pPr>
        <w:spacing w:line="360" w:lineRule="auto"/>
        <w:jc w:val="both"/>
      </w:pPr>
      <w:r>
        <w:t xml:space="preserve">   - Methodological contribution</w:t>
      </w:r>
    </w:p>
    <w:p w14:paraId="4F08CC7B" w14:textId="77777777" w:rsidR="00EE2A31" w:rsidRDefault="00EE2A31" w:rsidP="00EE2A31">
      <w:pPr>
        <w:spacing w:line="360" w:lineRule="auto"/>
        <w:jc w:val="both"/>
      </w:pPr>
      <w:r>
        <w:t xml:space="preserve">   - Practical contribution</w:t>
      </w:r>
    </w:p>
    <w:p w14:paraId="1F997D1A" w14:textId="77777777" w:rsidR="00EE2A31" w:rsidRDefault="00EE2A31" w:rsidP="00EE2A31">
      <w:pPr>
        <w:spacing w:line="360" w:lineRule="auto"/>
        <w:jc w:val="both"/>
      </w:pPr>
    </w:p>
    <w:p w14:paraId="5E610FEE" w14:textId="77777777" w:rsidR="00EE2A31" w:rsidRDefault="00EE2A31" w:rsidP="00EE2A31">
      <w:pPr>
        <w:spacing w:line="360" w:lineRule="auto"/>
        <w:jc w:val="both"/>
      </w:pPr>
      <w:r>
        <w:lastRenderedPageBreak/>
        <w:t>8.3 Recommendations (150 words)</w:t>
      </w:r>
    </w:p>
    <w:p w14:paraId="4CAD1439" w14:textId="77777777" w:rsidR="00EE2A31" w:rsidRDefault="00EE2A31" w:rsidP="00EE2A31">
      <w:pPr>
        <w:spacing w:line="360" w:lineRule="auto"/>
        <w:jc w:val="both"/>
      </w:pPr>
      <w:r>
        <w:t xml:space="preserve">   - For Ghana's CS education policy</w:t>
      </w:r>
    </w:p>
    <w:p w14:paraId="26EDA4BA" w14:textId="77777777" w:rsidR="00EE2A31" w:rsidRDefault="00EE2A31" w:rsidP="00EE2A31">
      <w:pPr>
        <w:spacing w:line="360" w:lineRule="auto"/>
        <w:jc w:val="both"/>
      </w:pPr>
      <w:r>
        <w:t xml:space="preserve">   - For EdTech in developing contexts</w:t>
      </w:r>
    </w:p>
    <w:p w14:paraId="05D53B21" w14:textId="77777777" w:rsidR="00EE2A31" w:rsidRDefault="00EE2A31" w:rsidP="00EE2A31">
      <w:pPr>
        <w:spacing w:line="360" w:lineRule="auto"/>
        <w:jc w:val="both"/>
      </w:pPr>
      <w:r>
        <w:t xml:space="preserve">   - For future platform development</w:t>
      </w:r>
    </w:p>
    <w:p w14:paraId="604A265F" w14:textId="77777777" w:rsidR="00EE2A31" w:rsidRDefault="00EE2A31" w:rsidP="00EE2A31">
      <w:pPr>
        <w:spacing w:line="360" w:lineRule="auto"/>
        <w:jc w:val="both"/>
      </w:pPr>
    </w:p>
    <w:p w14:paraId="17AEEBFF" w14:textId="77777777" w:rsidR="00EE2A31" w:rsidRDefault="00EE2A31" w:rsidP="00EE2A31">
      <w:pPr>
        <w:spacing w:line="360" w:lineRule="auto"/>
        <w:jc w:val="both"/>
      </w:pPr>
      <w:r>
        <w:t>8.4 Concluding Remarks (100 words)</w:t>
      </w:r>
    </w:p>
    <w:p w14:paraId="2CA0552D" w14:textId="77777777" w:rsidR="00EE2A31" w:rsidRDefault="00EE2A31" w:rsidP="00EE2A31">
      <w:pPr>
        <w:spacing w:line="360" w:lineRule="auto"/>
        <w:jc w:val="both"/>
      </w:pPr>
      <w:r>
        <w:t xml:space="preserve">   - Vision for K-12 CS education in Ghana</w:t>
      </w:r>
    </w:p>
    <w:p w14:paraId="1DF07A63" w14:textId="77777777" w:rsidR="00EE2A31" w:rsidRDefault="00EE2A31" w:rsidP="00EE2A31">
      <w:pPr>
        <w:spacing w:line="360" w:lineRule="auto"/>
        <w:jc w:val="both"/>
      </w:pPr>
      <w:r>
        <w:t xml:space="preserve">   - Call to action for stakeholders</w:t>
      </w:r>
    </w:p>
    <w:p w14:paraId="2D93F60B" w14:textId="77777777" w:rsidR="00EE2A31" w:rsidRDefault="00EE2A31" w:rsidP="00EE2A31">
      <w:pPr>
        <w:spacing w:line="360" w:lineRule="auto"/>
        <w:jc w:val="both"/>
      </w:pPr>
      <w:r>
        <w:t xml:space="preserve">   - Final statement on educational transformation</w:t>
      </w:r>
    </w:p>
    <w:p w14:paraId="2052C1D0" w14:textId="77777777" w:rsidR="00EE2A31" w:rsidRDefault="00EE2A31" w:rsidP="00EE2A31">
      <w:pPr>
        <w:spacing w:line="360" w:lineRule="auto"/>
        <w:jc w:val="both"/>
      </w:pPr>
    </w:p>
    <w:p w14:paraId="21E21CC9" w14:textId="77777777" w:rsidR="00EE2A31" w:rsidRDefault="00EE2A31" w:rsidP="00EE2A31">
      <w:pPr>
        <w:spacing w:line="360" w:lineRule="auto"/>
        <w:jc w:val="both"/>
      </w:pPr>
      <w:r>
        <w:t>================================================================================</w:t>
      </w:r>
    </w:p>
    <w:p w14:paraId="7A7704C9" w14:textId="77777777" w:rsidR="00EE2A31" w:rsidRDefault="00EE2A31" w:rsidP="00EE2A31">
      <w:pPr>
        <w:spacing w:line="360" w:lineRule="auto"/>
        <w:jc w:val="both"/>
      </w:pPr>
      <w:r>
        <w:t>REFERENCES</w:t>
      </w:r>
    </w:p>
    <w:p w14:paraId="42FF94F2" w14:textId="77777777" w:rsidR="00EE2A31" w:rsidRDefault="00EE2A31" w:rsidP="00EE2A31">
      <w:pPr>
        <w:spacing w:line="360" w:lineRule="auto"/>
        <w:jc w:val="both"/>
      </w:pPr>
      <w:r>
        <w:t>================================================================================</w:t>
      </w:r>
    </w:p>
    <w:p w14:paraId="6201E08D" w14:textId="77777777" w:rsidR="00EE2A31" w:rsidRDefault="00EE2A31" w:rsidP="00EE2A31">
      <w:pPr>
        <w:spacing w:line="360" w:lineRule="auto"/>
        <w:jc w:val="both"/>
      </w:pPr>
    </w:p>
    <w:p w14:paraId="7D107CDA" w14:textId="77777777" w:rsidR="00EE2A31" w:rsidRDefault="00EE2A31" w:rsidP="00EE2A31">
      <w:pPr>
        <w:spacing w:line="360" w:lineRule="auto"/>
        <w:jc w:val="both"/>
      </w:pPr>
      <w:r>
        <w:t>- 101 references in APA 7th edition format</w:t>
      </w:r>
    </w:p>
    <w:p w14:paraId="7C92AC28" w14:textId="77777777" w:rsidR="00EE2A31" w:rsidRDefault="00EE2A31" w:rsidP="00EE2A31">
      <w:pPr>
        <w:spacing w:line="360" w:lineRule="auto"/>
        <w:jc w:val="both"/>
      </w:pPr>
      <w:r>
        <w:t>- Use literature_matrix.ris or literature_matrix_detailed.ris for import</w:t>
      </w:r>
    </w:p>
    <w:p w14:paraId="21E36934" w14:textId="77777777" w:rsidR="00EE2A31" w:rsidRDefault="00EE2A31" w:rsidP="00EE2A31">
      <w:pPr>
        <w:spacing w:line="360" w:lineRule="auto"/>
        <w:jc w:val="both"/>
      </w:pPr>
      <w:r>
        <w:t>- Ensure all citations in text match reference list</w:t>
      </w:r>
    </w:p>
    <w:p w14:paraId="2C47AE4F" w14:textId="77777777" w:rsidR="00EE2A31" w:rsidRDefault="00EE2A31" w:rsidP="00EE2A31">
      <w:pPr>
        <w:spacing w:line="360" w:lineRule="auto"/>
        <w:jc w:val="both"/>
      </w:pPr>
    </w:p>
    <w:p w14:paraId="54F6CBF0" w14:textId="77777777" w:rsidR="00EE2A31" w:rsidRDefault="00EE2A31" w:rsidP="00EE2A31">
      <w:pPr>
        <w:spacing w:line="360" w:lineRule="auto"/>
        <w:jc w:val="both"/>
      </w:pPr>
      <w:r>
        <w:t>================================================================================</w:t>
      </w:r>
    </w:p>
    <w:p w14:paraId="1AFA9BB8" w14:textId="77777777" w:rsidR="00EE2A31" w:rsidRDefault="00EE2A31" w:rsidP="00EE2A31">
      <w:pPr>
        <w:spacing w:line="360" w:lineRule="auto"/>
        <w:jc w:val="both"/>
      </w:pPr>
      <w:r>
        <w:lastRenderedPageBreak/>
        <w:t>APPENDICES (if applicable)</w:t>
      </w:r>
    </w:p>
    <w:p w14:paraId="1B349A0B" w14:textId="77777777" w:rsidR="00EE2A31" w:rsidRDefault="00EE2A31" w:rsidP="00EE2A31">
      <w:pPr>
        <w:spacing w:line="360" w:lineRule="auto"/>
        <w:jc w:val="both"/>
      </w:pPr>
      <w:r>
        <w:t>================================================================================</w:t>
      </w:r>
    </w:p>
    <w:p w14:paraId="4C065450" w14:textId="77777777" w:rsidR="00EE2A31" w:rsidRDefault="00EE2A31" w:rsidP="00EE2A31">
      <w:pPr>
        <w:spacing w:line="360" w:lineRule="auto"/>
        <w:jc w:val="both"/>
      </w:pPr>
    </w:p>
    <w:p w14:paraId="29DD635F" w14:textId="77777777" w:rsidR="00EE2A31" w:rsidRDefault="00EE2A31" w:rsidP="00EE2A31">
      <w:pPr>
        <w:spacing w:line="360" w:lineRule="auto"/>
        <w:jc w:val="both"/>
      </w:pPr>
      <w:r>
        <w:t>Appendix A: Platform Screenshots and Interface Designs</w:t>
      </w:r>
    </w:p>
    <w:p w14:paraId="2D39F2FA" w14:textId="77777777" w:rsidR="00EE2A31" w:rsidRDefault="00EE2A31" w:rsidP="00EE2A31">
      <w:pPr>
        <w:spacing w:line="360" w:lineRule="auto"/>
        <w:jc w:val="both"/>
      </w:pPr>
      <w:r>
        <w:t>Appendix B: Curriculum Scope and Sequence Documents</w:t>
      </w:r>
    </w:p>
    <w:p w14:paraId="232B34E4" w14:textId="77777777" w:rsidR="00EE2A31" w:rsidRDefault="00EE2A31" w:rsidP="00EE2A31">
      <w:pPr>
        <w:spacing w:line="360" w:lineRule="auto"/>
        <w:jc w:val="both"/>
      </w:pPr>
      <w:r>
        <w:t>Appendix C: Assessment Instruments</w:t>
      </w:r>
    </w:p>
    <w:p w14:paraId="4B98E106" w14:textId="77777777" w:rsidR="00EE2A31" w:rsidRDefault="00EE2A31" w:rsidP="00EE2A31">
      <w:pPr>
        <w:spacing w:line="360" w:lineRule="auto"/>
        <w:jc w:val="both"/>
      </w:pPr>
      <w:r>
        <w:t>Appendix D: Interview Protocols</w:t>
      </w:r>
    </w:p>
    <w:p w14:paraId="42FD86FC" w14:textId="77777777" w:rsidR="00EE2A31" w:rsidRDefault="00EE2A31" w:rsidP="00EE2A31">
      <w:pPr>
        <w:spacing w:line="360" w:lineRule="auto"/>
        <w:jc w:val="both"/>
      </w:pPr>
      <w:r>
        <w:t>Appendix E: Raw Data Tables (if empirical)</w:t>
      </w:r>
    </w:p>
    <w:p w14:paraId="1330494A" w14:textId="77777777" w:rsidR="00EE2A31" w:rsidRDefault="00EE2A31" w:rsidP="00EE2A31">
      <w:pPr>
        <w:spacing w:line="360" w:lineRule="auto"/>
        <w:jc w:val="both"/>
      </w:pPr>
      <w:r>
        <w:t>Appendix F: Code Repository Links (if applicable)</w:t>
      </w:r>
    </w:p>
    <w:p w14:paraId="3E786A42" w14:textId="77777777" w:rsidR="00EE2A31" w:rsidRDefault="00EE2A31" w:rsidP="00EE2A31">
      <w:pPr>
        <w:spacing w:line="360" w:lineRule="auto"/>
        <w:jc w:val="both"/>
      </w:pPr>
    </w:p>
    <w:p w14:paraId="2C913FAB" w14:textId="77777777" w:rsidR="00EE2A31" w:rsidRDefault="00EE2A31" w:rsidP="00EE2A31">
      <w:pPr>
        <w:spacing w:line="360" w:lineRule="auto"/>
        <w:jc w:val="both"/>
      </w:pPr>
      <w:r>
        <w:t>================================================================================</w:t>
      </w:r>
    </w:p>
    <w:p w14:paraId="5B4446DB" w14:textId="77777777" w:rsidR="00EE2A31" w:rsidRDefault="00EE2A31" w:rsidP="00EE2A31">
      <w:pPr>
        <w:spacing w:line="360" w:lineRule="auto"/>
        <w:jc w:val="both"/>
      </w:pPr>
      <w:r>
        <w:t>PAPER WRITING CHECKLIST</w:t>
      </w:r>
    </w:p>
    <w:p w14:paraId="655F2130" w14:textId="77777777" w:rsidR="00EE2A31" w:rsidRDefault="00EE2A31" w:rsidP="00EE2A31">
      <w:pPr>
        <w:spacing w:line="360" w:lineRule="auto"/>
        <w:jc w:val="both"/>
      </w:pPr>
      <w:r>
        <w:t>================================================================================</w:t>
      </w:r>
    </w:p>
    <w:p w14:paraId="0D892248" w14:textId="77777777" w:rsidR="00EE2A31" w:rsidRDefault="00EE2A31" w:rsidP="00EE2A31">
      <w:pPr>
        <w:spacing w:line="360" w:lineRule="auto"/>
        <w:jc w:val="both"/>
      </w:pPr>
    </w:p>
    <w:p w14:paraId="60F4D096" w14:textId="77777777" w:rsidR="00EE2A31" w:rsidRDefault="00EE2A31" w:rsidP="00EE2A31">
      <w:pPr>
        <w:spacing w:line="360" w:lineRule="auto"/>
        <w:jc w:val="both"/>
      </w:pPr>
      <w:r>
        <w:t>Pre-Writing:</w:t>
      </w:r>
    </w:p>
    <w:p w14:paraId="2AF2FFAF" w14:textId="77777777" w:rsidR="00EE2A31" w:rsidRDefault="00EE2A31" w:rsidP="00EE2A31">
      <w:pPr>
        <w:spacing w:line="360" w:lineRule="auto"/>
        <w:jc w:val="both"/>
      </w:pPr>
      <w:r>
        <w:t>[ ] Review all 28 analyzed papers in literature_matrix_detailed.csv</w:t>
      </w:r>
    </w:p>
    <w:p w14:paraId="47479359" w14:textId="77777777" w:rsidR="00EE2A31" w:rsidRDefault="00EE2A31" w:rsidP="00EE2A31">
      <w:pPr>
        <w:spacing w:line="360" w:lineRule="auto"/>
        <w:jc w:val="both"/>
      </w:pPr>
      <w:r>
        <w:t>[ ] Identify 10-15 most critical papers to cite frequently</w:t>
      </w:r>
    </w:p>
    <w:p w14:paraId="1FEC8EB5" w14:textId="77777777" w:rsidR="00EE2A31" w:rsidRDefault="00EE2A31" w:rsidP="00EE2A31">
      <w:pPr>
        <w:spacing w:line="360" w:lineRule="auto"/>
        <w:jc w:val="both"/>
      </w:pPr>
      <w:r>
        <w:t>[ ] Create synthesis tables comparing studies by method/finding</w:t>
      </w:r>
    </w:p>
    <w:p w14:paraId="512B7345" w14:textId="77777777" w:rsidR="00EE2A31" w:rsidRDefault="00EE2A31" w:rsidP="00EE2A31">
      <w:pPr>
        <w:spacing w:line="360" w:lineRule="auto"/>
        <w:jc w:val="both"/>
      </w:pPr>
      <w:r>
        <w:t>[ ] Map papers to each section of the outline</w:t>
      </w:r>
    </w:p>
    <w:p w14:paraId="0AF1FCC8" w14:textId="77777777" w:rsidR="00EE2A31" w:rsidRDefault="00EE2A31" w:rsidP="00EE2A31">
      <w:pPr>
        <w:spacing w:line="360" w:lineRule="auto"/>
        <w:jc w:val="both"/>
      </w:pPr>
    </w:p>
    <w:p w14:paraId="007B288D" w14:textId="77777777" w:rsidR="00EE2A31" w:rsidRDefault="00EE2A31" w:rsidP="00EE2A31">
      <w:pPr>
        <w:spacing w:line="360" w:lineRule="auto"/>
        <w:jc w:val="both"/>
      </w:pPr>
      <w:r>
        <w:t>Writing Phase:</w:t>
      </w:r>
    </w:p>
    <w:p w14:paraId="0FCF5CED" w14:textId="77777777" w:rsidR="00EE2A31" w:rsidRDefault="00EE2A31" w:rsidP="00EE2A31">
      <w:pPr>
        <w:spacing w:line="360" w:lineRule="auto"/>
        <w:jc w:val="both"/>
      </w:pPr>
      <w:r>
        <w:t>[ ] Write Introduction using Africa context papers (Oyelere, Agyei-Okyere)</w:t>
      </w:r>
    </w:p>
    <w:p w14:paraId="212CB051" w14:textId="77777777" w:rsidR="00EE2A31" w:rsidRDefault="00EE2A31" w:rsidP="00EE2A31">
      <w:pPr>
        <w:spacing w:line="360" w:lineRule="auto"/>
        <w:jc w:val="both"/>
      </w:pPr>
      <w:r>
        <w:t>[ ] Write Literature Review by category using matrix</w:t>
      </w:r>
    </w:p>
    <w:p w14:paraId="4A74C597" w14:textId="77777777" w:rsidR="00EE2A31" w:rsidRDefault="00EE2A31" w:rsidP="00EE2A31">
      <w:pPr>
        <w:spacing w:line="360" w:lineRule="auto"/>
        <w:jc w:val="both"/>
      </w:pPr>
      <w:r>
        <w:t>[ ] Write Platform section detailing your 3-tier approach</w:t>
      </w:r>
    </w:p>
    <w:p w14:paraId="7CCD0FDA" w14:textId="77777777" w:rsidR="00EE2A31" w:rsidRDefault="00EE2A31" w:rsidP="00EE2A31">
      <w:pPr>
        <w:spacing w:line="360" w:lineRule="auto"/>
        <w:jc w:val="both"/>
      </w:pPr>
      <w:r>
        <w:t>[ ] Ensure every claim is backed by citation</w:t>
      </w:r>
    </w:p>
    <w:p w14:paraId="61E60632" w14:textId="77777777" w:rsidR="00EE2A31" w:rsidRDefault="00EE2A31" w:rsidP="00EE2A31">
      <w:pPr>
        <w:spacing w:line="360" w:lineRule="auto"/>
        <w:jc w:val="both"/>
      </w:pPr>
      <w:r>
        <w:t>[ ] Include critical analysis (not just description)</w:t>
      </w:r>
    </w:p>
    <w:p w14:paraId="50888A80" w14:textId="77777777" w:rsidR="00EE2A31" w:rsidRDefault="00EE2A31" w:rsidP="00EE2A31">
      <w:pPr>
        <w:spacing w:line="360" w:lineRule="auto"/>
        <w:jc w:val="both"/>
      </w:pPr>
    </w:p>
    <w:p w14:paraId="21361E47" w14:textId="77777777" w:rsidR="00EE2A31" w:rsidRDefault="00EE2A31" w:rsidP="00EE2A31">
      <w:pPr>
        <w:spacing w:line="360" w:lineRule="auto"/>
        <w:jc w:val="both"/>
      </w:pPr>
      <w:r>
        <w:t>Post-Writing:</w:t>
      </w:r>
    </w:p>
    <w:p w14:paraId="3434521A" w14:textId="77777777" w:rsidR="00EE2A31" w:rsidRDefault="00EE2A31" w:rsidP="00EE2A31">
      <w:pPr>
        <w:spacing w:line="360" w:lineRule="auto"/>
        <w:jc w:val="both"/>
      </w:pPr>
      <w:r>
        <w:t>[ ] Verify all 101 references in final reference list</w:t>
      </w:r>
    </w:p>
    <w:p w14:paraId="563E6DC9" w14:textId="77777777" w:rsidR="00EE2A31" w:rsidRDefault="00EE2A31" w:rsidP="00EE2A31">
      <w:pPr>
        <w:spacing w:line="360" w:lineRule="auto"/>
        <w:jc w:val="both"/>
      </w:pPr>
      <w:r>
        <w:t>[ ] Check APA 7th edition formatting</w:t>
      </w:r>
    </w:p>
    <w:p w14:paraId="340696A8" w14:textId="77777777" w:rsidR="00EE2A31" w:rsidRDefault="00EE2A31" w:rsidP="00EE2A31">
      <w:pPr>
        <w:spacing w:line="360" w:lineRule="auto"/>
        <w:jc w:val="both"/>
      </w:pPr>
      <w:r>
        <w:t>[ ] Run plagiarism check</w:t>
      </w:r>
    </w:p>
    <w:p w14:paraId="7BCE6E50" w14:textId="77777777" w:rsidR="00EE2A31" w:rsidRDefault="00EE2A31" w:rsidP="00EE2A31">
      <w:pPr>
        <w:spacing w:line="360" w:lineRule="auto"/>
        <w:jc w:val="both"/>
      </w:pPr>
      <w:r>
        <w:t>[ ] Peer review by colleague</w:t>
      </w:r>
    </w:p>
    <w:p w14:paraId="396AF79D" w14:textId="77777777" w:rsidR="00EE2A31" w:rsidRDefault="00EE2A31" w:rsidP="00EE2A31">
      <w:pPr>
        <w:spacing w:line="360" w:lineRule="auto"/>
        <w:jc w:val="both"/>
      </w:pPr>
      <w:r>
        <w:t>[ ] Proofread for clarity and flow</w:t>
      </w:r>
    </w:p>
    <w:p w14:paraId="57AA01F3" w14:textId="77777777" w:rsidR="00EE2A31" w:rsidRDefault="00EE2A31" w:rsidP="00EE2A31">
      <w:pPr>
        <w:spacing w:line="360" w:lineRule="auto"/>
        <w:jc w:val="both"/>
      </w:pPr>
    </w:p>
    <w:p w14:paraId="30199ECB" w14:textId="77777777" w:rsidR="00EE2A31" w:rsidRDefault="00EE2A31" w:rsidP="00EE2A31">
      <w:pPr>
        <w:spacing w:line="360" w:lineRule="auto"/>
        <w:jc w:val="both"/>
      </w:pPr>
      <w:r>
        <w:t>================================================================================</w:t>
      </w:r>
    </w:p>
    <w:p w14:paraId="61EDB194" w14:textId="77777777" w:rsidR="00EE2A31" w:rsidRDefault="00EE2A31" w:rsidP="00EE2A31">
      <w:pPr>
        <w:spacing w:line="360" w:lineRule="auto"/>
        <w:jc w:val="both"/>
      </w:pPr>
      <w:r>
        <w:t>KEY SYNTHESIS OPPORTUNITIES (Where to bring multiple papers together)</w:t>
      </w:r>
    </w:p>
    <w:p w14:paraId="76C260D1" w14:textId="77777777" w:rsidR="00EE2A31" w:rsidRDefault="00EE2A31" w:rsidP="00EE2A31">
      <w:pPr>
        <w:spacing w:line="360" w:lineRule="auto"/>
        <w:jc w:val="both"/>
      </w:pPr>
      <w:r>
        <w:t>================================================================================</w:t>
      </w:r>
    </w:p>
    <w:p w14:paraId="1A091AE7" w14:textId="77777777" w:rsidR="00EE2A31" w:rsidRDefault="00EE2A31" w:rsidP="00EE2A31">
      <w:pPr>
        <w:spacing w:line="360" w:lineRule="auto"/>
        <w:jc w:val="both"/>
      </w:pPr>
    </w:p>
    <w:p w14:paraId="6A59D5D3" w14:textId="77777777" w:rsidR="00EE2A31" w:rsidRDefault="00EE2A31" w:rsidP="00EE2A31">
      <w:pPr>
        <w:spacing w:line="360" w:lineRule="auto"/>
        <w:jc w:val="both"/>
      </w:pPr>
      <w:r>
        <w:t>SYNTHESIS 1: Block-Based Programming Efficacy</w:t>
      </w:r>
    </w:p>
    <w:p w14:paraId="136CEB8D" w14:textId="77777777" w:rsidR="00EE2A31" w:rsidRDefault="00EE2A31" w:rsidP="00EE2A31">
      <w:pPr>
        <w:spacing w:line="360" w:lineRule="auto"/>
        <w:jc w:val="both"/>
      </w:pPr>
      <w:r>
        <w:lastRenderedPageBreak/>
        <w:t>- Relkin et al. (2022): d=0.67 effect size</w:t>
      </w:r>
    </w:p>
    <w:p w14:paraId="54954947" w14:textId="77777777" w:rsidR="00EE2A31" w:rsidRDefault="00EE2A31" w:rsidP="00EE2A31">
      <w:pPr>
        <w:spacing w:line="360" w:lineRule="auto"/>
        <w:jc w:val="both"/>
      </w:pPr>
      <w:r>
        <w:t>- Kennedy et al. (2022): Systematic review positive findings</w:t>
      </w:r>
    </w:p>
    <w:p w14:paraId="7E290673" w14:textId="77777777" w:rsidR="00EE2A31" w:rsidRDefault="00EE2A31" w:rsidP="00EE2A31">
      <w:pPr>
        <w:spacing w:line="360" w:lineRule="auto"/>
        <w:jc w:val="both"/>
      </w:pPr>
      <w:r>
        <w:t>- McGill &amp; Settle (2015): Scratch teaching review</w:t>
      </w:r>
    </w:p>
    <w:p w14:paraId="06E96BEE" w14:textId="77777777" w:rsidR="00EE2A31" w:rsidRDefault="00EE2A31" w:rsidP="00EE2A31">
      <w:pPr>
        <w:spacing w:line="360" w:lineRule="auto"/>
        <w:jc w:val="both"/>
      </w:pPr>
      <w:r>
        <w:t>- Nouri et al. (2020): Platform comparison</w:t>
      </w:r>
    </w:p>
    <w:p w14:paraId="43DE5091" w14:textId="77777777" w:rsidR="00EE2A31" w:rsidRDefault="00EE2A31" w:rsidP="00EE2A31">
      <w:pPr>
        <w:spacing w:line="360" w:lineRule="auto"/>
        <w:jc w:val="both"/>
      </w:pPr>
      <w:r>
        <w:t>→ Conclusion: Strong evidence supports block-based approach</w:t>
      </w:r>
    </w:p>
    <w:p w14:paraId="42C5B2FA" w14:textId="77777777" w:rsidR="00EE2A31" w:rsidRDefault="00EE2A31" w:rsidP="00EE2A31">
      <w:pPr>
        <w:spacing w:line="360" w:lineRule="auto"/>
        <w:jc w:val="both"/>
      </w:pPr>
    </w:p>
    <w:p w14:paraId="356FF4AB" w14:textId="77777777" w:rsidR="00EE2A31" w:rsidRDefault="00EE2A31" w:rsidP="00EE2A31">
      <w:pPr>
        <w:spacing w:line="360" w:lineRule="auto"/>
        <w:jc w:val="both"/>
      </w:pPr>
      <w:r>
        <w:t>SYNTHESIS 2: The Transition Challenge</w:t>
      </w:r>
    </w:p>
    <w:p w14:paraId="230A016A" w14:textId="77777777" w:rsidR="00EE2A31" w:rsidRDefault="00EE2A31" w:rsidP="00EE2A31">
      <w:pPr>
        <w:spacing w:line="360" w:lineRule="auto"/>
        <w:jc w:val="both"/>
      </w:pPr>
      <w:r>
        <w:t>- Weintrop &amp; Wilensky (2017): Only 35% transition successfully</w:t>
      </w:r>
    </w:p>
    <w:p w14:paraId="51E50950" w14:textId="77777777" w:rsidR="00EE2A31" w:rsidRDefault="00EE2A31" w:rsidP="00EE2A31">
      <w:pPr>
        <w:spacing w:line="360" w:lineRule="auto"/>
        <w:jc w:val="both"/>
      </w:pPr>
      <w:r>
        <w:t>- Milošević (2021): Blockly customization options</w:t>
      </w:r>
    </w:p>
    <w:p w14:paraId="5AA318AE" w14:textId="77777777" w:rsidR="00EE2A31" w:rsidRDefault="00EE2A31" w:rsidP="00EE2A31">
      <w:pPr>
        <w:spacing w:line="360" w:lineRule="auto"/>
        <w:jc w:val="both"/>
      </w:pPr>
      <w:r>
        <w:t>- Fraser (2015): Technical capabilities</w:t>
      </w:r>
    </w:p>
    <w:p w14:paraId="3DF6A427" w14:textId="77777777" w:rsidR="00EE2A31" w:rsidRDefault="00EE2A31" w:rsidP="00EE2A31">
      <w:pPr>
        <w:spacing w:line="360" w:lineRule="auto"/>
        <w:jc w:val="both"/>
      </w:pPr>
      <w:r>
        <w:t>→ Conclusion: Need for carefully designed intermediate stage (your solution)</w:t>
      </w:r>
    </w:p>
    <w:p w14:paraId="3A0436F2" w14:textId="77777777" w:rsidR="00EE2A31" w:rsidRDefault="00EE2A31" w:rsidP="00EE2A31">
      <w:pPr>
        <w:spacing w:line="360" w:lineRule="auto"/>
        <w:jc w:val="both"/>
      </w:pPr>
    </w:p>
    <w:p w14:paraId="4EBCC664" w14:textId="77777777" w:rsidR="00EE2A31" w:rsidRDefault="00EE2A31" w:rsidP="00EE2A31">
      <w:pPr>
        <w:spacing w:line="360" w:lineRule="auto"/>
        <w:jc w:val="both"/>
      </w:pPr>
      <w:r>
        <w:t>SYNTHESIS 3: Africa-Specific Needs</w:t>
      </w:r>
    </w:p>
    <w:p w14:paraId="3B13DA6C" w14:textId="77777777" w:rsidR="00EE2A31" w:rsidRDefault="00EE2A31" w:rsidP="00EE2A31">
      <w:pPr>
        <w:spacing w:line="360" w:lineRule="auto"/>
        <w:jc w:val="both"/>
      </w:pPr>
      <w:r>
        <w:t>- Oyelere et al. (2017): Mobile learning in SSA</w:t>
      </w:r>
    </w:p>
    <w:p w14:paraId="03AF30E3" w14:textId="77777777" w:rsidR="00EE2A31" w:rsidRDefault="00EE2A31" w:rsidP="00EE2A31">
      <w:pPr>
        <w:spacing w:line="360" w:lineRule="auto"/>
        <w:jc w:val="both"/>
      </w:pPr>
      <w:r>
        <w:t>- Bhardwaj et al. (2022): Offline-first solutions</w:t>
      </w:r>
    </w:p>
    <w:p w14:paraId="72F32B29" w14:textId="77777777" w:rsidR="00EE2A31" w:rsidRDefault="00EE2A31" w:rsidP="00EE2A31">
      <w:pPr>
        <w:spacing w:line="360" w:lineRule="auto"/>
        <w:jc w:val="both"/>
      </w:pPr>
      <w:r>
        <w:t>- Yebuah &amp; Yeboah (2018): Digital divide in Ghana</w:t>
      </w:r>
    </w:p>
    <w:p w14:paraId="75CBB4A9" w14:textId="77777777" w:rsidR="00EE2A31" w:rsidRDefault="00EE2A31" w:rsidP="00EE2A31">
      <w:pPr>
        <w:spacing w:line="360" w:lineRule="auto"/>
        <w:jc w:val="both"/>
      </w:pPr>
      <w:r>
        <w:t>- Donkor &amp; Lamptey (2023): ICT integration challenges</w:t>
      </w:r>
    </w:p>
    <w:p w14:paraId="22DE9F79" w14:textId="77777777" w:rsidR="00EE2A31" w:rsidRDefault="00EE2A31" w:rsidP="00EE2A31">
      <w:pPr>
        <w:spacing w:line="360" w:lineRule="auto"/>
        <w:jc w:val="both"/>
      </w:pPr>
      <w:r>
        <w:t>→ Conclusion: Context-specific adaptation essential</w:t>
      </w:r>
    </w:p>
    <w:p w14:paraId="5198A3F9" w14:textId="77777777" w:rsidR="00EE2A31" w:rsidRDefault="00EE2A31" w:rsidP="00EE2A31">
      <w:pPr>
        <w:spacing w:line="360" w:lineRule="auto"/>
        <w:jc w:val="both"/>
      </w:pPr>
    </w:p>
    <w:p w14:paraId="67D75814" w14:textId="77777777" w:rsidR="00EE2A31" w:rsidRDefault="00EE2A31" w:rsidP="00EE2A31">
      <w:pPr>
        <w:spacing w:line="360" w:lineRule="auto"/>
        <w:jc w:val="both"/>
      </w:pPr>
      <w:r>
        <w:t>SYNTHESIS 4: AI Education Foundation</w:t>
      </w:r>
    </w:p>
    <w:p w14:paraId="4B5AE230" w14:textId="77777777" w:rsidR="00EE2A31" w:rsidRDefault="00EE2A31" w:rsidP="00EE2A31">
      <w:pPr>
        <w:spacing w:line="360" w:lineRule="auto"/>
        <w:jc w:val="both"/>
      </w:pPr>
      <w:r>
        <w:t>- Touretzky et al. (2019): Five Big Ideas framework</w:t>
      </w:r>
    </w:p>
    <w:p w14:paraId="78A42CFE" w14:textId="77777777" w:rsidR="00EE2A31" w:rsidRDefault="00EE2A31" w:rsidP="00EE2A31">
      <w:pPr>
        <w:spacing w:line="360" w:lineRule="auto"/>
        <w:jc w:val="both"/>
      </w:pPr>
      <w:r>
        <w:t>- Long &amp; Magerko (2023): AI literacy competencies</w:t>
      </w:r>
    </w:p>
    <w:p w14:paraId="4D5EF925" w14:textId="77777777" w:rsidR="00EE2A31" w:rsidRDefault="00EE2A31" w:rsidP="00EE2A31">
      <w:pPr>
        <w:spacing w:line="360" w:lineRule="auto"/>
        <w:jc w:val="both"/>
      </w:pPr>
      <w:r>
        <w:lastRenderedPageBreak/>
        <w:t>- Ali et al. (2022): K-12 AI education systematic review</w:t>
      </w:r>
    </w:p>
    <w:p w14:paraId="4F88D76F" w14:textId="77777777" w:rsidR="00EE2A31" w:rsidRDefault="00EE2A31" w:rsidP="00EE2A31">
      <w:pPr>
        <w:spacing w:line="360" w:lineRule="auto"/>
        <w:jc w:val="both"/>
      </w:pPr>
      <w:r>
        <w:t>- Perrotti et al. (2023): Ethics education</w:t>
      </w:r>
    </w:p>
    <w:p w14:paraId="4FBD92BE" w14:textId="77777777" w:rsidR="00EE2A31" w:rsidRDefault="00EE2A31" w:rsidP="00EE2A31">
      <w:pPr>
        <w:spacing w:line="360" w:lineRule="auto"/>
        <w:jc w:val="both"/>
      </w:pPr>
      <w:r>
        <w:t>→ Conclusion: Framework exists; implementation needed in developing contexts</w:t>
      </w:r>
    </w:p>
    <w:p w14:paraId="36B35F90" w14:textId="77777777" w:rsidR="00EE2A31" w:rsidRDefault="00EE2A31" w:rsidP="00EE2A31">
      <w:pPr>
        <w:spacing w:line="360" w:lineRule="auto"/>
        <w:jc w:val="both"/>
      </w:pPr>
    </w:p>
    <w:p w14:paraId="1A65D74E" w14:textId="77777777" w:rsidR="00EE2A31" w:rsidRDefault="00EE2A31" w:rsidP="00EE2A31">
      <w:pPr>
        <w:spacing w:line="360" w:lineRule="auto"/>
        <w:jc w:val="both"/>
      </w:pPr>
      <w:r>
        <w:t>SYNTHESIS 5: Teacher Support</w:t>
      </w:r>
    </w:p>
    <w:p w14:paraId="50018375" w14:textId="77777777" w:rsidR="00EE2A31" w:rsidRDefault="00EE2A31" w:rsidP="00EE2A31">
      <w:pPr>
        <w:spacing w:line="360" w:lineRule="auto"/>
        <w:jc w:val="both"/>
      </w:pPr>
      <w:r>
        <w:t>- Desimone (2009): Effective PD characteristics</w:t>
      </w:r>
    </w:p>
    <w:p w14:paraId="651CFB37" w14:textId="77777777" w:rsidR="00EE2A31" w:rsidRDefault="00EE2A31" w:rsidP="00EE2A31">
      <w:pPr>
        <w:spacing w:line="360" w:lineRule="auto"/>
        <w:jc w:val="both"/>
      </w:pPr>
      <w:r>
        <w:t>- Chiu et al. (2023): AI teacher PD</w:t>
      </w:r>
    </w:p>
    <w:p w14:paraId="23DE5369" w14:textId="77777777" w:rsidR="00EE2A31" w:rsidRDefault="00EE2A31" w:rsidP="00EE2A31">
      <w:pPr>
        <w:spacing w:line="360" w:lineRule="auto"/>
        <w:jc w:val="both"/>
      </w:pPr>
      <w:r>
        <w:t>- Sentance &amp; Csizmadia (2022): Teacher perspectives on blocks</w:t>
      </w:r>
    </w:p>
    <w:p w14:paraId="2332A23C" w14:textId="77777777" w:rsidR="00EE2A31" w:rsidRDefault="00EE2A31" w:rsidP="00EE2A31">
      <w:pPr>
        <w:spacing w:line="360" w:lineRule="auto"/>
        <w:jc w:val="both"/>
      </w:pPr>
      <w:r>
        <w:t>- Bean et al. (2015): Self-efficacy factors</w:t>
      </w:r>
    </w:p>
    <w:p w14:paraId="6886AF63" w14:textId="77777777" w:rsidR="00EE2A31" w:rsidRDefault="00EE2A31" w:rsidP="00EE2A31">
      <w:pPr>
        <w:spacing w:line="360" w:lineRule="auto"/>
        <w:jc w:val="both"/>
      </w:pPr>
      <w:r>
        <w:t>→ Conclusion: Multi-faceted teacher support system needed</w:t>
      </w:r>
    </w:p>
    <w:p w14:paraId="12034FC5" w14:textId="77777777" w:rsidR="00EE2A31" w:rsidRDefault="00EE2A31" w:rsidP="00EE2A31">
      <w:pPr>
        <w:spacing w:line="360" w:lineRule="auto"/>
        <w:jc w:val="both"/>
      </w:pPr>
    </w:p>
    <w:p w14:paraId="2417F423" w14:textId="77777777" w:rsidR="00EE2A31" w:rsidRDefault="00EE2A31" w:rsidP="00EE2A31">
      <w:pPr>
        <w:spacing w:line="360" w:lineRule="auto"/>
        <w:jc w:val="both"/>
      </w:pPr>
      <w:r>
        <w:t>================================================================================</w:t>
      </w:r>
    </w:p>
    <w:p w14:paraId="45FDA5B3" w14:textId="77777777" w:rsidR="00EE2A31" w:rsidRDefault="00EE2A31" w:rsidP="00EE2A31">
      <w:pPr>
        <w:spacing w:line="360" w:lineRule="auto"/>
        <w:jc w:val="both"/>
      </w:pPr>
      <w:r>
        <w:t>MOST FREQUENTLY CITED PAPERS (Your "Core" References)</w:t>
      </w:r>
    </w:p>
    <w:p w14:paraId="2ECAACB4" w14:textId="77777777" w:rsidR="00EE2A31" w:rsidRDefault="00EE2A31" w:rsidP="00EE2A31">
      <w:pPr>
        <w:spacing w:line="360" w:lineRule="auto"/>
        <w:jc w:val="both"/>
      </w:pPr>
      <w:r>
        <w:t>================================================================================</w:t>
      </w:r>
    </w:p>
    <w:p w14:paraId="305045B7" w14:textId="77777777" w:rsidR="00EE2A31" w:rsidRDefault="00EE2A31" w:rsidP="00EE2A31">
      <w:pPr>
        <w:spacing w:line="360" w:lineRule="auto"/>
        <w:jc w:val="both"/>
      </w:pPr>
    </w:p>
    <w:p w14:paraId="128F4C88" w14:textId="77777777" w:rsidR="00EE2A31" w:rsidRDefault="00EE2A31" w:rsidP="00EE2A31">
      <w:pPr>
        <w:spacing w:line="360" w:lineRule="auto"/>
        <w:jc w:val="both"/>
      </w:pPr>
      <w:r>
        <w:t>1. Papert (1980) - Theoretical foundation (cite 3-5 times)</w:t>
      </w:r>
    </w:p>
    <w:p w14:paraId="1E77C916" w14:textId="77777777" w:rsidR="00EE2A31" w:rsidRDefault="00EE2A31" w:rsidP="00EE2A31">
      <w:pPr>
        <w:spacing w:line="360" w:lineRule="auto"/>
        <w:jc w:val="both"/>
      </w:pPr>
      <w:r>
        <w:t>2. Resnick et al. (2009) - Scratch foundation (cite 3-5 times)</w:t>
      </w:r>
    </w:p>
    <w:p w14:paraId="746A1600" w14:textId="77777777" w:rsidR="00EE2A31" w:rsidRDefault="00EE2A31" w:rsidP="00EE2A31">
      <w:pPr>
        <w:spacing w:line="360" w:lineRule="auto"/>
        <w:jc w:val="both"/>
      </w:pPr>
      <w:r>
        <w:t>3. Wing (2006) - CT definition (cite 2-3 times)</w:t>
      </w:r>
    </w:p>
    <w:p w14:paraId="24DAE301" w14:textId="77777777" w:rsidR="00EE2A31" w:rsidRDefault="00EE2A31" w:rsidP="00EE2A31">
      <w:pPr>
        <w:spacing w:line="360" w:lineRule="auto"/>
        <w:jc w:val="both"/>
      </w:pPr>
      <w:r>
        <w:t>4. Weintrop &amp; Wilensky (2017) - Transition challenge (cite 2-3 times)</w:t>
      </w:r>
    </w:p>
    <w:p w14:paraId="7C437181" w14:textId="77777777" w:rsidR="00EE2A31" w:rsidRDefault="00EE2A31" w:rsidP="00EE2A31">
      <w:pPr>
        <w:spacing w:line="360" w:lineRule="auto"/>
        <w:jc w:val="both"/>
      </w:pPr>
      <w:r>
        <w:t>5. Milošević (2021) - Blockly technical (cite 2-3 times)</w:t>
      </w:r>
    </w:p>
    <w:p w14:paraId="42666164" w14:textId="77777777" w:rsidR="00EE2A31" w:rsidRDefault="00EE2A31" w:rsidP="00EE2A31">
      <w:pPr>
        <w:spacing w:line="360" w:lineRule="auto"/>
        <w:jc w:val="both"/>
      </w:pPr>
      <w:r>
        <w:lastRenderedPageBreak/>
        <w:t>6. Oyelere et al. (2017) - Africa context (cite 3-5 times)</w:t>
      </w:r>
    </w:p>
    <w:p w14:paraId="6CB31929" w14:textId="77777777" w:rsidR="00EE2A31" w:rsidRDefault="00EE2A31" w:rsidP="00EE2A31">
      <w:pPr>
        <w:spacing w:line="360" w:lineRule="auto"/>
        <w:jc w:val="both"/>
      </w:pPr>
      <w:r>
        <w:t>7. Relkin et al. (2022) - Recent evidence (cite 2-3 times)</w:t>
      </w:r>
    </w:p>
    <w:p w14:paraId="2DD91FF3" w14:textId="77777777" w:rsidR="00EE2A31" w:rsidRDefault="00EE2A31" w:rsidP="00EE2A31">
      <w:pPr>
        <w:spacing w:line="360" w:lineRule="auto"/>
        <w:jc w:val="both"/>
      </w:pPr>
      <w:r>
        <w:t>8. Touretzky et al. (2019) - AI framework (cite 2-3 times)</w:t>
      </w:r>
    </w:p>
    <w:p w14:paraId="7DAB7009" w14:textId="77777777" w:rsidR="00EE2A31" w:rsidRDefault="00EE2A31" w:rsidP="00EE2A31">
      <w:pPr>
        <w:spacing w:line="360" w:lineRule="auto"/>
        <w:jc w:val="both"/>
      </w:pPr>
      <w:r>
        <w:t>9. Shute et al. (2023) - Assessment (cite 2-3 times)</w:t>
      </w:r>
    </w:p>
    <w:p w14:paraId="34F60367" w14:textId="77777777" w:rsidR="00EE2A31" w:rsidRDefault="00EE2A31" w:rsidP="00EE2A31">
      <w:pPr>
        <w:spacing w:line="360" w:lineRule="auto"/>
        <w:jc w:val="both"/>
      </w:pPr>
      <w:r>
        <w:t>10. Bhardwaj et al. (2022) - Offline-first (cite 2-3 times)</w:t>
      </w:r>
    </w:p>
    <w:p w14:paraId="5CED6341" w14:textId="77777777" w:rsidR="00EE2A31" w:rsidRDefault="00EE2A31" w:rsidP="00EE2A31">
      <w:pPr>
        <w:spacing w:line="360" w:lineRule="auto"/>
        <w:jc w:val="both"/>
      </w:pPr>
      <w:r>
        <w:t>11. Anderson &amp; Shattuck (2012) - Methodology (cite 2-3 times)</w:t>
      </w:r>
    </w:p>
    <w:p w14:paraId="1A05907A" w14:textId="77777777" w:rsidR="00EE2A31" w:rsidRDefault="00EE2A31" w:rsidP="00EE2A31">
      <w:pPr>
        <w:spacing w:line="360" w:lineRule="auto"/>
        <w:jc w:val="both"/>
      </w:pPr>
      <w:r>
        <w:t>12. Adarkwah et al. (2022) - Ghana EdTech (cite 2-3 times)</w:t>
      </w:r>
    </w:p>
    <w:p w14:paraId="62846652" w14:textId="77777777" w:rsidR="00EE2A31" w:rsidRDefault="00EE2A31" w:rsidP="00EE2A31">
      <w:pPr>
        <w:spacing w:line="360" w:lineRule="auto"/>
        <w:jc w:val="both"/>
      </w:pPr>
    </w:p>
    <w:p w14:paraId="0C563501" w14:textId="77777777" w:rsidR="00EE2A31" w:rsidRDefault="00EE2A31" w:rsidP="00EE2A31">
      <w:pPr>
        <w:spacing w:line="360" w:lineRule="auto"/>
        <w:jc w:val="both"/>
      </w:pPr>
      <w:r>
        <w:t>================================================================================</w:t>
      </w:r>
    </w:p>
    <w:p w14:paraId="623C1957" w14:textId="77777777" w:rsidR="00EE2A31" w:rsidRDefault="00EE2A31" w:rsidP="00EE2A31">
      <w:pPr>
        <w:spacing w:line="360" w:lineRule="auto"/>
        <w:jc w:val="both"/>
      </w:pPr>
      <w:r>
        <w:t>ESTIMATED SECTION WORD COUNTS</w:t>
      </w:r>
    </w:p>
    <w:p w14:paraId="36A4FE5D" w14:textId="77777777" w:rsidR="00EE2A31" w:rsidRDefault="00EE2A31" w:rsidP="00EE2A31">
      <w:pPr>
        <w:spacing w:line="360" w:lineRule="auto"/>
        <w:jc w:val="both"/>
      </w:pPr>
      <w:r>
        <w:t>================================================================================</w:t>
      </w:r>
    </w:p>
    <w:p w14:paraId="72BF14DE" w14:textId="77777777" w:rsidR="00EE2A31" w:rsidRDefault="00EE2A31" w:rsidP="00EE2A31">
      <w:pPr>
        <w:spacing w:line="360" w:lineRule="auto"/>
        <w:jc w:val="both"/>
      </w:pPr>
    </w:p>
    <w:p w14:paraId="279075BF" w14:textId="77777777" w:rsidR="00EE2A31" w:rsidRDefault="00EE2A31" w:rsidP="00EE2A31">
      <w:pPr>
        <w:spacing w:line="360" w:lineRule="auto"/>
        <w:jc w:val="both"/>
      </w:pPr>
      <w:r>
        <w:t>Abstract:           250 words</w:t>
      </w:r>
    </w:p>
    <w:p w14:paraId="6C01E5D8" w14:textId="77777777" w:rsidR="00EE2A31" w:rsidRDefault="00EE2A31" w:rsidP="00EE2A31">
      <w:pPr>
        <w:spacing w:line="360" w:lineRule="auto"/>
        <w:jc w:val="both"/>
      </w:pPr>
      <w:r>
        <w:t>Introduction:       1,200 words</w:t>
      </w:r>
    </w:p>
    <w:p w14:paraId="1FDB77EC" w14:textId="77777777" w:rsidR="00EE2A31" w:rsidRDefault="00EE2A31" w:rsidP="00EE2A31">
      <w:pPr>
        <w:spacing w:line="360" w:lineRule="auto"/>
        <w:jc w:val="both"/>
      </w:pPr>
      <w:r>
        <w:t>Literature Review:  4,000 words</w:t>
      </w:r>
    </w:p>
    <w:p w14:paraId="4194544D" w14:textId="77777777" w:rsidR="00EE2A31" w:rsidRDefault="00EE2A31" w:rsidP="00EE2A31">
      <w:pPr>
        <w:spacing w:line="360" w:lineRule="auto"/>
        <w:jc w:val="both"/>
      </w:pPr>
      <w:r>
        <w:t>Platform Design:    2,200 words</w:t>
      </w:r>
    </w:p>
    <w:p w14:paraId="7272F752" w14:textId="77777777" w:rsidR="00EE2A31" w:rsidRDefault="00EE2A31" w:rsidP="00EE2A31">
      <w:pPr>
        <w:spacing w:line="360" w:lineRule="auto"/>
        <w:jc w:val="both"/>
      </w:pPr>
      <w:r>
        <w:t>Methodology:        1,200 words (if applicable)</w:t>
      </w:r>
    </w:p>
    <w:p w14:paraId="3F86ED77" w14:textId="77777777" w:rsidR="00EE2A31" w:rsidRDefault="00EE2A31" w:rsidP="00EE2A31">
      <w:pPr>
        <w:spacing w:line="360" w:lineRule="auto"/>
        <w:jc w:val="both"/>
      </w:pPr>
      <w:r>
        <w:t>Results:            1,500 words (if applicable)</w:t>
      </w:r>
    </w:p>
    <w:p w14:paraId="3650BEA1" w14:textId="77777777" w:rsidR="00EE2A31" w:rsidRDefault="00EE2A31" w:rsidP="00EE2A31">
      <w:pPr>
        <w:spacing w:line="360" w:lineRule="auto"/>
        <w:jc w:val="both"/>
      </w:pPr>
      <w:r>
        <w:t>Discussion:         1,800 words</w:t>
      </w:r>
    </w:p>
    <w:p w14:paraId="52ADFC81" w14:textId="77777777" w:rsidR="00EE2A31" w:rsidRDefault="00EE2A31" w:rsidP="00EE2A31">
      <w:pPr>
        <w:spacing w:line="360" w:lineRule="auto"/>
        <w:jc w:val="both"/>
      </w:pPr>
      <w:r>
        <w:t>Conclusion:         600 words</w:t>
      </w:r>
    </w:p>
    <w:p w14:paraId="77BCCEC8" w14:textId="77777777" w:rsidR="00EE2A31" w:rsidRDefault="00EE2A31" w:rsidP="00EE2A31">
      <w:pPr>
        <w:spacing w:line="360" w:lineRule="auto"/>
        <w:jc w:val="both"/>
      </w:pPr>
    </w:p>
    <w:p w14:paraId="2155BA68" w14:textId="77777777" w:rsidR="00EE2A31" w:rsidRDefault="00EE2A31" w:rsidP="00EE2A31">
      <w:pPr>
        <w:spacing w:line="360" w:lineRule="auto"/>
        <w:jc w:val="both"/>
      </w:pPr>
      <w:r>
        <w:t>TOTAL:              ~11,750 words (without references)</w:t>
      </w:r>
    </w:p>
    <w:p w14:paraId="70DCE30C" w14:textId="77777777" w:rsidR="00EE2A31" w:rsidRDefault="00EE2A31" w:rsidP="00EE2A31">
      <w:pPr>
        <w:spacing w:line="360" w:lineRule="auto"/>
        <w:jc w:val="both"/>
      </w:pPr>
    </w:p>
    <w:p w14:paraId="64FF3732" w14:textId="77777777" w:rsidR="00EE2A31" w:rsidRDefault="00EE2A31" w:rsidP="00EE2A31">
      <w:pPr>
        <w:spacing w:line="360" w:lineRule="auto"/>
        <w:jc w:val="both"/>
      </w:pPr>
      <w:r>
        <w:t>================================================================================</w:t>
      </w:r>
    </w:p>
    <w:p w14:paraId="2DF57279" w14:textId="77777777" w:rsidR="00EE2A31" w:rsidRDefault="00EE2A31" w:rsidP="00EE2A31">
      <w:pPr>
        <w:spacing w:line="360" w:lineRule="auto"/>
        <w:jc w:val="both"/>
      </w:pPr>
      <w:r>
        <w:t>END OF OUTLINE</w:t>
      </w:r>
    </w:p>
    <w:p w14:paraId="3C3568B8" w14:textId="77777777" w:rsidR="00EE2A31" w:rsidRDefault="00EE2A31" w:rsidP="00EE2A31">
      <w:pPr>
        <w:spacing w:line="360" w:lineRule="auto"/>
        <w:jc w:val="both"/>
      </w:pPr>
      <w:r>
        <w:t>================================================================================</w:t>
      </w:r>
    </w:p>
    <w:p w14:paraId="67FF2FBC" w14:textId="77777777" w:rsidR="00EE2A31" w:rsidRDefault="00EE2A31" w:rsidP="00EE2A31">
      <w:pPr>
        <w:spacing w:line="360" w:lineRule="auto"/>
        <w:jc w:val="both"/>
      </w:pPr>
    </w:p>
    <w:p w14:paraId="43D737C8" w14:textId="77777777" w:rsidR="00EE2A31" w:rsidRDefault="00EE2A31" w:rsidP="00EE2A31">
      <w:pPr>
        <w:spacing w:line="360" w:lineRule="auto"/>
        <w:jc w:val="both"/>
      </w:pPr>
      <w:r>
        <w:t>NEXT STEPS:</w:t>
      </w:r>
    </w:p>
    <w:p w14:paraId="3283D07E" w14:textId="77777777" w:rsidR="00EE2A31" w:rsidRDefault="00EE2A31" w:rsidP="00EE2A31">
      <w:pPr>
        <w:spacing w:line="360" w:lineRule="auto"/>
        <w:jc w:val="both"/>
      </w:pPr>
      <w:r>
        <w:t>1. Review this outline and adjust section weights as needed</w:t>
      </w:r>
    </w:p>
    <w:p w14:paraId="05E24DA4" w14:textId="77777777" w:rsidR="00EE2A31" w:rsidRDefault="00EE2A31" w:rsidP="00EE2A31">
      <w:pPr>
        <w:spacing w:line="360" w:lineRule="auto"/>
        <w:jc w:val="both"/>
      </w:pPr>
      <w:r>
        <w:t>2. Create detailed paragraph outlines for each subsection</w:t>
      </w:r>
    </w:p>
    <w:p w14:paraId="55C93437" w14:textId="77777777" w:rsidR="00EE2A31" w:rsidRDefault="00EE2A31" w:rsidP="00EE2A31">
      <w:pPr>
        <w:spacing w:line="360" w:lineRule="auto"/>
        <w:jc w:val="both"/>
      </w:pPr>
      <w:r>
        <w:t>3. Use literature_matrix_detailed.csv to identify citations for each point</w:t>
      </w:r>
    </w:p>
    <w:p w14:paraId="22E4FF32" w14:textId="77777777" w:rsidR="00EE2A31" w:rsidRDefault="00EE2A31" w:rsidP="00EE2A31">
      <w:pPr>
        <w:spacing w:line="360" w:lineRule="auto"/>
        <w:jc w:val="both"/>
      </w:pPr>
      <w:r>
        <w:t>4. Begin writing with Section 3 (Literature Review) - easiest to start</w:t>
      </w:r>
    </w:p>
    <w:p w14:paraId="461ED324" w14:textId="77777777" w:rsidR="00EE2A31" w:rsidRDefault="00EE2A31" w:rsidP="00EE2A31">
      <w:pPr>
        <w:spacing w:line="360" w:lineRule="auto"/>
        <w:jc w:val="both"/>
      </w:pPr>
      <w:r>
        <w:t>5. Write Section 4 (Platform) using your own knowledge</w:t>
      </w:r>
    </w:p>
    <w:p w14:paraId="2796EBD7" w14:textId="77777777" w:rsidR="00EE2A31" w:rsidRDefault="00EE2A31" w:rsidP="00EE2A31">
      <w:pPr>
        <w:spacing w:line="360" w:lineRule="auto"/>
        <w:jc w:val="both"/>
      </w:pPr>
      <w:r>
        <w:t>6. Write Introduction last (after you know what you're introducing)</w:t>
      </w:r>
    </w:p>
    <w:p w14:paraId="63E24FD3" w14:textId="77777777" w:rsidR="00EE2A31" w:rsidRDefault="00EE2A31" w:rsidP="00EE2A31">
      <w:pPr>
        <w:spacing w:line="360" w:lineRule="auto"/>
        <w:jc w:val="both"/>
      </w:pPr>
      <w:r>
        <w:t>7. Write Abstract and Title last</w:t>
      </w:r>
    </w:p>
    <w:p w14:paraId="7C1D3EBF" w14:textId="77777777" w:rsidR="00EE2A31" w:rsidRDefault="00EE2A31" w:rsidP="00EE2A31">
      <w:pPr>
        <w:spacing w:line="360" w:lineRule="auto"/>
        <w:jc w:val="both"/>
      </w:pPr>
    </w:p>
    <w:p w14:paraId="08FD1136" w14:textId="77777777" w:rsidR="00EE2A31" w:rsidRDefault="00EE2A31" w:rsidP="00EE2A31">
      <w:pPr>
        <w:spacing w:line="360" w:lineRule="auto"/>
        <w:jc w:val="both"/>
      </w:pPr>
      <w:r>
        <w:t>Need help with:</w:t>
      </w:r>
    </w:p>
    <w:p w14:paraId="6F8A06C7" w14:textId="77777777" w:rsidR="00EE2A31" w:rsidRDefault="00EE2A31" w:rsidP="00EE2A31">
      <w:pPr>
        <w:spacing w:line="360" w:lineRule="auto"/>
        <w:jc w:val="both"/>
      </w:pPr>
      <w:r>
        <w:t>- Specific paragraph outlines?</w:t>
      </w:r>
    </w:p>
    <w:p w14:paraId="1D32E90C" w14:textId="77777777" w:rsidR="00EE2A31" w:rsidRDefault="00EE2A31" w:rsidP="00EE2A31">
      <w:pPr>
        <w:spacing w:line="360" w:lineRule="auto"/>
        <w:jc w:val="both"/>
      </w:pPr>
      <w:r>
        <w:t>- Synthesis paragraph drafts?</w:t>
      </w:r>
    </w:p>
    <w:p w14:paraId="45232270" w14:textId="77777777" w:rsidR="00EE2A31" w:rsidRDefault="00EE2A31" w:rsidP="00EE2A31">
      <w:pPr>
        <w:spacing w:line="360" w:lineRule="auto"/>
        <w:jc w:val="both"/>
      </w:pPr>
      <w:r>
        <w:t>- Citation mapping for specific sections?</w:t>
      </w:r>
    </w:p>
    <w:p w14:paraId="09066001" w14:textId="6FECFB8D" w:rsidR="009E2818" w:rsidRDefault="00EE2A31" w:rsidP="00EE2A31">
      <w:pPr>
        <w:spacing w:line="360" w:lineRule="auto"/>
        <w:jc w:val="both"/>
      </w:pPr>
      <w:r>
        <w:lastRenderedPageBreak/>
        <w:t>- Methodology design?</w:t>
      </w:r>
    </w:p>
    <w:sectPr w:rsidR="009E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03"/>
    <w:rsid w:val="000252CA"/>
    <w:rsid w:val="00090408"/>
    <w:rsid w:val="000B6428"/>
    <w:rsid w:val="002327D9"/>
    <w:rsid w:val="00246687"/>
    <w:rsid w:val="00264892"/>
    <w:rsid w:val="00286CC6"/>
    <w:rsid w:val="00382391"/>
    <w:rsid w:val="00395F0E"/>
    <w:rsid w:val="003A123E"/>
    <w:rsid w:val="003A3A7F"/>
    <w:rsid w:val="003F6D69"/>
    <w:rsid w:val="004F3D93"/>
    <w:rsid w:val="005028E9"/>
    <w:rsid w:val="00532EC6"/>
    <w:rsid w:val="00570462"/>
    <w:rsid w:val="005A72D9"/>
    <w:rsid w:val="006C7962"/>
    <w:rsid w:val="00717D81"/>
    <w:rsid w:val="0078026E"/>
    <w:rsid w:val="007822E8"/>
    <w:rsid w:val="007D2F0C"/>
    <w:rsid w:val="00817B85"/>
    <w:rsid w:val="00960D79"/>
    <w:rsid w:val="0098516E"/>
    <w:rsid w:val="009E2818"/>
    <w:rsid w:val="00A202CD"/>
    <w:rsid w:val="00AC48B1"/>
    <w:rsid w:val="00B30293"/>
    <w:rsid w:val="00B34A24"/>
    <w:rsid w:val="00BD6F0F"/>
    <w:rsid w:val="00C20989"/>
    <w:rsid w:val="00C27154"/>
    <w:rsid w:val="00C43B11"/>
    <w:rsid w:val="00CA29BC"/>
    <w:rsid w:val="00D60CB6"/>
    <w:rsid w:val="00D61262"/>
    <w:rsid w:val="00DD78B6"/>
    <w:rsid w:val="00EE02FA"/>
    <w:rsid w:val="00EE2A31"/>
    <w:rsid w:val="00F33000"/>
    <w:rsid w:val="00F35A8F"/>
    <w:rsid w:val="00F54703"/>
    <w:rsid w:val="00F85E5D"/>
    <w:rsid w:val="00F9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E831"/>
  <w15:chartTrackingRefBased/>
  <w15:docId w15:val="{5B8BEB8B-BDA6-4EF8-8412-3C1978C6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703"/>
    <w:rPr>
      <w:rFonts w:eastAsiaTheme="majorEastAsia" w:cstheme="majorBidi"/>
      <w:color w:val="272727" w:themeColor="text1" w:themeTint="D8"/>
    </w:rPr>
  </w:style>
  <w:style w:type="paragraph" w:styleId="Title">
    <w:name w:val="Title"/>
    <w:basedOn w:val="Normal"/>
    <w:next w:val="Normal"/>
    <w:link w:val="TitleChar"/>
    <w:uiPriority w:val="10"/>
    <w:qFormat/>
    <w:rsid w:val="00F5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703"/>
    <w:pPr>
      <w:spacing w:before="160"/>
      <w:jc w:val="center"/>
    </w:pPr>
    <w:rPr>
      <w:i/>
      <w:iCs/>
      <w:color w:val="404040" w:themeColor="text1" w:themeTint="BF"/>
    </w:rPr>
  </w:style>
  <w:style w:type="character" w:customStyle="1" w:styleId="QuoteChar">
    <w:name w:val="Quote Char"/>
    <w:basedOn w:val="DefaultParagraphFont"/>
    <w:link w:val="Quote"/>
    <w:uiPriority w:val="29"/>
    <w:rsid w:val="00F54703"/>
    <w:rPr>
      <w:i/>
      <w:iCs/>
      <w:color w:val="404040" w:themeColor="text1" w:themeTint="BF"/>
    </w:rPr>
  </w:style>
  <w:style w:type="paragraph" w:styleId="ListParagraph">
    <w:name w:val="List Paragraph"/>
    <w:basedOn w:val="Normal"/>
    <w:uiPriority w:val="34"/>
    <w:qFormat/>
    <w:rsid w:val="00F54703"/>
    <w:pPr>
      <w:ind w:left="720"/>
      <w:contextualSpacing/>
    </w:pPr>
  </w:style>
  <w:style w:type="character" w:styleId="IntenseEmphasis">
    <w:name w:val="Intense Emphasis"/>
    <w:basedOn w:val="DefaultParagraphFont"/>
    <w:uiPriority w:val="21"/>
    <w:qFormat/>
    <w:rsid w:val="00F54703"/>
    <w:rPr>
      <w:i/>
      <w:iCs/>
      <w:color w:val="0F4761" w:themeColor="accent1" w:themeShade="BF"/>
    </w:rPr>
  </w:style>
  <w:style w:type="paragraph" w:styleId="IntenseQuote">
    <w:name w:val="Intense Quote"/>
    <w:basedOn w:val="Normal"/>
    <w:next w:val="Normal"/>
    <w:link w:val="IntenseQuoteChar"/>
    <w:uiPriority w:val="30"/>
    <w:qFormat/>
    <w:rsid w:val="00F5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703"/>
    <w:rPr>
      <w:i/>
      <w:iCs/>
      <w:color w:val="0F4761" w:themeColor="accent1" w:themeShade="BF"/>
    </w:rPr>
  </w:style>
  <w:style w:type="character" w:styleId="IntenseReference">
    <w:name w:val="Intense Reference"/>
    <w:basedOn w:val="DefaultParagraphFont"/>
    <w:uiPriority w:val="32"/>
    <w:qFormat/>
    <w:rsid w:val="00F54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90</Pages>
  <Words>24476</Words>
  <Characters>139514</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Hotor</dc:creator>
  <cp:keywords/>
  <dc:description/>
  <cp:lastModifiedBy>Philip Hotor</cp:lastModifiedBy>
  <cp:revision>3</cp:revision>
  <dcterms:created xsi:type="dcterms:W3CDTF">2026-04-19T04:40:00Z</dcterms:created>
  <dcterms:modified xsi:type="dcterms:W3CDTF">2026-04-20T21:26:00Z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169ab9a9-9fe9-47d2-ad25-18a03aa407d5</vt:lpwstr>
  </property>
  <property fmtid="{D5CDD505-2E9C-101B-9397-08002B2CF9AE}" pid="3" name="MSIP_Label_defa4170-0d19-0005-0004-bc88714345d2_Enabled">
    <vt:lpwstr>true</vt:lpwstr>
  </property>
  <property fmtid="{D5CDD505-2E9C-101B-9397-08002B2CF9AE}" pid="4" name="MSIP_Label_defa4170-0d19-0005-0004-bc88714345d2_SetDate">
    <vt:lpwstr>2026-04-19T04:40:39Z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abe67685-8a90-415e-80e0-2aff8fffe4a4</vt:lpwstr>
  </property>
  <property fmtid="{D5CDD505-2E9C-101B-9397-08002B2CF9AE}" pid="8" name="MSIP_Label_defa4170-0d19-0005-0004-bc88714345d2_ActionId">
    <vt:lpwstr>d216a9ea-d6dd-4c25-8061-efe20dd37c23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