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Arial" w:hAnsi="Arial"/>
          <w:b/>
          <w:i w:val="0"/>
          <w:color w:val="1F2937"/>
          <w:sz w:val="48"/>
        </w:rPr>
        <w:t>VLMS Architecture Decision Records</w:t>
      </w:r>
    </w:p>
    <w:p>
      <w:pPr>
        <w:spacing w:after="40" w:before="0"/>
      </w:pPr>
      <w:r>
        <w:rPr>
          <w:rFonts w:ascii="Arial" w:hAnsi="Arial"/>
          <w:b w:val="0"/>
          <w:i w:val="0"/>
          <w:color w:val="374151"/>
          <w:sz w:val="24"/>
        </w:rPr>
        <w:t>Varangians LMS — Design Gate</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400"/>
            <w:shd w:val="clear" w:color="auto" w:fill="374151"/>
          </w:tcPr>
          <w:p>
            <w:pPr>
              <w:spacing w:after="40" w:before="40"/>
            </w:pPr>
            <w:r>
              <w:rPr>
                <w:rFonts w:ascii="Arial" w:hAnsi="Arial"/>
                <w:b/>
                <w:color w:val="FFFFFF"/>
                <w:sz w:val="20"/>
              </w:rPr>
              <w:t>Field</w:t>
            </w:r>
          </w:p>
        </w:tc>
        <w:tc>
          <w:tcPr>
            <w:tcW w:type="dxa" w:w="6626"/>
            <w:shd w:val="clear" w:color="auto" w:fill="374151"/>
          </w:tcPr>
          <w:p>
            <w:pPr>
              <w:spacing w:after="40" w:before="40"/>
            </w:pPr>
            <w:r>
              <w:rPr>
                <w:rFonts w:ascii="Arial" w:hAnsi="Arial"/>
                <w:b/>
                <w:color w:val="FFFFFF"/>
                <w:sz w:val="20"/>
              </w:rPr>
              <w:t>Detail</w:t>
            </w:r>
          </w:p>
        </w:tc>
      </w:tr>
      <w:tr>
        <w:tc>
          <w:tcPr>
            <w:tcW w:type="dxa" w:w="2400"/>
            <w:shd w:val="clear" w:color="auto" w:fill="F3F4F6"/>
          </w:tcPr>
          <w:p>
            <w:pPr>
              <w:spacing w:after="40" w:before="40"/>
            </w:pPr>
            <w:r>
              <w:rPr>
                <w:rFonts w:ascii="Arial" w:hAnsi="Arial"/>
                <w:sz w:val="20"/>
              </w:rPr>
              <w:t>Document</w:t>
            </w:r>
          </w:p>
        </w:tc>
        <w:tc>
          <w:tcPr>
            <w:tcW w:type="dxa" w:w="6626"/>
            <w:shd w:val="clear" w:color="auto" w:fill="F3F4F6"/>
          </w:tcPr>
          <w:p>
            <w:pPr>
              <w:spacing w:after="40" w:before="40"/>
            </w:pPr>
            <w:r>
              <w:rPr>
                <w:rFonts w:ascii="Arial" w:hAnsi="Arial"/>
                <w:sz w:val="20"/>
              </w:rPr>
              <w:t>VLMS Architecture Decision Records</w:t>
            </w:r>
          </w:p>
        </w:tc>
      </w:tr>
      <w:tr>
        <w:tc>
          <w:tcPr>
            <w:tcW w:type="dxa" w:w="2400"/>
            <w:shd w:val="clear" w:color="auto" w:fill="FFFFFF"/>
          </w:tcPr>
          <w:p>
            <w:pPr>
              <w:spacing w:after="40" w:before="40"/>
            </w:pPr>
            <w:r>
              <w:rPr>
                <w:rFonts w:ascii="Arial" w:hAnsi="Arial"/>
                <w:sz w:val="20"/>
              </w:rPr>
              <w:t>Document code</w:t>
            </w:r>
          </w:p>
        </w:tc>
        <w:tc>
          <w:tcPr>
            <w:tcW w:type="dxa" w:w="6626"/>
            <w:shd w:val="clear" w:color="auto" w:fill="FFFFFF"/>
          </w:tcPr>
          <w:p>
            <w:pPr>
              <w:spacing w:after="40" w:before="40"/>
            </w:pPr>
            <w:r>
              <w:rPr>
                <w:rFonts w:ascii="Arial" w:hAnsi="Arial"/>
                <w:sz w:val="20"/>
              </w:rPr>
              <w:t>VLMS-ADR</w:t>
            </w:r>
          </w:p>
        </w:tc>
      </w:tr>
      <w:tr>
        <w:tc>
          <w:tcPr>
            <w:tcW w:type="dxa" w:w="2400"/>
            <w:shd w:val="clear" w:color="auto" w:fill="F3F4F6"/>
          </w:tcPr>
          <w:p>
            <w:pPr>
              <w:spacing w:after="40" w:before="40"/>
            </w:pPr>
            <w:r>
              <w:rPr>
                <w:rFonts w:ascii="Arial" w:hAnsi="Arial"/>
                <w:sz w:val="20"/>
              </w:rPr>
              <w:t>Version</w:t>
            </w:r>
          </w:p>
        </w:tc>
        <w:tc>
          <w:tcPr>
            <w:tcW w:type="dxa" w:w="6626"/>
            <w:shd w:val="clear" w:color="auto" w:fill="F3F4F6"/>
          </w:tcPr>
          <w:p>
            <w:pPr>
              <w:spacing w:after="40" w:before="40"/>
            </w:pPr>
            <w:r>
              <w:rPr>
                <w:rFonts w:ascii="Arial" w:hAnsi="Arial"/>
                <w:sz w:val="20"/>
              </w:rPr>
              <w:t>1.2</w:t>
            </w:r>
          </w:p>
        </w:tc>
      </w:tr>
      <w:tr>
        <w:tc>
          <w:tcPr>
            <w:tcW w:type="dxa" w:w="2400"/>
            <w:shd w:val="clear" w:color="auto" w:fill="FFFFFF"/>
          </w:tcPr>
          <w:p>
            <w:pPr>
              <w:spacing w:after="40" w:before="40"/>
            </w:pPr>
            <w:r>
              <w:rPr>
                <w:rFonts w:ascii="Arial" w:hAnsi="Arial"/>
                <w:sz w:val="20"/>
              </w:rPr>
              <w:t>Status</w:t>
            </w:r>
          </w:p>
        </w:tc>
        <w:tc>
          <w:tcPr>
            <w:tcW w:type="dxa" w:w="6626"/>
            <w:shd w:val="clear" w:color="auto" w:fill="FFFFFF"/>
          </w:tcPr>
          <w:p>
            <w:pPr>
              <w:spacing w:after="40" w:before="40"/>
            </w:pPr>
            <w:r>
              <w:rPr>
                <w:rFonts w:ascii="Arial" w:hAnsi="Arial"/>
                <w:sz w:val="20"/>
              </w:rPr>
              <w:t>Design gate</w:t>
            </w:r>
          </w:p>
        </w:tc>
      </w:tr>
      <w:tr>
        <w:tc>
          <w:tcPr>
            <w:tcW w:type="dxa" w:w="2400"/>
            <w:shd w:val="clear" w:color="auto" w:fill="F3F4F6"/>
          </w:tcPr>
          <w:p>
            <w:pPr>
              <w:spacing w:after="40" w:before="40"/>
            </w:pPr>
            <w:r>
              <w:rPr>
                <w:rFonts w:ascii="Arial" w:hAnsi="Arial"/>
                <w:sz w:val="20"/>
              </w:rPr>
              <w:t>Date</w:t>
            </w:r>
          </w:p>
        </w:tc>
        <w:tc>
          <w:tcPr>
            <w:tcW w:type="dxa" w:w="6626"/>
            <w:shd w:val="clear" w:color="auto" w:fill="F3F4F6"/>
          </w:tcPr>
          <w:p>
            <w:pPr>
              <w:spacing w:after="40" w:before="40"/>
            </w:pPr>
            <w:r>
              <w:rPr>
                <w:rFonts w:ascii="Arial" w:hAnsi="Arial"/>
                <w:sz w:val="20"/>
              </w:rPr>
              <w:t>17 July 2026</w:t>
            </w:r>
          </w:p>
        </w:tc>
      </w:tr>
      <w:tr>
        <w:tc>
          <w:tcPr>
            <w:tcW w:type="dxa" w:w="2400"/>
            <w:shd w:val="clear" w:color="auto" w:fill="FFFFFF"/>
          </w:tcPr>
          <w:p>
            <w:pPr>
              <w:spacing w:after="40" w:before="40"/>
            </w:pPr>
            <w:r>
              <w:rPr>
                <w:rFonts w:ascii="Arial" w:hAnsi="Arial"/>
                <w:sz w:val="20"/>
              </w:rPr>
              <w:t>Author</w:t>
            </w:r>
          </w:p>
        </w:tc>
        <w:tc>
          <w:tcPr>
            <w:tcW w:type="dxa" w:w="6626"/>
            <w:shd w:val="clear" w:color="auto" w:fill="FFFFFF"/>
          </w:tcPr>
          <w:p>
            <w:pPr>
              <w:spacing w:after="40" w:before="40"/>
            </w:pPr>
            <w:r>
              <w:rPr>
                <w:rFonts w:ascii="Arial" w:hAnsi="Arial"/>
                <w:sz w:val="20"/>
              </w:rPr>
              <w:t>Philip</w:t>
            </w:r>
          </w:p>
        </w:tc>
      </w:tr>
      <w:tr>
        <w:tc>
          <w:tcPr>
            <w:tcW w:type="dxa" w:w="2400"/>
            <w:shd w:val="clear" w:color="auto" w:fill="F3F4F6"/>
          </w:tcPr>
          <w:p>
            <w:pPr>
              <w:spacing w:after="40" w:before="40"/>
            </w:pPr>
            <w:r>
              <w:rPr>
                <w:rFonts w:ascii="Arial" w:hAnsi="Arial"/>
                <w:sz w:val="20"/>
              </w:rPr>
              <w:t>Reviewers</w:t>
            </w:r>
          </w:p>
        </w:tc>
        <w:tc>
          <w:tcPr>
            <w:tcW w:type="dxa" w:w="6626"/>
            <w:shd w:val="clear" w:color="auto" w:fill="F3F4F6"/>
          </w:tcPr>
          <w:p>
            <w:pPr>
              <w:spacing w:after="40" w:before="40"/>
            </w:pPr>
            <w:r>
              <w:rPr>
                <w:rFonts w:ascii="Arial" w:hAnsi="Arial"/>
                <w:sz w:val="20"/>
              </w:rPr>
              <w:t>Philip (sole reviewer / approver)</w:t>
            </w:r>
          </w:p>
        </w:tc>
      </w:tr>
      <w:tr>
        <w:tc>
          <w:tcPr>
            <w:tcW w:type="dxa" w:w="2400"/>
            <w:shd w:val="clear" w:color="auto" w:fill="FFFFFF"/>
          </w:tcPr>
          <w:p>
            <w:pPr>
              <w:spacing w:after="40" w:before="40"/>
            </w:pPr>
            <w:r>
              <w:rPr>
                <w:rFonts w:ascii="Arial" w:hAnsi="Arial"/>
                <w:sz w:val="20"/>
              </w:rPr>
              <w:t>Approver</w:t>
            </w:r>
          </w:p>
        </w:tc>
        <w:tc>
          <w:tcPr>
            <w:tcW w:type="dxa" w:w="6626"/>
            <w:shd w:val="clear" w:color="auto" w:fill="FFFFFF"/>
          </w:tcPr>
          <w:p>
            <w:pPr>
              <w:spacing w:after="40" w:before="40"/>
            </w:pPr>
            <w:r>
              <w:rPr>
                <w:rFonts w:ascii="Arial" w:hAnsi="Arial"/>
                <w:sz w:val="20"/>
              </w:rPr>
              <w:t>[TBC]</w:t>
            </w:r>
          </w:p>
        </w:tc>
      </w:tr>
      <w:tr>
        <w:tc>
          <w:tcPr>
            <w:tcW w:type="dxa" w:w="2400"/>
            <w:shd w:val="clear" w:color="auto" w:fill="F3F4F6"/>
          </w:tcPr>
          <w:p>
            <w:pPr>
              <w:spacing w:after="40" w:before="40"/>
            </w:pPr>
            <w:r>
              <w:rPr>
                <w:rFonts w:ascii="Arial" w:hAnsi="Arial"/>
                <w:sz w:val="20"/>
              </w:rPr>
              <w:t>Scope / phase</w:t>
            </w:r>
          </w:p>
        </w:tc>
        <w:tc>
          <w:tcPr>
            <w:tcW w:type="dxa" w:w="6626"/>
            <w:shd w:val="clear" w:color="auto" w:fill="F3F4F6"/>
          </w:tcPr>
          <w:p>
            <w:pPr>
              <w:spacing w:after="40" w:before="40"/>
            </w:pPr>
            <w:r>
              <w:rPr>
                <w:rFonts w:ascii="Arial" w:hAnsi="Arial"/>
                <w:sz w:val="20"/>
              </w:rPr>
              <w:t>Design gate</w:t>
            </w:r>
          </w:p>
        </w:tc>
      </w:tr>
      <w:tr>
        <w:tc>
          <w:tcPr>
            <w:tcW w:type="dxa" w:w="2400"/>
            <w:shd w:val="clear" w:color="auto" w:fill="FFFFFF"/>
          </w:tcPr>
          <w:p>
            <w:pPr>
              <w:spacing w:after="40" w:before="40"/>
            </w:pPr>
            <w:r>
              <w:rPr>
                <w:rFonts w:ascii="Arial" w:hAnsi="Arial"/>
                <w:sz w:val="20"/>
              </w:rPr>
              <w:t>Related documents</w:t>
            </w:r>
          </w:p>
        </w:tc>
        <w:tc>
          <w:tcPr>
            <w:tcW w:type="dxa" w:w="6626"/>
            <w:shd w:val="clear" w:color="auto" w:fill="FFFFFF"/>
          </w:tcPr>
          <w:p>
            <w:pPr>
              <w:spacing w:after="40" w:before="40"/>
            </w:pPr>
            <w:r>
              <w:rPr>
                <w:rFonts w:ascii="Arial" w:hAnsi="Arial"/>
                <w:sz w:val="20"/>
              </w:rPr>
              <w:t>adr/0001-technology-stack.md, adr/0002-roles-as-application-claims.md, adr/0003-scheduled-jobs-webjobs.md, adr/0004-sensitive-data-access-control.md, adr/README.md</w:t>
            </w:r>
          </w:p>
        </w:tc>
      </w:tr>
    </w:tbl>
    <w:p>
      <w:pPr>
        <w:spacing w:after="80"/>
      </w:pPr>
    </w:p>
    <w:p>
      <w:pPr>
        <w:keepNext/>
        <w:spacing w:before="200" w:after="80"/>
        <w:outlineLvl w:val="1"/>
      </w:pPr>
      <w:r>
        <w:rPr>
          <w:rFonts w:ascii="Arial" w:hAnsi="Arial"/>
          <w:b/>
          <w:color w:val="1F2937"/>
          <w:sz w:val="26"/>
        </w:rPr>
        <w:t>Change History</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2256"/>
        <w:gridCol w:w="2256"/>
        <w:gridCol w:w="2256"/>
        <w:gridCol w:w="2256"/>
      </w:tblGrid>
      <w:tr>
        <w:tc>
          <w:tcPr>
            <w:tcW w:type="dxa" w:w="1150"/>
            <w:shd w:val="clear" w:color="auto" w:fill="374151"/>
          </w:tcPr>
          <w:p>
            <w:pPr>
              <w:spacing w:after="40" w:before="40"/>
            </w:pPr>
            <w:r>
              <w:rPr>
                <w:rFonts w:ascii="Arial" w:hAnsi="Arial"/>
                <w:b/>
                <w:color w:val="FFFFFF"/>
                <w:sz w:val="20"/>
              </w:rPr>
              <w:t>Version</w:t>
            </w:r>
          </w:p>
        </w:tc>
        <w:tc>
          <w:tcPr>
            <w:tcW w:type="dxa" w:w="1500"/>
            <w:shd w:val="clear" w:color="auto" w:fill="374151"/>
          </w:tcPr>
          <w:p>
            <w:pPr>
              <w:spacing w:after="40" w:before="40"/>
            </w:pPr>
            <w:r>
              <w:rPr>
                <w:rFonts w:ascii="Arial" w:hAnsi="Arial"/>
                <w:b/>
                <w:color w:val="FFFFFF"/>
                <w:sz w:val="20"/>
              </w:rPr>
              <w:t>Date</w:t>
            </w:r>
          </w:p>
        </w:tc>
        <w:tc>
          <w:tcPr>
            <w:tcW w:type="dxa" w:w="2700"/>
            <w:shd w:val="clear" w:color="auto" w:fill="374151"/>
          </w:tcPr>
          <w:p>
            <w:pPr>
              <w:spacing w:after="40" w:before="40"/>
            </w:pPr>
            <w:r>
              <w:rPr>
                <w:rFonts w:ascii="Arial" w:hAnsi="Arial"/>
                <w:b/>
                <w:color w:val="FFFFFF"/>
                <w:sz w:val="20"/>
              </w:rPr>
              <w:t>Author</w:t>
            </w:r>
          </w:p>
        </w:tc>
        <w:tc>
          <w:tcPr>
            <w:tcW w:type="dxa" w:w="3676"/>
            <w:shd w:val="clear" w:color="auto" w:fill="374151"/>
          </w:tcPr>
          <w:p>
            <w:pPr>
              <w:spacing w:after="40" w:before="40"/>
            </w:pPr>
            <w:r>
              <w:rPr>
                <w:rFonts w:ascii="Arial" w:hAnsi="Arial"/>
                <w:b/>
                <w:color w:val="FFFFFF"/>
                <w:sz w:val="20"/>
              </w:rPr>
              <w:t>Summary</w:t>
            </w:r>
          </w:p>
        </w:tc>
      </w:tr>
      <w:tr>
        <w:tc>
          <w:tcPr>
            <w:tcW w:type="dxa" w:w="1150"/>
            <w:shd w:val="clear" w:color="auto" w:fill="F3F4F6"/>
          </w:tcPr>
          <w:p>
            <w:pPr>
              <w:spacing w:after="40" w:before="40"/>
            </w:pPr>
            <w:r>
              <w:rPr>
                <w:rFonts w:ascii="Arial" w:hAnsi="Arial"/>
                <w:sz w:val="20"/>
              </w:rPr>
              <w:t>1.0</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Initial design gate release, rendered from docs/ working markdown.</w:t>
            </w:r>
          </w:p>
        </w:tc>
      </w:tr>
      <w:tr>
        <w:tc>
          <w:tcPr>
            <w:tcW w:type="dxa" w:w="1150"/>
            <w:shd w:val="clear" w:color="auto" w:fill="FFFFFF"/>
          </w:tcPr>
          <w:p>
            <w:pPr>
              <w:spacing w:after="40" w:before="40"/>
            </w:pPr>
            <w:r>
              <w:rPr>
                <w:rFonts w:ascii="Arial" w:hAnsi="Arial"/>
                <w:sz w:val="20"/>
              </w:rPr>
              <w:t>1.1</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addressing design-gate review: added ADR-0002 (roles as application claims), ADR-0003 (scheduled jobs via WebJobs), ADR-0004 (sensitive-data access control) — 4 ADRs now recorded (was 1).</w:t>
            </w:r>
          </w:p>
        </w:tc>
      </w:tr>
      <w:tr>
        <w:tc>
          <w:tcPr>
            <w:tcW w:type="dxa" w:w="1150"/>
            <w:shd w:val="clear" w:color="auto" w:fill="F3F4F6"/>
          </w:tcPr>
          <w:p>
            <w:pPr>
              <w:spacing w:after="40" w:before="40"/>
            </w:pPr>
            <w:r>
              <w:rPr>
                <w:rFonts w:ascii="Arial" w:hAnsi="Arial"/>
                <w:sz w:val="20"/>
              </w:rPr>
              <w:t>1.2</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Re-render: ADR-0004 rewritten in full following a second design-review pass that found the original per-column masking mechanism technically impossible; now records the ConsentRecord/ConsentSensitiveDetails entity split + EF Core global query filter + DbCommandInterceptor read-audit decision, with tamper protection and 6-year retention, and the original mechanism kept as a documented rejected alternative.</w:t>
            </w:r>
          </w:p>
        </w:tc>
      </w:tr>
    </w:tbl>
    <w:p>
      <w:pPr>
        <w:spacing w:after="80"/>
      </w:pPr>
    </w:p>
    <w:p>
      <w:r>
        <w:br w:type="page"/>
      </w:r>
    </w:p>
    <w:p>
      <w:pPr>
        <w:keepNext/>
        <w:spacing w:before="280" w:after="120"/>
        <w:outlineLvl w:val="0"/>
      </w:pPr>
      <w:r>
        <w:rPr>
          <w:rFonts w:ascii="Arial" w:hAnsi="Arial"/>
          <w:b/>
          <w:color w:val="111827"/>
          <w:sz w:val="32"/>
        </w:rPr>
        <w:t>Contents</w:t>
      </w:r>
    </w:p>
    <w:p>
      <w:fldSimple w:instr="TOC \o &quot;1-2&quot; \h \z \u">
        <w:r>
          <w:t>Right-click and choose "Update Field" to build the contents.</w:t>
        </w:r>
      </w:fldSimple>
    </w:p>
    <w:p>
      <w:r>
        <w:br w:type="page"/>
      </w:r>
    </w:p>
    <w:p>
      <w:pPr>
        <w:spacing w:after="120" w:before="0"/>
      </w:pPr>
      <w:r>
        <w:rPr>
          <w:rFonts w:ascii="Arial" w:hAnsi="Arial"/>
          <w:b w:val="0"/>
          <w:i/>
          <w:sz w:val="22"/>
        </w:rPr>
        <w:t>Format: Nygard / MADR (context, decision, status, consequences, alternatives). ADRs are added as new decisions are made during design (adr/README.md). Four ADRs are recorded at this gate; ADR-0004 has been revised once, at a second design review.</w:t>
      </w:r>
    </w:p>
    <w:p>
      <w:pPr>
        <w:keepNext/>
        <w:spacing w:before="280" w:after="120"/>
        <w:outlineLvl w:val="0"/>
      </w:pPr>
      <w:r>
        <w:rPr>
          <w:rFonts w:ascii="Arial" w:hAnsi="Arial"/>
          <w:b/>
          <w:color w:val="111827"/>
          <w:sz w:val="32"/>
        </w:rPr>
        <w:t>ADR-0001: Technology stack — Blazor + Azure</w:t>
      </w:r>
    </w:p>
    <w:p>
      <w:pPr>
        <w:spacing w:after="120" w:before="0"/>
      </w:pPr>
      <w:r>
        <w:rPr>
          <w:rFonts w:ascii="Arial" w:hAnsi="Arial"/>
          <w:b/>
          <w:i w:val="0"/>
          <w:sz w:val="22"/>
        </w:rPr>
        <w:t>Status: Accepted</w:t>
      </w:r>
    </w:p>
    <w:p>
      <w:pPr>
        <w:keepNext/>
        <w:spacing w:before="200" w:after="80"/>
        <w:outlineLvl w:val="1"/>
      </w:pPr>
      <w:r>
        <w:rPr>
          <w:rFonts w:ascii="Arial" w:hAnsi="Arial"/>
          <w:b/>
          <w:color w:val="1F2937"/>
          <w:sz w:val="26"/>
        </w:rPr>
        <w:t>Context</w:t>
      </w:r>
    </w:p>
    <w:p>
      <w:pPr>
        <w:pStyle w:val="ListBullet"/>
        <w:spacing w:after="60"/>
      </w:pPr>
      <w:r>
        <w:rPr>
          <w:rFonts w:ascii="Arial" w:hAnsi="Arial"/>
          <w:sz w:val="22"/>
        </w:rPr>
        <w:t>Must be accessible via phone, tablet, and browser.</w:t>
      </w:r>
    </w:p>
    <w:p>
      <w:pPr>
        <w:pStyle w:val="ListBullet"/>
        <w:spacing w:after="60"/>
      </w:pPr>
      <w:r>
        <w:rPr>
          <w:rFonts w:ascii="Arial" w:hAnsi="Arial"/>
          <w:sz w:val="22"/>
        </w:rPr>
        <w:t>Solo developer, no dedicated ops team, must minimise ongoing maintenance burden.</w:t>
      </w:r>
    </w:p>
    <w:p>
      <w:pPr>
        <w:pStyle w:val="ListBullet"/>
        <w:spacing w:after="60"/>
      </w:pPr>
      <w:r>
        <w:rPr>
          <w:rFonts w:ascii="Arial" w:hAnsi="Arial"/>
          <w:sz w:val="22"/>
        </w:rPr>
        <w:t>Small scale: tens of users per role (Admin, Teacher, Approver, Parent/Guardian, Student, Safeguarding Officer), not hundreds/thousands.</w:t>
      </w:r>
    </w:p>
    <w:p>
      <w:pPr>
        <w:pStyle w:val="ListBullet"/>
        <w:spacing w:after="60"/>
      </w:pPr>
      <w:r>
        <w:rPr>
          <w:rFonts w:ascii="Arial" w:hAnsi="Arial"/>
          <w:sz w:val="22"/>
        </w:rPr>
        <w:t>No hard budget ceiling, but a stated preference for low ongoing hosting cost.</w:t>
      </w:r>
    </w:p>
    <w:p>
      <w:pPr>
        <w:pStyle w:val="ListBullet"/>
        <w:spacing w:after="60"/>
      </w:pPr>
      <w:r>
        <w:rPr>
          <w:rFonts w:ascii="Arial" w:hAnsi="Arial"/>
          <w:sz w:val="22"/>
        </w:rPr>
        <w:t>Manages special-category/children's personal data (safeguarding, medical, consent, DBS).</w:t>
      </w:r>
    </w:p>
    <w:p>
      <w:pPr>
        <w:pStyle w:val="ListBullet"/>
        <w:spacing w:after="60"/>
      </w:pPr>
      <w:r>
        <w:rPr>
          <w:rFonts w:ascii="Arial" w:hAnsi="Arial"/>
          <w:sz w:val="22"/>
        </w:rPr>
        <w:t>Standalone system: no integration with an existing membership/payments/calendar platform; only needs outbound transactional email.</w:t>
      </w:r>
    </w:p>
    <w:p>
      <w:pPr>
        <w:pStyle w:val="ListBullet"/>
        <w:spacing w:after="60"/>
      </w:pPr>
      <w:r>
        <w:rPr>
          <w:rFonts w:ascii="Arial" w:hAnsi="Arial"/>
          <w:sz w:val="22"/>
        </w:rPr>
        <w:t>Certificates are auto-generated PDF documents.</w:t>
      </w:r>
    </w:p>
    <w:p>
      <w:pPr>
        <w:keepNext/>
        <w:spacing w:before="200" w:after="80"/>
        <w:outlineLvl w:val="1"/>
      </w:pPr>
      <w:r>
        <w:rPr>
          <w:rFonts w:ascii="Arial" w:hAnsi="Arial"/>
          <w:b/>
          <w:color w:val="1F2937"/>
          <w:sz w:val="26"/>
        </w:rPr>
        <w:t>Decision</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400"/>
            <w:shd w:val="clear" w:color="auto" w:fill="374151"/>
          </w:tcPr>
          <w:p>
            <w:pPr>
              <w:spacing w:after="40" w:before="40"/>
            </w:pPr>
            <w:r>
              <w:rPr>
                <w:rFonts w:ascii="Arial" w:hAnsi="Arial"/>
                <w:b/>
                <w:color w:val="FFFFFF"/>
                <w:sz w:val="20"/>
              </w:rPr>
              <w:t>Concern</w:t>
            </w:r>
          </w:p>
        </w:tc>
        <w:tc>
          <w:tcPr>
            <w:tcW w:type="dxa" w:w="6626"/>
            <w:shd w:val="clear" w:color="auto" w:fill="374151"/>
          </w:tcPr>
          <w:p>
            <w:pPr>
              <w:spacing w:after="40" w:before="40"/>
            </w:pPr>
            <w:r>
              <w:rPr>
                <w:rFonts w:ascii="Arial" w:hAnsi="Arial"/>
                <w:b/>
                <w:color w:val="FFFFFF"/>
                <w:sz w:val="20"/>
              </w:rPr>
              <w:t>Choice</w:t>
            </w:r>
          </w:p>
        </w:tc>
      </w:tr>
      <w:tr>
        <w:tc>
          <w:tcPr>
            <w:tcW w:type="dxa" w:w="2400"/>
            <w:shd w:val="clear" w:color="auto" w:fill="F3F4F6"/>
          </w:tcPr>
          <w:p>
            <w:pPr>
              <w:spacing w:after="40" w:before="40"/>
            </w:pPr>
            <w:r>
              <w:rPr>
                <w:rFonts w:ascii="Arial" w:hAnsi="Arial"/>
                <w:sz w:val="20"/>
              </w:rPr>
              <w:t>Client</w:t>
            </w:r>
          </w:p>
        </w:tc>
        <w:tc>
          <w:tcPr>
            <w:tcW w:type="dxa" w:w="6626"/>
            <w:shd w:val="clear" w:color="auto" w:fill="F3F4F6"/>
          </w:tcPr>
          <w:p>
            <w:pPr>
              <w:spacing w:after="40" w:before="40"/>
            </w:pPr>
            <w:r>
              <w:rPr>
                <w:rFonts w:ascii="Arial" w:hAnsi="Arial"/>
                <w:sz w:val="20"/>
              </w:rPr>
              <w:t>Blazor Web App (.NET), responsive, PWA-installable</w:t>
            </w:r>
          </w:p>
        </w:tc>
      </w:tr>
      <w:tr>
        <w:tc>
          <w:tcPr>
            <w:tcW w:type="dxa" w:w="2400"/>
            <w:shd w:val="clear" w:color="auto" w:fill="FFFFFF"/>
          </w:tcPr>
          <w:p>
            <w:pPr>
              <w:spacing w:after="40" w:before="40"/>
            </w:pPr>
            <w:r>
              <w:rPr>
                <w:rFonts w:ascii="Arial" w:hAnsi="Arial"/>
                <w:sz w:val="20"/>
              </w:rPr>
              <w:t>Hosting</w:t>
            </w:r>
          </w:p>
        </w:tc>
        <w:tc>
          <w:tcPr>
            <w:tcW w:type="dxa" w:w="6626"/>
            <w:shd w:val="clear" w:color="auto" w:fill="FFFFFF"/>
          </w:tcPr>
          <w:p>
            <w:pPr>
              <w:spacing w:after="40" w:before="40"/>
            </w:pPr>
            <w:r>
              <w:rPr>
                <w:rFonts w:ascii="Arial" w:hAnsi="Arial"/>
                <w:sz w:val="20"/>
              </w:rPr>
              <w:t>Azure App Service (Linux), Basic (B1) tier initially</w:t>
            </w:r>
          </w:p>
        </w:tc>
      </w:tr>
      <w:tr>
        <w:tc>
          <w:tcPr>
            <w:tcW w:type="dxa" w:w="2400"/>
            <w:shd w:val="clear" w:color="auto" w:fill="F3F4F6"/>
          </w:tcPr>
          <w:p>
            <w:pPr>
              <w:spacing w:after="40" w:before="40"/>
            </w:pPr>
            <w:r>
              <w:rPr>
                <w:rFonts w:ascii="Arial" w:hAnsi="Arial"/>
                <w:sz w:val="20"/>
              </w:rPr>
              <w:t>Database</w:t>
            </w:r>
          </w:p>
        </w:tc>
        <w:tc>
          <w:tcPr>
            <w:tcW w:type="dxa" w:w="6626"/>
            <w:shd w:val="clear" w:color="auto" w:fill="F3F4F6"/>
          </w:tcPr>
          <w:p>
            <w:pPr>
              <w:spacing w:after="40" w:before="40"/>
            </w:pPr>
            <w:r>
              <w:rPr>
                <w:rFonts w:ascii="Arial" w:hAnsi="Arial"/>
                <w:sz w:val="20"/>
              </w:rPr>
              <w:t>Azure SQL Database, Basic/S0 tier initially</w:t>
            </w:r>
          </w:p>
        </w:tc>
      </w:tr>
      <w:tr>
        <w:tc>
          <w:tcPr>
            <w:tcW w:type="dxa" w:w="2400"/>
            <w:shd w:val="clear" w:color="auto" w:fill="FFFFFF"/>
          </w:tcPr>
          <w:p>
            <w:pPr>
              <w:spacing w:after="40" w:before="40"/>
            </w:pPr>
            <w:r>
              <w:rPr>
                <w:rFonts w:ascii="Arial" w:hAnsi="Arial"/>
                <w:sz w:val="20"/>
              </w:rPr>
              <w:t>Identity</w:t>
            </w:r>
          </w:p>
        </w:tc>
        <w:tc>
          <w:tcPr>
            <w:tcW w:type="dxa" w:w="6626"/>
            <w:shd w:val="clear" w:color="auto" w:fill="FFFFFF"/>
          </w:tcPr>
          <w:p>
            <w:pPr>
              <w:spacing w:after="40" w:before="40"/>
            </w:pPr>
            <w:r>
              <w:rPr>
                <w:rFonts w:ascii="Arial" w:hAnsi="Arial"/>
                <w:sz w:val="20"/>
              </w:rPr>
              <w:t>Microsoft Entra External ID (CIAM) for Teacher/Approver/Parent/Student/Safeguarding Officer/Admin sign-in</w:t>
            </w:r>
          </w:p>
        </w:tc>
      </w:tr>
      <w:tr>
        <w:tc>
          <w:tcPr>
            <w:tcW w:type="dxa" w:w="2400"/>
            <w:shd w:val="clear" w:color="auto" w:fill="F3F4F6"/>
          </w:tcPr>
          <w:p>
            <w:pPr>
              <w:spacing w:after="40" w:before="40"/>
            </w:pPr>
            <w:r>
              <w:rPr>
                <w:rFonts w:ascii="Arial" w:hAnsi="Arial"/>
                <w:sz w:val="20"/>
              </w:rPr>
              <w:t>File storage</w:t>
            </w:r>
          </w:p>
        </w:tc>
        <w:tc>
          <w:tcPr>
            <w:tcW w:type="dxa" w:w="6626"/>
            <w:shd w:val="clear" w:color="auto" w:fill="F3F4F6"/>
          </w:tcPr>
          <w:p>
            <w:pPr>
              <w:spacing w:after="40" w:before="40"/>
            </w:pPr>
            <w:r>
              <w:rPr>
                <w:rFonts w:ascii="Arial" w:hAnsi="Arial"/>
                <w:sz w:val="20"/>
              </w:rPr>
              <w:t>Azure Blob Storage — lesson content assets, generated certificate PDFs</w:t>
            </w:r>
          </w:p>
        </w:tc>
      </w:tr>
      <w:tr>
        <w:tc>
          <w:tcPr>
            <w:tcW w:type="dxa" w:w="2400"/>
            <w:shd w:val="clear" w:color="auto" w:fill="FFFFFF"/>
          </w:tcPr>
          <w:p>
            <w:pPr>
              <w:spacing w:after="40" w:before="40"/>
            </w:pPr>
            <w:r>
              <w:rPr>
                <w:rFonts w:ascii="Arial" w:hAnsi="Arial"/>
                <w:sz w:val="20"/>
              </w:rPr>
              <w:t>Email</w:t>
            </w:r>
          </w:p>
        </w:tc>
        <w:tc>
          <w:tcPr>
            <w:tcW w:type="dxa" w:w="6626"/>
            <w:shd w:val="clear" w:color="auto" w:fill="FFFFFF"/>
          </w:tcPr>
          <w:p>
            <w:pPr>
              <w:spacing w:after="40" w:before="40"/>
            </w:pPr>
            <w:r>
              <w:rPr>
                <w:rFonts w:ascii="Arial" w:hAnsi="Arial"/>
                <w:sz w:val="20"/>
              </w:rPr>
              <w:t>Azure Communication Services Email — transactional email (notifications, expiry reminders)</w:t>
            </w:r>
          </w:p>
        </w:tc>
      </w:tr>
      <w:tr>
        <w:tc>
          <w:tcPr>
            <w:tcW w:type="dxa" w:w="2400"/>
            <w:shd w:val="clear" w:color="auto" w:fill="F3F4F6"/>
          </w:tcPr>
          <w:p>
            <w:pPr>
              <w:spacing w:after="40" w:before="40"/>
            </w:pPr>
            <w:r>
              <w:rPr>
                <w:rFonts w:ascii="Arial" w:hAnsi="Arial"/>
                <w:sz w:val="20"/>
              </w:rPr>
              <w:t>PDF generation</w:t>
            </w:r>
          </w:p>
        </w:tc>
        <w:tc>
          <w:tcPr>
            <w:tcW w:type="dxa" w:w="6626"/>
            <w:shd w:val="clear" w:color="auto" w:fill="F3F4F6"/>
          </w:tcPr>
          <w:p>
            <w:pPr>
              <w:spacing w:after="40" w:before="40"/>
            </w:pPr>
            <w:r>
              <w:rPr>
                <w:rFonts w:ascii="Arial" w:hAnsi="Arial"/>
                <w:sz w:val="20"/>
              </w:rPr>
              <w:t>QuestPDF (open-source .NET library, Community licence)</w:t>
            </w:r>
          </w:p>
        </w:tc>
      </w:tr>
    </w:tbl>
    <w:p>
      <w:pPr>
        <w:spacing w:after="80"/>
      </w:pP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Client — .NET MAUI native app + separate Web API: rejected, app-store distribution/update cycles add solo-maintainer overhead disproportionate to a tens-of-users audience; Blazor meets the phone/tablet/browser requirement with one codebase.</w:t>
      </w:r>
    </w:p>
    <w:p>
      <w:pPr>
        <w:pStyle w:val="ListBullet"/>
        <w:spacing w:after="60"/>
      </w:pPr>
      <w:r>
        <w:rPr>
          <w:rFonts w:ascii="Arial" w:hAnsi="Arial"/>
          <w:sz w:val="22"/>
        </w:rPr>
        <w:t>Identity — Azure AD B2C: rejected, retired for new customers as of May 2025 (Microsoft Entra fundamentals, learn.microsoft.com/entra/architecture/secure-fundamentals); Entra External ID is Microsoft's current CIAM product (learn.microsoft.com/entra/external-id/external-identities-overview).</w:t>
      </w:r>
    </w:p>
    <w:p>
      <w:pPr>
        <w:pStyle w:val="ListBullet"/>
        <w:spacing w:after="60"/>
      </w:pPr>
      <w:r>
        <w:rPr>
          <w:rFonts w:ascii="Arial" w:hAnsi="Arial"/>
          <w:sz w:val="22"/>
        </w:rPr>
        <w:t>Identity — custom ASP.NET Core Identity: rejected, would require building and maintaining password/MFA/account-recovery flows solo, which Entra External ID provides out of the box.</w:t>
      </w:r>
    </w:p>
    <w:p>
      <w:pPr>
        <w:pStyle w:val="ListBullet"/>
        <w:spacing w:after="60"/>
      </w:pPr>
      <w:r>
        <w:rPr>
          <w:rFonts w:ascii="Arial" w:hAnsi="Arial"/>
          <w:sz w:val="22"/>
        </w:rPr>
        <w:t>Hosting — Azure Container Apps / Functions: rejected for v1, App Service is the simplest operational model for a single Blazor Web App at this scale; can revisit if scale-to-zero cost savings become material.</w:t>
      </w:r>
    </w:p>
    <w:p>
      <w:pPr>
        <w:pStyle w:val="ListBullet"/>
        <w:spacing w:after="60"/>
      </w:pPr>
      <w:r>
        <w:rPr>
          <w:rFonts w:ascii="Arial" w:hAnsi="Arial"/>
          <w:sz w:val="22"/>
        </w:rPr>
        <w:t>Database — Azure Cosmos DB: rejected, the domain is strongly relational and best served by a relational store with EF Core.</w:t>
      </w:r>
    </w:p>
    <w:p>
      <w:pPr>
        <w:pStyle w:val="ListBullet"/>
        <w:spacing w:after="60"/>
      </w:pPr>
      <w:r>
        <w:rPr>
          <w:rFonts w:ascii="Arial" w:hAnsi="Arial"/>
          <w:sz w:val="22"/>
        </w:rPr>
        <w:t>PDF generation — IronPDF, DinkToPdf: rejected, QuestPDF chosen for its free Community licence at this scale and native C# fluent API (no HTML/headless-browser dependency).</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All identity/auth work is delegated to Entra External ID; user-role mapping must be modelled as application-level authorization (ADR-0002), not built from scratch.</w:t>
      </w:r>
    </w:p>
    <w:p>
      <w:pPr>
        <w:pStyle w:val="ListBullet"/>
        <w:spacing w:after="60"/>
      </w:pPr>
      <w:r>
        <w:rPr>
          <w:rFonts w:ascii="Arial" w:hAnsi="Arial"/>
          <w:sz w:val="22"/>
        </w:rPr>
        <w:t>QuestPDF is a non-Microsoft dependency; licence terms should be re-checked if the project ever exceeds the Community licence's revenue/org-size threshold.</w:t>
      </w:r>
    </w:p>
    <w:p>
      <w:pPr>
        <w:pStyle w:val="ListBullet"/>
        <w:spacing w:after="60"/>
      </w:pPr>
      <w:r>
        <w:rPr>
          <w:rFonts w:ascii="Arial" w:hAnsi="Arial"/>
          <w:sz w:val="22"/>
        </w:rPr>
        <w:t>Azure Communication Services Email requires a verified sending domain before go-live.</w:t>
      </w:r>
    </w:p>
    <w:p>
      <w:pPr>
        <w:pStyle w:val="ListBullet"/>
        <w:spacing w:after="60"/>
      </w:pPr>
      <w:r>
        <w:rPr>
          <w:rFonts w:ascii="Arial" w:hAnsi="Arial"/>
          <w:sz w:val="22"/>
        </w:rPr>
        <w:t>Starting tiers (App Service B1, SQL Basic/S0) are sized for tens-of-users load; scaling up is a configuration change, not a redesign, if usage grows materially beyond the ~2-year assumption (A-002).</w:t>
      </w:r>
    </w:p>
    <w:p>
      <w:pPr>
        <w:keepNext/>
        <w:spacing w:before="280" w:after="120"/>
        <w:outlineLvl w:val="0"/>
      </w:pPr>
      <w:r>
        <w:rPr>
          <w:rFonts w:ascii="Arial" w:hAnsi="Arial"/>
          <w:b/>
          <w:color w:val="111827"/>
          <w:sz w:val="32"/>
        </w:rPr>
        <w:t>ADR-0002: User roles modelled as application claims, not native Entra External ID groups</w:t>
      </w:r>
    </w:p>
    <w:p>
      <w:pPr>
        <w:spacing w:after="120" w:before="0"/>
      </w:pPr>
      <w:r>
        <w:rPr>
          <w:rFonts w:ascii="Arial" w:hAnsi="Arial"/>
          <w:b/>
          <w:i w:val="0"/>
          <w:sz w:val="22"/>
        </w:rPr>
        <w:t>Status: Accepted</w:t>
      </w:r>
    </w:p>
    <w:p>
      <w:pPr>
        <w:keepNext/>
        <w:spacing w:before="200" w:after="80"/>
        <w:outlineLvl w:val="1"/>
      </w:pPr>
      <w:r>
        <w:rPr>
          <w:rFonts w:ascii="Arial" w:hAnsi="Arial"/>
          <w:b/>
          <w:color w:val="1F2937"/>
          <w:sz w:val="26"/>
        </w:rPr>
        <w:t>Context</w:t>
      </w:r>
    </w:p>
    <w:p>
      <w:pPr>
        <w:spacing w:after="120" w:before="0"/>
      </w:pPr>
      <w:r>
        <w:rPr>
          <w:rFonts w:ascii="Arial" w:hAnsi="Arial"/>
          <w:b w:val="0"/>
          <w:i w:val="0"/>
          <w:sz w:val="22"/>
        </w:rPr>
        <w:t>VLMS uses Microsoft Entra External ID for authentication (ADR-0001). Six roles exist: Admin, Teacher, Approver, Parent, Student, Safeguarding Officer (stakeholders.md). Some authorization decisions are pure role checks (e.g. only Safeguarding Officer/Admin may view DbsCheck), but others are resource-scoped and role alone cannot express them: a Parent's access is scoped to specific Student records via StudentGuardianLink, not just 'is a Parent' (data-design.md).</w:t>
      </w:r>
    </w:p>
    <w:p>
      <w:pPr>
        <w:keepNext/>
        <w:spacing w:before="200" w:after="80"/>
        <w:outlineLvl w:val="1"/>
      </w:pPr>
      <w:r>
        <w:rPr>
          <w:rFonts w:ascii="Arial" w:hAnsi="Arial"/>
          <w:b/>
          <w:color w:val="1F2937"/>
          <w:sz w:val="26"/>
        </w:rPr>
        <w:t>Decision</w:t>
      </w:r>
    </w:p>
    <w:p>
      <w:pPr>
        <w:spacing w:after="120" w:before="0"/>
      </w:pPr>
      <w:r>
        <w:rPr>
          <w:rFonts w:ascii="Arial" w:hAnsi="Arial"/>
          <w:b w:val="0"/>
          <w:i w:val="0"/>
          <w:sz w:val="22"/>
        </w:rPr>
        <w:t>Model roles as an application-level UserRole table (AppUser 1:N UserRole), enforced through ASP.NET Core authorization policies plus resource-based handlers — not as native Entra External ID group membership.</w:t>
      </w: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Native Entra External ID groups, mapped 1:1 to the six roles — rejected: groups express 'is a member of role X' well, but cannot express 'is a Parent of this specific Student', which is central to the access model. Resource-scoped authorization has to live in the application regardless, so keeping role membership there too avoids splitting the access-control model across two systems.</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Role and resource-scope checks live in one place (Vlms.Web authorization policies + handlers), which is easier for a solo maintainer to reason about and test than a split model.</w:t>
      </w:r>
    </w:p>
    <w:p>
      <w:pPr>
        <w:pStyle w:val="ListBullet"/>
        <w:spacing w:after="60"/>
      </w:pPr>
      <w:r>
        <w:rPr>
          <w:rFonts w:ascii="Arial" w:hAnsi="Arial"/>
          <w:sz w:val="22"/>
        </w:rPr>
        <w:t>A user's role is not visible/manageable directly from the Entra admin center — role assignment is an application feature (Admin UI), which must itself be access-controlled (only Admin can assign roles).</w:t>
      </w:r>
    </w:p>
    <w:p>
      <w:pPr>
        <w:pStyle w:val="ListBullet"/>
        <w:spacing w:after="60"/>
      </w:pPr>
      <w:r>
        <w:rPr>
          <w:rFonts w:ascii="Arial" w:hAnsi="Arial"/>
          <w:sz w:val="22"/>
        </w:rPr>
        <w:t>If the user base later grows enough that centralised (Entra-level) role governance becomes valuable, this can be revisited without changing the data model — UserRole could be populated from Entra group claims instead of an app-managed table.</w:t>
      </w:r>
    </w:p>
    <w:p>
      <w:pPr>
        <w:keepNext/>
        <w:spacing w:before="280" w:after="120"/>
        <w:outlineLvl w:val="0"/>
      </w:pPr>
      <w:r>
        <w:rPr>
          <w:rFonts w:ascii="Arial" w:hAnsi="Arial"/>
          <w:b/>
          <w:color w:val="111827"/>
          <w:sz w:val="32"/>
        </w:rPr>
        <w:t>ADR-0003: Scheduled/background work via Azure App Service WebJobs</w:t>
      </w:r>
    </w:p>
    <w:p>
      <w:pPr>
        <w:spacing w:after="120" w:before="0"/>
      </w:pPr>
      <w:r>
        <w:rPr>
          <w:rFonts w:ascii="Arial" w:hAnsi="Arial"/>
          <w:b/>
          <w:i w:val="0"/>
          <w:sz w:val="22"/>
        </w:rPr>
        <w:t>Status: Accepted</w:t>
      </w:r>
    </w:p>
    <w:p>
      <w:pPr>
        <w:keepNext/>
        <w:spacing w:before="200" w:after="80"/>
        <w:outlineLvl w:val="1"/>
      </w:pPr>
      <w:r>
        <w:rPr>
          <w:rFonts w:ascii="Arial" w:hAnsi="Arial"/>
          <w:b/>
          <w:color w:val="1F2937"/>
          <w:sz w:val="26"/>
        </w:rPr>
        <w:t>Context</w:t>
      </w:r>
    </w:p>
    <w:p>
      <w:pPr>
        <w:spacing w:after="120" w:before="0"/>
      </w:pPr>
      <w:r>
        <w:rPr>
          <w:rFonts w:ascii="Arial" w:hAnsi="Arial"/>
          <w:b w:val="0"/>
          <w:i w:val="0"/>
          <w:sz w:val="22"/>
        </w:rPr>
        <w:t>VLMS needs recurring background work: daily consent/DBS expiry monitoring with escalation, and at-risk/disengaged student flagging (8-week no-completion threshold) — see VLMS-LLD (ConsentExpiryJob). This is the only background/scheduled workload in the system; everything else is synchronous, user-triggered web request handling.</w:t>
      </w:r>
    </w:p>
    <w:p>
      <w:pPr>
        <w:keepNext/>
        <w:spacing w:before="200" w:after="80"/>
        <w:outlineLvl w:val="1"/>
      </w:pPr>
      <w:r>
        <w:rPr>
          <w:rFonts w:ascii="Arial" w:hAnsi="Arial"/>
          <w:b/>
          <w:color w:val="1F2937"/>
          <w:sz w:val="26"/>
        </w:rPr>
        <w:t>Decision</w:t>
      </w:r>
    </w:p>
    <w:p>
      <w:pPr>
        <w:spacing w:after="120" w:before="0"/>
      </w:pPr>
      <w:r>
        <w:rPr>
          <w:rFonts w:ascii="Arial" w:hAnsi="Arial"/>
          <w:b w:val="0"/>
          <w:i w:val="0"/>
          <w:sz w:val="22"/>
        </w:rPr>
        <w:t>Run this as an Azure App Service WebJob, co-located with the Vlms.Web App Service plan.</w:t>
      </w: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Azure Functions (Timer trigger) in a separate Function App — rejected for v1: adds a second Azure resource to provision, monitor, and pay for (per RAID R-002, solo-maintainer bus-factor risk means fewer moving parts is a genuine mitigation, not just convenience), for a single daily job with no independent scaling need at tens-of-users scale.</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The scheduled job shares the App Service plan's compute and lifecycle with the web app — a deployment of Vlms.Web also redeploys the WebJob; there is no independent scaling or failure isolation between them.</w:t>
      </w:r>
    </w:p>
    <w:p>
      <w:pPr>
        <w:pStyle w:val="ListBullet"/>
        <w:spacing w:after="60"/>
      </w:pPr>
      <w:r>
        <w:rPr>
          <w:rFonts w:ascii="Arial" w:hAnsi="Arial"/>
          <w:sz w:val="22"/>
        </w:rPr>
        <w:t>If the background workload grows materially, migrating to Azure Functions is a contained change — it does not affect the domain logic in Vlms.Domain, only the hosting/trigger mechanism.</w:t>
      </w:r>
    </w:p>
    <w:p>
      <w:pPr>
        <w:pStyle w:val="ListBullet"/>
        <w:spacing w:after="60"/>
      </w:pPr>
      <w:r>
        <w:rPr>
          <w:rFonts w:ascii="Arial" w:hAnsi="Arial"/>
          <w:sz w:val="22"/>
        </w:rPr>
        <w:t>WebJob failures must be monitored explicitly (e.g. Application Insights alerting) since there is no separate Functions-portal execution history to fall back on.</w:t>
      </w:r>
    </w:p>
    <w:p>
      <w:pPr>
        <w:keepNext/>
        <w:spacing w:before="280" w:after="120"/>
        <w:outlineLvl w:val="0"/>
      </w:pPr>
      <w:r>
        <w:rPr>
          <w:rFonts w:ascii="Arial" w:hAnsi="Arial"/>
          <w:b/>
          <w:color w:val="111827"/>
          <w:sz w:val="32"/>
        </w:rPr>
        <w:t>ADR-0004: Sensitive data access control — entity split + EF Core query filters + read audit log</w:t>
      </w:r>
    </w:p>
    <w:p>
      <w:pPr>
        <w:spacing w:after="120" w:before="0"/>
      </w:pPr>
      <w:r>
        <w:rPr>
          <w:rFonts w:ascii="Arial" w:hAnsi="Arial"/>
          <w:b/>
          <w:i w:val="0"/>
          <w:sz w:val="22"/>
        </w:rPr>
        <w:t>Status: Accepted (revised after design review caught a flaw in the first version of this decision — see Context)</w:t>
      </w:r>
    </w:p>
    <w:p>
      <w:pPr>
        <w:keepNext/>
        <w:spacing w:before="200" w:after="80"/>
        <w:outlineLvl w:val="1"/>
      </w:pPr>
      <w:r>
        <w:rPr>
          <w:rFonts w:ascii="Arial" w:hAnsi="Arial"/>
          <w:b/>
          <w:color w:val="1F2937"/>
          <w:sz w:val="26"/>
        </w:rPr>
        <w:t>Context</w:t>
      </w:r>
    </w:p>
    <w:p>
      <w:pPr>
        <w:spacing w:after="120" w:before="0"/>
      </w:pPr>
      <w:r>
        <w:rPr>
          <w:rFonts w:ascii="Arial" w:hAnsi="Arial"/>
          <w:b w:val="0"/>
          <w:i w:val="0"/>
          <w:sz w:val="22"/>
        </w:rPr>
        <w:t>VLMS stores special-category and children's personal data directly (DbsCheck, and originally three sensitive fields on ConsentRecord) with a confirmed, role-specific access model: DbsCheck is restricted entirely to Admin/Safeguarding Officer; the sensitive consent fields are masked from Teacher and Approver, who nonetheless still need ConsentRecord.Status/ExpiryDate to enforce the consent-blocks-lesson-completion rule (FR-003).</w:t>
      </w:r>
    </w:p>
    <w:p>
      <w:pPr>
        <w:spacing w:after="120" w:before="0"/>
      </w:pPr>
      <w:r>
        <w:rPr>
          <w:rFonts w:ascii="Arial" w:hAnsi="Arial"/>
          <w:b w:val="0"/>
          <w:i w:val="0"/>
          <w:sz w:val="22"/>
        </w:rPr>
        <w:t>A design review raised three issues, the first of which invalidated the original mechanism:</w:t>
      </w:r>
    </w:p>
    <w:p>
      <w:pPr>
        <w:pStyle w:val="ListNumber"/>
        <w:spacing w:after="60"/>
      </w:pPr>
      <w:r>
        <w:rPr>
          <w:rFonts w:ascii="Arial" w:hAnsi="Arial"/>
          <w:sz w:val="22"/>
        </w:rPr>
        <w:t>The original decision specified EF Core global query filters to mask individual ConsentRecord columns. This is not possible: a global query filter is a row-inclusion predicate (HasQueryFilter) — it can only include or exclude an entire row, not redact specific columns within a row that a role otherwise legitimately needs (Teacher needs Status/ExpiryDate from the same row the sensitive fields lived on). The mechanism as originally specified could not deliver the masking it claimed to.</w:t>
      </w:r>
    </w:p>
    <w:p>
      <w:pPr>
        <w:pStyle w:val="ListNumber"/>
        <w:spacing w:after="60"/>
      </w:pPr>
      <w:r>
        <w:rPr>
          <w:rFonts w:ascii="Arial" w:hAnsi="Arial"/>
          <w:sz w:val="22"/>
        </w:rPr>
        <w:t>If masking/restriction is instead implemented as an opt-in per-call convention, one missed query/report call site leaks sensitive data.</w:t>
      </w:r>
    </w:p>
    <w:p>
      <w:pPr>
        <w:pStyle w:val="ListNumber"/>
        <w:spacing w:after="60"/>
      </w:pPr>
      <w:r>
        <w:rPr>
          <w:rFonts w:ascii="Arial" w:hAnsi="Arial"/>
          <w:sz w:val="22"/>
        </w:rPr>
        <w:t>The original design logged who created/approved a safeguarding record but nothing logged who subsequently read one.</w:t>
      </w:r>
    </w:p>
    <w:p>
      <w:pPr>
        <w:keepNext/>
        <w:spacing w:before="200" w:after="80"/>
        <w:outlineLvl w:val="1"/>
      </w:pPr>
      <w:r>
        <w:rPr>
          <w:rFonts w:ascii="Arial" w:hAnsi="Arial"/>
          <w:b/>
          <w:color w:val="1F2937"/>
          <w:sz w:val="26"/>
        </w:rPr>
        <w:t>Decision</w:t>
      </w:r>
    </w:p>
    <w:p>
      <w:pPr>
        <w:pStyle w:val="ListNumber"/>
        <w:spacing w:after="60"/>
      </w:pPr>
      <w:r>
        <w:rPr>
          <w:rFonts w:ascii="Arial" w:hAnsi="Arial"/>
          <w:sz w:val="22"/>
        </w:rPr>
        <w:t>Split ConsentRecord into two entities (design/data-design.md): ConsentRecord (status, expiry, non-sensitive consent flags — readable by Teacher/Approver) and ConsentSensitiveDetails (medical, dietary/SEN, emergency contact — 1:1 with ConsentRecord). This turns the masking requirement into the same whole-entity restriction pattern already correctly used for DbsCheck, which a query filter can actually enforce.</w:t>
      </w:r>
    </w:p>
    <w:p>
      <w:pPr>
        <w:pStyle w:val="ListNumber"/>
        <w:spacing w:after="60"/>
      </w:pPr>
      <w:r>
        <w:rPr>
          <w:rFonts w:ascii="Arial" w:hAnsi="Arial"/>
          <w:sz w:val="22"/>
        </w:rPr>
        <w:t>Enforce whole-entity restriction on DbsCheck and ConsentSensitiveDetails structurally via EF Core global query filters on the DbContext, keyed by the current caller's role. Bypassing requires an explicit, greppable IgnoreQueryFilters() call — a reviewable act, not an accident.</w:t>
      </w:r>
    </w:p>
    <w:p>
      <w:pPr>
        <w:pStyle w:val="ListNumber"/>
        <w:spacing w:after="60"/>
      </w:pPr>
      <w:r>
        <w:rPr>
          <w:rFonts w:ascii="Arial" w:hAnsi="Arial"/>
          <w:sz w:val="22"/>
        </w:rPr>
        <w:t>Add a SensitiveDataAccessLog table and write an entry on every read of DbsCheck or ConsentSensitiveDetails (who, what, when, view vs export). Write mechanism: a DbCommandInterceptor (EF Core interceptors) registered globally on the DbContext, which detects commands against these two tables and writes the audit row after successful execution — structural, not a per-repository convention that can be forgotten.</w:t>
      </w:r>
    </w:p>
    <w:p>
      <w:pPr>
        <w:pStyle w:val="ListNumber"/>
        <w:spacing w:after="60"/>
      </w:pPr>
      <w:r>
        <w:rPr>
          <w:rFonts w:ascii="Arial" w:hAnsi="Arial"/>
          <w:sz w:val="22"/>
        </w:rPr>
        <w:t>SensitiveDataAccessLog has UPDATE/DELETE denied at the database permission level (not just an application-level 'append-only' convention), and is retained 6 years regardless of the referenced record's own retention.</w:t>
      </w:r>
    </w:p>
    <w:p>
      <w:pPr>
        <w:keepNext/>
        <w:spacing w:before="200" w:after="80"/>
        <w:outlineLvl w:val="1"/>
      </w:pPr>
      <w:r>
        <w:rPr>
          <w:rFonts w:ascii="Arial" w:hAnsi="Arial"/>
          <w:b/>
          <w:color w:val="1F2937"/>
          <w:sz w:val="26"/>
        </w:rPr>
        <w:t>Alternatives considered</w:t>
      </w:r>
    </w:p>
    <w:p>
      <w:pPr>
        <w:pStyle w:val="ListBullet"/>
        <w:spacing w:after="60"/>
      </w:pPr>
      <w:r>
        <w:rPr>
          <w:rFonts w:ascii="Arial" w:hAnsi="Arial"/>
          <w:sz w:val="22"/>
        </w:rPr>
        <w:t>Per-column masking via a query filter (the original decision) — rejected: technically impossible for the reason above; kept here as a record of what was wrong, not as a live option.</w:t>
      </w:r>
    </w:p>
    <w:p>
      <w:pPr>
        <w:pStyle w:val="ListBullet"/>
        <w:spacing w:after="60"/>
      </w:pPr>
      <w:r>
        <w:rPr>
          <w:rFonts w:ascii="Arial" w:hAnsi="Arial"/>
          <w:sz w:val="22"/>
        </w:rPr>
        <w:t>Per-call data-access-layer policy checks — rejected: correct in principle, but relies on every future query author remembering to apply it; not structural.</w:t>
      </w:r>
    </w:p>
    <w:p>
      <w:pPr>
        <w:pStyle w:val="ListBullet"/>
        <w:spacing w:after="60"/>
      </w:pPr>
      <w:r>
        <w:rPr>
          <w:rFonts w:ascii="Arial" w:hAnsi="Arial"/>
          <w:sz w:val="22"/>
        </w:rPr>
        <w:t>Database-level column encryption (e.g. Always Encrypted) — rejected for v1: real operational complexity (key management, limited queryability) disproportionate to a solo-maintained, tens-of-users system; the entity-split + query-filter approach gives equivalent access control for the actual threat model here (accidental over-exposure within the application, not a compromised database administrator).</w:t>
      </w:r>
    </w:p>
    <w:p>
      <w:pPr>
        <w:pStyle w:val="ListBullet"/>
        <w:spacing w:after="60"/>
      </w:pPr>
      <w:r>
        <w:rPr>
          <w:rFonts w:ascii="Arial" w:hAnsi="Arial"/>
          <w:sz w:val="22"/>
        </w:rPr>
        <w:t>A mandatory repository wrapper method for the audit log write — rejected in favour of the DbCommandInterceptor: a wrapper is opt-in by construction (a new query path could bypass it); the interceptor attaches at the DbContext level and cannot be bypassed without the same explicit IgnoreQueryFilters()-style deliberate act.</w:t>
      </w:r>
    </w:p>
    <w:p>
      <w:pPr>
        <w:keepNext/>
        <w:spacing w:before="200" w:after="80"/>
        <w:outlineLvl w:val="1"/>
      </w:pPr>
      <w:r>
        <w:rPr>
          <w:rFonts w:ascii="Arial" w:hAnsi="Arial"/>
          <w:b/>
          <w:color w:val="1F2937"/>
          <w:sz w:val="26"/>
        </w:rPr>
        <w:t>Consequences</w:t>
      </w:r>
    </w:p>
    <w:p>
      <w:pPr>
        <w:pStyle w:val="ListBullet"/>
        <w:spacing w:after="60"/>
      </w:pPr>
      <w:r>
        <w:rPr>
          <w:rFonts w:ascii="Arial" w:hAnsi="Arial"/>
          <w:sz w:val="22"/>
        </w:rPr>
        <w:t>All EF Core queries against DbsCheck/ConsentSensitiveDetails go through the shared DbContext with filters and the audit interceptor applied; any new reporting/export feature is safe and logged by default.</w:t>
      </w:r>
    </w:p>
    <w:p>
      <w:pPr>
        <w:pStyle w:val="ListBullet"/>
        <w:spacing w:after="60"/>
      </w:pPr>
      <w:r>
        <w:rPr>
          <w:rFonts w:ascii="Arial" w:hAnsi="Arial"/>
          <w:sz w:val="22"/>
        </w:rPr>
        <w:t>Any code needing both consent status and sensitive details (there is currently none identified) must join ConsentRecord and ConsentSensitiveDetails explicitly and will be denied the latter unless the caller's role permits it.</w:t>
      </w:r>
    </w:p>
    <w:p>
      <w:pPr>
        <w:pStyle w:val="ListBullet"/>
        <w:spacing w:after="60"/>
      </w:pPr>
      <w:r>
        <w:rPr>
          <w:rFonts w:ascii="Arial" w:hAnsi="Arial"/>
          <w:sz w:val="22"/>
        </w:rPr>
        <w:t>The read-audit log adds write volume proportional to how often sensitive data is viewed — negligible at tens-of-users scale — and its own 6-year retention is independent of the referenced record's retention.</w:t>
      </w:r>
    </w:p>
    <w:p>
      <w:pPr>
        <w:pStyle w:val="ListBullet"/>
        <w:spacing w:after="60"/>
      </w:pPr>
      <w:r>
        <w:rPr>
          <w:rFonts w:ascii="Arial" w:hAnsi="Arial"/>
          <w:sz w:val="22"/>
        </w:rPr>
        <w:t>OWASP ASVS 5.0's access-control and logging chapters should be checked against this mechanism at build/test time (TC-007/TC-008/TC-011), not just assumed satisfied by this ADR.</w:t>
      </w:r>
    </w:p>
    <w:sectPr w:rsidR="00FC693F" w:rsidRPr="0006063C" w:rsidSect="00034616">
      <w:headerReference w:type="default" r:id="rId9"/>
      <w:footerReference w:type="default" r:id="rId10"/>
      <w:pgSz w:w="11906" w:h="16838"/>
      <w:pgMar w:top="1440" w:right="1440" w:bottom="1440" w:left="144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Pr>
        <w:rFonts w:ascii="Arial" w:hAnsi="Arial"/>
        <w:color w:val="6B7280"/>
        <w:sz w:val="16"/>
      </w:rPr>
      <w:t>VLMS Architecture Decision Records</w:t>
      <w:tab/>
    </w:r>
    <w:r>
      <w:rPr>
        <w:rFonts w:ascii="Arial" w:hAnsi="Arial"/>
        <w:color w:val="6B7280"/>
        <w:sz w:val="16"/>
      </w:rPr>
      <w:t xml:space="preserve">Page </w:t>
    </w:r>
    <w:r>
      <w:rPr>
        <w:rFonts w:ascii="Arial" w:hAnsi="Arial"/>
        <w:color w:val="6B7280"/>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